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charts/chart5.xml" ContentType="application/vnd.openxmlformats-officedocument.drawingml.chart+xml"/>
  <Override PartName="/word/drawings/drawing3.xml" ContentType="application/vnd.openxmlformats-officedocument.drawingml.chartshapes+xml"/>
  <Override PartName="/word/charts/chart6.xml" ContentType="application/vnd.openxmlformats-officedocument.drawingml.chart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E00" w:rsidRDefault="002C2E00" w:rsidP="002C2E00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:rsidR="00AB1F4E" w:rsidRPr="002C2E00" w:rsidRDefault="00AB1F4E" w:rsidP="00AB1F4E">
      <w:pPr>
        <w:jc w:val="center"/>
        <w:rPr>
          <w:rFonts w:ascii="Arial" w:hAnsi="Arial" w:cs="Arial"/>
          <w:b/>
          <w:sz w:val="36"/>
          <w:szCs w:val="36"/>
        </w:rPr>
      </w:pPr>
      <w:r w:rsidRPr="002C2E00">
        <w:rPr>
          <w:rFonts w:ascii="Arial" w:hAnsi="Arial" w:cs="Arial"/>
          <w:b/>
          <w:sz w:val="36"/>
          <w:szCs w:val="36"/>
        </w:rPr>
        <w:t>Zastupiteľstv</w:t>
      </w:r>
      <w:r w:rsidR="002C2E00" w:rsidRPr="002C2E00">
        <w:rPr>
          <w:rFonts w:ascii="Arial" w:hAnsi="Arial" w:cs="Arial"/>
          <w:b/>
          <w:sz w:val="36"/>
          <w:szCs w:val="36"/>
        </w:rPr>
        <w:t>o</w:t>
      </w:r>
      <w:r w:rsidRPr="002C2E00">
        <w:rPr>
          <w:rFonts w:ascii="Arial" w:hAnsi="Arial" w:cs="Arial"/>
          <w:b/>
          <w:sz w:val="36"/>
          <w:szCs w:val="36"/>
        </w:rPr>
        <w:t xml:space="preserve"> Bratislavského samosprávneho kraja</w:t>
      </w:r>
    </w:p>
    <w:p w:rsidR="00AB1F4E" w:rsidRPr="008331CA" w:rsidRDefault="00AB1F4E" w:rsidP="00AB1F4E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AB1F4E" w:rsidRDefault="00AB1F4E" w:rsidP="00AB1F4E">
      <w:pPr>
        <w:jc w:val="center"/>
        <w:rPr>
          <w:b/>
          <w:sz w:val="28"/>
          <w:szCs w:val="28"/>
        </w:rPr>
      </w:pPr>
    </w:p>
    <w:p w:rsidR="002C2E00" w:rsidRDefault="002C2E00" w:rsidP="002C2E00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Materiál na rokovanie Zastupiteľstva</w:t>
      </w:r>
    </w:p>
    <w:p w:rsidR="002C2E00" w:rsidRDefault="002C2E00" w:rsidP="002C2E00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Bratislavského samosprávneho kraja</w:t>
      </w:r>
    </w:p>
    <w:p w:rsidR="002C2E00" w:rsidRDefault="002C2E00" w:rsidP="002C2E00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23. júna 2017</w:t>
      </w:r>
    </w:p>
    <w:p w:rsidR="00AB1F4E" w:rsidRDefault="00AB1F4E" w:rsidP="00AB1F4E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AB1F4E" w:rsidRDefault="00AB1F4E" w:rsidP="00AB1F4E">
      <w:pPr>
        <w:jc w:val="center"/>
        <w:rPr>
          <w:rFonts w:ascii="Arial" w:hAnsi="Arial" w:cs="Arial"/>
          <w:b/>
        </w:rPr>
      </w:pPr>
    </w:p>
    <w:p w:rsidR="00AB1F4E" w:rsidRDefault="00AB1F4E" w:rsidP="00AB1F4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Správa z hodnotenia PHSR BSK</w:t>
      </w:r>
      <w:r w:rsidR="006B30CF">
        <w:rPr>
          <w:rFonts w:ascii="Arial" w:hAnsi="Arial" w:cs="Arial"/>
          <w:b/>
          <w:sz w:val="32"/>
          <w:szCs w:val="32"/>
        </w:rPr>
        <w:t xml:space="preserve"> na roky</w:t>
      </w:r>
      <w:r>
        <w:rPr>
          <w:rFonts w:ascii="Arial" w:hAnsi="Arial" w:cs="Arial"/>
          <w:b/>
          <w:sz w:val="32"/>
          <w:szCs w:val="32"/>
        </w:rPr>
        <w:t xml:space="preserve"> 2014-2020 </w:t>
      </w:r>
    </w:p>
    <w:p w:rsidR="00AB1F4E" w:rsidRDefault="002C2E00" w:rsidP="00AB1F4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</w:t>
      </w:r>
      <w:r w:rsidR="00C679B8">
        <w:rPr>
          <w:rFonts w:ascii="Arial" w:hAnsi="Arial" w:cs="Arial"/>
          <w:b/>
          <w:sz w:val="32"/>
          <w:szCs w:val="32"/>
        </w:rPr>
        <w:t>za rok 2016</w:t>
      </w:r>
    </w:p>
    <w:p w:rsidR="002C2E00" w:rsidRPr="00367574" w:rsidRDefault="002C2E00" w:rsidP="00AB1F4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:rsidR="00AB1F4E" w:rsidRDefault="00AB1F4E" w:rsidP="00AB1F4E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AB1F4E" w:rsidRDefault="00AB1F4E" w:rsidP="00AB1F4E">
      <w:pPr>
        <w:rPr>
          <w:rFonts w:ascii="Arial" w:hAnsi="Arial" w:cs="Arial"/>
          <w:b/>
        </w:rPr>
      </w:pPr>
    </w:p>
    <w:p w:rsidR="00AB1F4E" w:rsidRDefault="00AB1F4E" w:rsidP="00AB1F4E">
      <w:pPr>
        <w:rPr>
          <w:rFonts w:ascii="Arial" w:hAnsi="Arial" w:cs="Arial"/>
          <w:b/>
        </w:rPr>
      </w:pPr>
    </w:p>
    <w:p w:rsidR="002C2E00" w:rsidRDefault="002C2E00" w:rsidP="00AB1F4E">
      <w:pPr>
        <w:rPr>
          <w:rFonts w:ascii="Arial" w:hAnsi="Arial" w:cs="Arial"/>
          <w:b/>
        </w:rPr>
      </w:pPr>
    </w:p>
    <w:p w:rsidR="00AB1F4E" w:rsidRDefault="00AB1F4E" w:rsidP="00AB1F4E">
      <w:pPr>
        <w:jc w:val="both"/>
        <w:rPr>
          <w:rFonts w:ascii="Arial" w:hAnsi="Arial" w:cs="Arial"/>
          <w:u w:val="single"/>
        </w:rPr>
      </w:pPr>
    </w:p>
    <w:p w:rsidR="00AB1F4E" w:rsidRDefault="00AB1F4E" w:rsidP="00AB1F4E">
      <w:pPr>
        <w:jc w:val="both"/>
        <w:rPr>
          <w:rFonts w:ascii="Arial" w:hAnsi="Arial" w:cs="Arial"/>
          <w:sz w:val="22"/>
          <w:szCs w:val="22"/>
        </w:rPr>
      </w:pPr>
    </w:p>
    <w:p w:rsidR="002C2E00" w:rsidRDefault="002C2E00" w:rsidP="002C2E00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predkladá: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:rsidR="002C2E00" w:rsidRDefault="002C2E00" w:rsidP="002C2E00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C2E00" w:rsidRPr="004F3041" w:rsidRDefault="002C2E00" w:rsidP="002C2E00">
      <w:pPr>
        <w:tabs>
          <w:tab w:val="left" w:pos="5670"/>
        </w:tabs>
        <w:ind w:right="-36"/>
        <w:jc w:val="both"/>
        <w:rPr>
          <w:rFonts w:ascii="Arial" w:hAnsi="Arial" w:cs="Arial"/>
          <w:bCs/>
          <w:sz w:val="22"/>
          <w:szCs w:val="22"/>
        </w:rPr>
      </w:pPr>
      <w:r w:rsidRPr="00836FE9">
        <w:rPr>
          <w:rFonts w:ascii="Arial" w:hAnsi="Arial" w:cs="Arial"/>
          <w:bCs/>
          <w:color w:val="000000"/>
          <w:sz w:val="22"/>
          <w:szCs w:val="22"/>
        </w:rPr>
        <w:t>Ing. Martin Berta, CSc.</w:t>
      </w:r>
      <w:r w:rsidRPr="00836FE9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4F3041">
        <w:rPr>
          <w:rFonts w:ascii="Arial" w:hAnsi="Arial" w:cs="Arial"/>
          <w:bCs/>
          <w:sz w:val="22"/>
          <w:szCs w:val="22"/>
        </w:rPr>
        <w:t>1.  Návrh uznesenia</w:t>
      </w:r>
    </w:p>
    <w:p w:rsidR="002C2E00" w:rsidRPr="004F3041" w:rsidRDefault="002C2E00" w:rsidP="002C2E00">
      <w:pPr>
        <w:tabs>
          <w:tab w:val="left" w:pos="5670"/>
        </w:tabs>
        <w:jc w:val="both"/>
        <w:rPr>
          <w:rFonts w:ascii="Arial" w:hAnsi="Arial" w:cs="Arial"/>
          <w:bCs/>
          <w:sz w:val="22"/>
          <w:szCs w:val="22"/>
        </w:rPr>
      </w:pPr>
      <w:r w:rsidRPr="004F3041">
        <w:rPr>
          <w:rFonts w:ascii="Arial" w:hAnsi="Arial" w:cs="Arial"/>
          <w:bCs/>
          <w:sz w:val="22"/>
          <w:szCs w:val="22"/>
        </w:rPr>
        <w:t xml:space="preserve">podpredseda Bratislavského  </w:t>
      </w:r>
      <w:r w:rsidRPr="004F3041">
        <w:rPr>
          <w:rFonts w:ascii="Arial" w:hAnsi="Arial" w:cs="Arial"/>
          <w:bCs/>
          <w:sz w:val="22"/>
          <w:szCs w:val="22"/>
        </w:rPr>
        <w:tab/>
        <w:t>2.  Dôvodová správa</w:t>
      </w:r>
    </w:p>
    <w:p w:rsidR="002C2E00" w:rsidRPr="004F3041" w:rsidRDefault="002C2E00" w:rsidP="002C2E00">
      <w:pPr>
        <w:tabs>
          <w:tab w:val="left" w:pos="5670"/>
        </w:tabs>
        <w:jc w:val="both"/>
        <w:rPr>
          <w:rFonts w:ascii="Arial" w:hAnsi="Arial" w:cs="Arial"/>
          <w:bCs/>
          <w:sz w:val="22"/>
          <w:szCs w:val="22"/>
        </w:rPr>
      </w:pPr>
      <w:r w:rsidRPr="004F3041">
        <w:rPr>
          <w:rFonts w:ascii="Arial" w:hAnsi="Arial" w:cs="Arial"/>
          <w:bCs/>
          <w:sz w:val="22"/>
          <w:szCs w:val="22"/>
        </w:rPr>
        <w:t>samosprávneho kraja</w:t>
      </w:r>
      <w:r w:rsidRPr="004F3041">
        <w:rPr>
          <w:rFonts w:ascii="Arial" w:hAnsi="Arial" w:cs="Arial"/>
          <w:bCs/>
          <w:sz w:val="22"/>
          <w:szCs w:val="22"/>
        </w:rPr>
        <w:tab/>
        <w:t>3.  Stanoviská komisií</w:t>
      </w:r>
    </w:p>
    <w:p w:rsidR="002C2E00" w:rsidRDefault="002C2E00" w:rsidP="002C2E00">
      <w:pPr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7D3146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>Príloha č. 1</w:t>
      </w:r>
    </w:p>
    <w:p w:rsidR="00AB1F4E" w:rsidRDefault="00AB1F4E" w:rsidP="00AB1F4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2C2E00" w:rsidRPr="008331CA" w:rsidRDefault="002C2E00" w:rsidP="00AB1F4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AB1F4E" w:rsidRDefault="00AB1F4E" w:rsidP="00AB1F4E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Zodpovedná:</w:t>
      </w:r>
    </w:p>
    <w:p w:rsidR="00AB1F4E" w:rsidRPr="00527140" w:rsidRDefault="00AB1F4E" w:rsidP="00AB1F4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Barbora Lukáčová</w:t>
      </w:r>
    </w:p>
    <w:p w:rsidR="00AB1F4E" w:rsidRPr="00527140" w:rsidRDefault="00AB1F4E" w:rsidP="00C679B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stratégie, územného rozvoja a riadenia projektov</w:t>
      </w:r>
      <w:r w:rsidR="00C679B8">
        <w:rPr>
          <w:rFonts w:ascii="Arial" w:hAnsi="Arial" w:cs="Arial"/>
          <w:sz w:val="22"/>
          <w:szCs w:val="22"/>
        </w:rPr>
        <w:t xml:space="preserve"> </w:t>
      </w:r>
      <w:r w:rsidRPr="00527140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ratislavského samosprávneho kraja</w:t>
      </w:r>
    </w:p>
    <w:p w:rsidR="00AB1F4E" w:rsidRPr="008331CA" w:rsidRDefault="00AB1F4E" w:rsidP="00AB1F4E">
      <w:pPr>
        <w:rPr>
          <w:rFonts w:ascii="Arial" w:hAnsi="Arial" w:cs="Arial"/>
          <w:color w:val="FF0000"/>
          <w:sz w:val="20"/>
          <w:szCs w:val="20"/>
        </w:rPr>
      </w:pPr>
    </w:p>
    <w:p w:rsidR="00AB1F4E" w:rsidRPr="00A405DD" w:rsidRDefault="00AB1F4E" w:rsidP="00AB1F4E">
      <w:pPr>
        <w:jc w:val="both"/>
        <w:rPr>
          <w:rFonts w:ascii="Arial" w:hAnsi="Arial" w:cs="Arial"/>
          <w:sz w:val="22"/>
          <w:szCs w:val="22"/>
          <w:u w:val="single"/>
        </w:rPr>
      </w:pPr>
      <w:r w:rsidRPr="00A405DD">
        <w:rPr>
          <w:rFonts w:ascii="Arial" w:hAnsi="Arial" w:cs="Arial"/>
          <w:sz w:val="22"/>
          <w:szCs w:val="22"/>
          <w:u w:val="single"/>
        </w:rPr>
        <w:t>Spracovatelia:</w:t>
      </w:r>
    </w:p>
    <w:p w:rsidR="00AB1F4E" w:rsidRPr="00A405DD" w:rsidRDefault="00AB1F4E" w:rsidP="00AB1F4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</w:t>
      </w:r>
      <w:r w:rsidRPr="00A405DD">
        <w:rPr>
          <w:rFonts w:ascii="Arial" w:hAnsi="Arial" w:cs="Arial"/>
          <w:sz w:val="22"/>
          <w:szCs w:val="22"/>
        </w:rPr>
        <w:t>Martin Hakel, BA</w:t>
      </w:r>
    </w:p>
    <w:p w:rsidR="00AB1F4E" w:rsidRPr="00A405DD" w:rsidRDefault="00AB1F4E" w:rsidP="00AB1F4E">
      <w:pPr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vedúci oddelenia stratégie a územného rozvoja</w:t>
      </w:r>
    </w:p>
    <w:p w:rsidR="00AB1F4E" w:rsidRPr="00003AFF" w:rsidRDefault="00AB1F4E" w:rsidP="00AB1F4E">
      <w:pPr>
        <w:rPr>
          <w:rFonts w:ascii="Arial" w:hAnsi="Arial" w:cs="Arial"/>
          <w:sz w:val="22"/>
          <w:szCs w:val="22"/>
        </w:rPr>
      </w:pPr>
    </w:p>
    <w:p w:rsidR="00AB1F4E" w:rsidRDefault="00C679B8" w:rsidP="00AB1F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Linda Moravčíková</w:t>
      </w:r>
    </w:p>
    <w:p w:rsidR="00AB1F4E" w:rsidRDefault="00AB1F4E" w:rsidP="00AB1F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</w:t>
      </w:r>
      <w:r w:rsidRPr="00003AFF">
        <w:rPr>
          <w:rFonts w:ascii="Arial" w:hAnsi="Arial" w:cs="Arial"/>
          <w:sz w:val="22"/>
          <w:szCs w:val="22"/>
        </w:rPr>
        <w:t xml:space="preserve"> oddelenia stratégie a územného rozvoja</w:t>
      </w:r>
      <w:r>
        <w:rPr>
          <w:rFonts w:ascii="Arial" w:hAnsi="Arial" w:cs="Arial"/>
          <w:sz w:val="22"/>
          <w:szCs w:val="22"/>
        </w:rPr>
        <w:tab/>
      </w:r>
    </w:p>
    <w:p w:rsidR="00AB1F4E" w:rsidRDefault="00AB1F4E" w:rsidP="00AB1F4E">
      <w:pPr>
        <w:rPr>
          <w:rFonts w:ascii="Arial" w:hAnsi="Arial" w:cs="Arial"/>
          <w:sz w:val="22"/>
          <w:szCs w:val="22"/>
        </w:rPr>
      </w:pPr>
    </w:p>
    <w:p w:rsidR="00AB1F4E" w:rsidRDefault="00AB1F4E" w:rsidP="00AB1F4E">
      <w:pPr>
        <w:rPr>
          <w:rFonts w:ascii="Arial" w:hAnsi="Arial" w:cs="Arial"/>
          <w:sz w:val="22"/>
          <w:szCs w:val="22"/>
        </w:rPr>
      </w:pPr>
    </w:p>
    <w:p w:rsidR="00AB1F4E" w:rsidRDefault="00AB1F4E" w:rsidP="00AB1F4E">
      <w:pPr>
        <w:rPr>
          <w:rFonts w:ascii="Arial" w:hAnsi="Arial" w:cs="Arial"/>
          <w:sz w:val="22"/>
          <w:szCs w:val="22"/>
        </w:rPr>
      </w:pPr>
    </w:p>
    <w:p w:rsidR="00334406" w:rsidRDefault="00334406" w:rsidP="00AB1F4E">
      <w:pPr>
        <w:rPr>
          <w:rFonts w:ascii="Arial" w:hAnsi="Arial" w:cs="Arial"/>
          <w:sz w:val="22"/>
          <w:szCs w:val="22"/>
        </w:rPr>
      </w:pPr>
    </w:p>
    <w:p w:rsidR="002C2E00" w:rsidRDefault="002C2E00" w:rsidP="00AB1F4E">
      <w:pPr>
        <w:rPr>
          <w:rFonts w:ascii="Arial" w:hAnsi="Arial" w:cs="Arial"/>
          <w:sz w:val="22"/>
          <w:szCs w:val="22"/>
        </w:rPr>
      </w:pPr>
    </w:p>
    <w:p w:rsidR="00334406" w:rsidRDefault="00334406" w:rsidP="00AB1F4E">
      <w:pPr>
        <w:rPr>
          <w:rFonts w:ascii="Arial" w:hAnsi="Arial" w:cs="Arial"/>
          <w:sz w:val="22"/>
          <w:szCs w:val="22"/>
        </w:rPr>
      </w:pPr>
    </w:p>
    <w:p w:rsidR="002C2E00" w:rsidRDefault="002C2E00" w:rsidP="00AB1F4E">
      <w:pPr>
        <w:rPr>
          <w:rFonts w:ascii="Arial" w:hAnsi="Arial" w:cs="Arial"/>
          <w:sz w:val="22"/>
          <w:szCs w:val="22"/>
        </w:rPr>
      </w:pPr>
    </w:p>
    <w:p w:rsidR="002C2E00" w:rsidRDefault="002C2E00" w:rsidP="00AB1F4E">
      <w:pPr>
        <w:rPr>
          <w:rFonts w:ascii="Arial" w:hAnsi="Arial" w:cs="Arial"/>
          <w:sz w:val="22"/>
          <w:szCs w:val="22"/>
        </w:rPr>
      </w:pPr>
    </w:p>
    <w:p w:rsidR="002C2E00" w:rsidRDefault="002C2E00" w:rsidP="00AB1F4E">
      <w:pPr>
        <w:rPr>
          <w:rFonts w:ascii="Arial" w:hAnsi="Arial" w:cs="Arial"/>
          <w:sz w:val="22"/>
          <w:szCs w:val="22"/>
        </w:rPr>
      </w:pPr>
    </w:p>
    <w:p w:rsidR="002C2E00" w:rsidRDefault="002C2E00" w:rsidP="00AB1F4E">
      <w:pPr>
        <w:rPr>
          <w:rFonts w:ascii="Arial" w:hAnsi="Arial" w:cs="Arial"/>
          <w:sz w:val="22"/>
          <w:szCs w:val="22"/>
        </w:rPr>
      </w:pPr>
    </w:p>
    <w:p w:rsidR="002C2E00" w:rsidRDefault="002C2E00" w:rsidP="002C2E0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:rsidR="002C2E00" w:rsidRPr="00B37489" w:rsidRDefault="002C2E00" w:rsidP="002C2E00">
      <w:pPr>
        <w:tabs>
          <w:tab w:val="left" w:pos="4253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jún 2017</w:t>
      </w:r>
    </w:p>
    <w:p w:rsidR="00AB1F4E" w:rsidRDefault="00AB1F4E" w:rsidP="00AB1F4E">
      <w:pPr>
        <w:rPr>
          <w:rFonts w:ascii="Arial" w:hAnsi="Arial" w:cs="Arial"/>
          <w:sz w:val="22"/>
          <w:szCs w:val="22"/>
        </w:rPr>
      </w:pPr>
    </w:p>
    <w:p w:rsidR="00AB1F4E" w:rsidRDefault="00AB1F4E" w:rsidP="00AB1F4E">
      <w:pPr>
        <w:rPr>
          <w:rFonts w:ascii="Arial" w:hAnsi="Arial" w:cs="Arial"/>
          <w:sz w:val="22"/>
          <w:szCs w:val="22"/>
        </w:rPr>
      </w:pPr>
    </w:p>
    <w:p w:rsidR="00AB1F4E" w:rsidRPr="007F59EF" w:rsidRDefault="00AB1F4E" w:rsidP="00AB1F4E">
      <w:pPr>
        <w:rPr>
          <w:rFonts w:ascii="Arial" w:hAnsi="Arial" w:cs="Arial"/>
          <w:sz w:val="22"/>
          <w:szCs w:val="22"/>
        </w:rPr>
      </w:pPr>
    </w:p>
    <w:p w:rsidR="00AB1F4E" w:rsidRPr="00334406" w:rsidRDefault="00AB1F4E" w:rsidP="00AB1F4E">
      <w:pPr>
        <w:jc w:val="center"/>
        <w:rPr>
          <w:rFonts w:ascii="Arial" w:hAnsi="Arial" w:cs="Arial"/>
          <w:spacing w:val="70"/>
          <w:sz w:val="22"/>
          <w:szCs w:val="22"/>
        </w:rPr>
      </w:pPr>
      <w:r w:rsidRPr="00334406">
        <w:rPr>
          <w:rFonts w:ascii="Arial" w:hAnsi="Arial" w:cs="Arial"/>
          <w:spacing w:val="70"/>
          <w:sz w:val="22"/>
          <w:szCs w:val="22"/>
        </w:rPr>
        <w:lastRenderedPageBreak/>
        <w:t>Návrh uznesenia</w:t>
      </w:r>
    </w:p>
    <w:p w:rsidR="00AB1F4E" w:rsidRPr="00334406" w:rsidRDefault="00AB1F4E" w:rsidP="00AB1F4E">
      <w:pPr>
        <w:jc w:val="center"/>
        <w:rPr>
          <w:rFonts w:ascii="Arial" w:hAnsi="Arial" w:cs="Arial"/>
          <w:sz w:val="22"/>
          <w:szCs w:val="22"/>
        </w:rPr>
      </w:pPr>
    </w:p>
    <w:p w:rsidR="00AB1F4E" w:rsidRPr="00334406" w:rsidRDefault="00AB1F4E" w:rsidP="00AB1F4E">
      <w:pPr>
        <w:jc w:val="center"/>
        <w:rPr>
          <w:rFonts w:ascii="Arial" w:hAnsi="Arial" w:cs="Arial"/>
          <w:sz w:val="22"/>
          <w:szCs w:val="22"/>
        </w:rPr>
      </w:pPr>
    </w:p>
    <w:p w:rsidR="00AB1F4E" w:rsidRPr="00334406" w:rsidRDefault="00AB1F4E" w:rsidP="00AB1F4E">
      <w:pPr>
        <w:jc w:val="center"/>
        <w:rPr>
          <w:rFonts w:ascii="Arial" w:hAnsi="Arial" w:cs="Arial"/>
          <w:b/>
          <w:sz w:val="22"/>
          <w:szCs w:val="22"/>
        </w:rPr>
      </w:pPr>
      <w:r w:rsidRPr="00334406">
        <w:rPr>
          <w:rFonts w:ascii="Arial" w:hAnsi="Arial" w:cs="Arial"/>
          <w:b/>
          <w:sz w:val="22"/>
          <w:szCs w:val="22"/>
        </w:rPr>
        <w:t>UZNESENIE č. ........... / 201</w:t>
      </w:r>
      <w:r w:rsidR="00C679B8" w:rsidRPr="00334406">
        <w:rPr>
          <w:rFonts w:ascii="Arial" w:hAnsi="Arial" w:cs="Arial"/>
          <w:b/>
          <w:sz w:val="22"/>
          <w:szCs w:val="22"/>
        </w:rPr>
        <w:t>7</w:t>
      </w:r>
    </w:p>
    <w:p w:rsidR="00AB1F4E" w:rsidRPr="00334406" w:rsidRDefault="00AB1F4E" w:rsidP="00AB1F4E">
      <w:pPr>
        <w:jc w:val="center"/>
        <w:rPr>
          <w:rFonts w:ascii="Arial" w:hAnsi="Arial" w:cs="Arial"/>
          <w:sz w:val="22"/>
          <w:szCs w:val="22"/>
        </w:rPr>
      </w:pPr>
      <w:r w:rsidRPr="00334406">
        <w:rPr>
          <w:rFonts w:ascii="Arial" w:hAnsi="Arial" w:cs="Arial"/>
          <w:sz w:val="22"/>
          <w:szCs w:val="22"/>
        </w:rPr>
        <w:t>zo dňa 2</w:t>
      </w:r>
      <w:r w:rsidR="00C679B8" w:rsidRPr="00334406">
        <w:rPr>
          <w:rFonts w:ascii="Arial" w:hAnsi="Arial" w:cs="Arial"/>
          <w:sz w:val="22"/>
          <w:szCs w:val="22"/>
        </w:rPr>
        <w:t>3</w:t>
      </w:r>
      <w:r w:rsidRPr="00334406">
        <w:rPr>
          <w:rFonts w:ascii="Arial" w:hAnsi="Arial" w:cs="Arial"/>
          <w:sz w:val="22"/>
          <w:szCs w:val="22"/>
        </w:rPr>
        <w:t>.06.</w:t>
      </w:r>
      <w:r w:rsidR="00C679B8" w:rsidRPr="00334406">
        <w:rPr>
          <w:rFonts w:ascii="Arial" w:hAnsi="Arial" w:cs="Arial"/>
          <w:sz w:val="22"/>
          <w:szCs w:val="22"/>
        </w:rPr>
        <w:t>2017</w:t>
      </w:r>
    </w:p>
    <w:p w:rsidR="00AB1F4E" w:rsidRPr="00334406" w:rsidRDefault="00AB1F4E" w:rsidP="00AB1F4E">
      <w:pPr>
        <w:jc w:val="center"/>
        <w:rPr>
          <w:rFonts w:ascii="Arial" w:hAnsi="Arial" w:cs="Arial"/>
          <w:sz w:val="22"/>
          <w:szCs w:val="22"/>
        </w:rPr>
      </w:pPr>
    </w:p>
    <w:p w:rsidR="00AB1F4E" w:rsidRPr="00334406" w:rsidRDefault="00AB1F4E" w:rsidP="00AB1F4E">
      <w:pPr>
        <w:jc w:val="center"/>
        <w:rPr>
          <w:rFonts w:ascii="Arial" w:hAnsi="Arial" w:cs="Arial"/>
          <w:sz w:val="22"/>
          <w:szCs w:val="22"/>
        </w:rPr>
      </w:pPr>
    </w:p>
    <w:p w:rsidR="00AB1F4E" w:rsidRPr="00334406" w:rsidRDefault="00AB1F4E" w:rsidP="00AB1F4E">
      <w:pPr>
        <w:jc w:val="center"/>
        <w:rPr>
          <w:rFonts w:ascii="Arial" w:hAnsi="Arial" w:cs="Arial"/>
          <w:sz w:val="22"/>
          <w:szCs w:val="22"/>
        </w:rPr>
      </w:pPr>
    </w:p>
    <w:p w:rsidR="00AB1F4E" w:rsidRPr="00334406" w:rsidRDefault="00AB1F4E" w:rsidP="00AB1F4E">
      <w:pPr>
        <w:jc w:val="center"/>
        <w:rPr>
          <w:rFonts w:ascii="Arial" w:hAnsi="Arial" w:cs="Arial"/>
          <w:sz w:val="22"/>
          <w:szCs w:val="22"/>
        </w:rPr>
      </w:pPr>
    </w:p>
    <w:p w:rsidR="00AB1F4E" w:rsidRPr="00334406" w:rsidRDefault="00AB1F4E" w:rsidP="00AB1F4E">
      <w:pPr>
        <w:jc w:val="center"/>
        <w:rPr>
          <w:rFonts w:ascii="Arial" w:hAnsi="Arial" w:cs="Arial"/>
          <w:sz w:val="22"/>
          <w:szCs w:val="22"/>
        </w:rPr>
      </w:pPr>
    </w:p>
    <w:p w:rsidR="00AB1F4E" w:rsidRPr="00334406" w:rsidRDefault="00AB1F4E" w:rsidP="00AB1F4E">
      <w:pPr>
        <w:jc w:val="both"/>
        <w:rPr>
          <w:rFonts w:ascii="Arial" w:hAnsi="Arial" w:cs="Arial"/>
          <w:sz w:val="22"/>
          <w:szCs w:val="22"/>
        </w:rPr>
      </w:pPr>
      <w:r w:rsidRPr="00334406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AB1F4E" w:rsidRPr="00334406" w:rsidRDefault="00AB1F4E" w:rsidP="00AB1F4E">
      <w:pPr>
        <w:jc w:val="both"/>
        <w:rPr>
          <w:rFonts w:ascii="Arial" w:hAnsi="Arial" w:cs="Arial"/>
          <w:sz w:val="22"/>
          <w:szCs w:val="22"/>
        </w:rPr>
      </w:pPr>
    </w:p>
    <w:p w:rsidR="00AB1F4E" w:rsidRPr="00334406" w:rsidRDefault="00AB1F4E" w:rsidP="00AB1F4E">
      <w:pPr>
        <w:rPr>
          <w:rFonts w:ascii="Arial" w:hAnsi="Arial" w:cs="Arial"/>
          <w:sz w:val="22"/>
          <w:szCs w:val="22"/>
        </w:rPr>
      </w:pPr>
    </w:p>
    <w:p w:rsidR="00AB1F4E" w:rsidRPr="00334406" w:rsidRDefault="00AB1F4E" w:rsidP="00AB1F4E">
      <w:pPr>
        <w:pStyle w:val="Odsekzoznamu"/>
        <w:ind w:left="709"/>
        <w:jc w:val="center"/>
        <w:rPr>
          <w:rFonts w:ascii="Arial" w:hAnsi="Arial" w:cs="Arial"/>
          <w:b/>
          <w:spacing w:val="70"/>
          <w:sz w:val="22"/>
          <w:szCs w:val="22"/>
        </w:rPr>
      </w:pPr>
      <w:r w:rsidRPr="00334406">
        <w:rPr>
          <w:rFonts w:ascii="Arial" w:hAnsi="Arial" w:cs="Arial"/>
          <w:b/>
          <w:spacing w:val="70"/>
          <w:sz w:val="22"/>
          <w:szCs w:val="22"/>
        </w:rPr>
        <w:t>A. schvaľuje</w:t>
      </w:r>
    </w:p>
    <w:p w:rsidR="00AB1F4E" w:rsidRPr="00334406" w:rsidRDefault="00AB1F4E" w:rsidP="00AB1F4E">
      <w:pPr>
        <w:pStyle w:val="Odsekzoznamu"/>
        <w:ind w:left="709"/>
        <w:jc w:val="center"/>
        <w:rPr>
          <w:rFonts w:ascii="Arial" w:hAnsi="Arial" w:cs="Arial"/>
          <w:b/>
          <w:spacing w:val="70"/>
          <w:sz w:val="22"/>
          <w:szCs w:val="22"/>
        </w:rPr>
      </w:pPr>
    </w:p>
    <w:p w:rsidR="00AB1F4E" w:rsidRPr="00334406" w:rsidRDefault="00AB1F4E" w:rsidP="00AB1F4E">
      <w:pPr>
        <w:rPr>
          <w:rFonts w:ascii="Arial" w:hAnsi="Arial" w:cs="Arial"/>
          <w:sz w:val="22"/>
          <w:szCs w:val="22"/>
        </w:rPr>
      </w:pPr>
      <w:r w:rsidRPr="00334406">
        <w:rPr>
          <w:rFonts w:ascii="Arial" w:hAnsi="Arial" w:cs="Arial"/>
          <w:sz w:val="22"/>
          <w:szCs w:val="22"/>
        </w:rPr>
        <w:t>Správu z hodnoteni</w:t>
      </w:r>
      <w:r w:rsidR="00C679B8" w:rsidRPr="00334406">
        <w:rPr>
          <w:rFonts w:ascii="Arial" w:hAnsi="Arial" w:cs="Arial"/>
          <w:sz w:val="22"/>
          <w:szCs w:val="22"/>
        </w:rPr>
        <w:t>a PHSR BSK</w:t>
      </w:r>
      <w:r w:rsidR="00F448A2" w:rsidRPr="00334406">
        <w:rPr>
          <w:rFonts w:ascii="Arial" w:hAnsi="Arial" w:cs="Arial"/>
          <w:sz w:val="22"/>
          <w:szCs w:val="22"/>
        </w:rPr>
        <w:t xml:space="preserve"> na roky</w:t>
      </w:r>
      <w:r w:rsidR="00C679B8" w:rsidRPr="00334406">
        <w:rPr>
          <w:rFonts w:ascii="Arial" w:hAnsi="Arial" w:cs="Arial"/>
          <w:sz w:val="22"/>
          <w:szCs w:val="22"/>
        </w:rPr>
        <w:t xml:space="preserve"> 2014-2020 za rok 2016</w:t>
      </w:r>
    </w:p>
    <w:p w:rsidR="00AB1F4E" w:rsidRPr="00334406" w:rsidRDefault="00AB1F4E" w:rsidP="00AB1F4E">
      <w:pPr>
        <w:pStyle w:val="Odsekzoznamu"/>
        <w:ind w:left="0"/>
        <w:jc w:val="center"/>
        <w:rPr>
          <w:rFonts w:ascii="Arial" w:hAnsi="Arial" w:cs="Arial"/>
          <w:b/>
          <w:spacing w:val="70"/>
          <w:sz w:val="22"/>
          <w:szCs w:val="22"/>
        </w:rPr>
      </w:pPr>
    </w:p>
    <w:p w:rsidR="00AB1F4E" w:rsidRPr="00334406" w:rsidRDefault="00AB1F4E" w:rsidP="00AB1F4E">
      <w:pPr>
        <w:rPr>
          <w:rFonts w:ascii="Arial" w:hAnsi="Arial" w:cs="Arial"/>
          <w:b/>
          <w:spacing w:val="70"/>
          <w:sz w:val="22"/>
          <w:szCs w:val="22"/>
        </w:rPr>
      </w:pPr>
    </w:p>
    <w:p w:rsidR="00AB1F4E" w:rsidRPr="00334406" w:rsidRDefault="00AB1F4E" w:rsidP="00AB1F4E">
      <w:pPr>
        <w:rPr>
          <w:rFonts w:ascii="Arial" w:hAnsi="Arial" w:cs="Arial"/>
          <w:b/>
          <w:spacing w:val="70"/>
          <w:sz w:val="22"/>
          <w:szCs w:val="22"/>
        </w:rPr>
      </w:pPr>
    </w:p>
    <w:p w:rsidR="00AB1F4E" w:rsidRPr="00122829" w:rsidRDefault="00122829" w:rsidP="00122829">
      <w:pPr>
        <w:ind w:left="2832" w:firstLine="708"/>
        <w:rPr>
          <w:rFonts w:ascii="Arial" w:hAnsi="Arial" w:cs="Arial"/>
          <w:b/>
          <w:spacing w:val="70"/>
          <w:sz w:val="22"/>
          <w:szCs w:val="22"/>
        </w:rPr>
      </w:pPr>
      <w:r>
        <w:rPr>
          <w:rFonts w:ascii="Arial" w:hAnsi="Arial" w:cs="Arial"/>
          <w:b/>
          <w:spacing w:val="70"/>
          <w:sz w:val="22"/>
          <w:szCs w:val="22"/>
        </w:rPr>
        <w:t xml:space="preserve">  </w:t>
      </w:r>
      <w:r w:rsidR="00AB1F4E" w:rsidRPr="00122829">
        <w:rPr>
          <w:rFonts w:ascii="Arial" w:hAnsi="Arial" w:cs="Arial"/>
          <w:b/>
          <w:spacing w:val="70"/>
          <w:sz w:val="22"/>
          <w:szCs w:val="22"/>
        </w:rPr>
        <w:t>B. ukladá</w:t>
      </w:r>
    </w:p>
    <w:p w:rsidR="00AB1F4E" w:rsidRPr="00334406" w:rsidRDefault="00AB1F4E" w:rsidP="00AB1F4E">
      <w:pPr>
        <w:pStyle w:val="Odsekzoznamu"/>
        <w:ind w:left="0"/>
        <w:jc w:val="center"/>
        <w:rPr>
          <w:rFonts w:ascii="Arial" w:hAnsi="Arial" w:cs="Arial"/>
          <w:b/>
          <w:spacing w:val="70"/>
          <w:sz w:val="22"/>
          <w:szCs w:val="22"/>
        </w:rPr>
      </w:pPr>
    </w:p>
    <w:p w:rsidR="00AB1F4E" w:rsidRPr="00334406" w:rsidRDefault="00AB1F4E" w:rsidP="00AB1F4E">
      <w:pPr>
        <w:rPr>
          <w:rFonts w:ascii="Arial" w:hAnsi="Arial" w:cs="Arial"/>
          <w:sz w:val="22"/>
          <w:szCs w:val="22"/>
          <w:u w:val="single"/>
        </w:rPr>
      </w:pPr>
      <w:r w:rsidRPr="00334406">
        <w:rPr>
          <w:rFonts w:ascii="Arial" w:hAnsi="Arial" w:cs="Arial"/>
          <w:sz w:val="22"/>
          <w:szCs w:val="22"/>
          <w:u w:val="single"/>
        </w:rPr>
        <w:t>riaditeľovi úradu Bratislavského samosprávneho kraja:</w:t>
      </w:r>
    </w:p>
    <w:p w:rsidR="00AB1F4E" w:rsidRPr="00334406" w:rsidRDefault="00AB1F4E" w:rsidP="00AB1F4E">
      <w:pPr>
        <w:rPr>
          <w:rFonts w:ascii="Arial" w:hAnsi="Arial" w:cs="Arial"/>
          <w:sz w:val="22"/>
          <w:szCs w:val="22"/>
          <w:u w:val="single"/>
        </w:rPr>
      </w:pPr>
    </w:p>
    <w:p w:rsidR="00AB1F4E" w:rsidRPr="00334406" w:rsidRDefault="00033F6C" w:rsidP="00AB1F4E">
      <w:pPr>
        <w:pStyle w:val="Odsekzoznamu"/>
        <w:ind w:left="0"/>
        <w:jc w:val="both"/>
        <w:rPr>
          <w:rFonts w:ascii="Arial" w:hAnsi="Arial" w:cs="Arial"/>
          <w:b/>
          <w:spacing w:val="7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AB1F4E" w:rsidRPr="00334406">
        <w:rPr>
          <w:rFonts w:ascii="Arial" w:hAnsi="Arial" w:cs="Arial"/>
          <w:sz w:val="22"/>
          <w:szCs w:val="22"/>
        </w:rPr>
        <w:t xml:space="preserve">aviesť </w:t>
      </w:r>
      <w:r w:rsidR="00C679B8" w:rsidRPr="00334406">
        <w:rPr>
          <w:rFonts w:ascii="Arial" w:hAnsi="Arial" w:cs="Arial"/>
          <w:sz w:val="22"/>
          <w:szCs w:val="22"/>
        </w:rPr>
        <w:t>navrhované opatrenia na rok 2017</w:t>
      </w:r>
      <w:r w:rsidR="00AB1F4E" w:rsidRPr="00334406">
        <w:rPr>
          <w:rFonts w:ascii="Arial" w:hAnsi="Arial" w:cs="Arial"/>
          <w:sz w:val="22"/>
          <w:szCs w:val="22"/>
        </w:rPr>
        <w:t xml:space="preserve"> vyplývajúce zo Správy z hodnotenia PHSR BSK </w:t>
      </w:r>
      <w:r w:rsidR="00F448A2" w:rsidRPr="00334406">
        <w:rPr>
          <w:rFonts w:ascii="Arial" w:hAnsi="Arial" w:cs="Arial"/>
          <w:sz w:val="22"/>
          <w:szCs w:val="22"/>
        </w:rPr>
        <w:t xml:space="preserve">na roky </w:t>
      </w:r>
      <w:r w:rsidR="00AB1F4E" w:rsidRPr="00334406">
        <w:rPr>
          <w:rFonts w:ascii="Arial" w:hAnsi="Arial" w:cs="Arial"/>
          <w:sz w:val="22"/>
          <w:szCs w:val="22"/>
        </w:rPr>
        <w:t>2014-2020 za rok 201</w:t>
      </w:r>
      <w:r w:rsidR="00C679B8" w:rsidRPr="00334406">
        <w:rPr>
          <w:rFonts w:ascii="Arial" w:hAnsi="Arial" w:cs="Arial"/>
          <w:sz w:val="22"/>
          <w:szCs w:val="22"/>
        </w:rPr>
        <w:t>6</w:t>
      </w:r>
    </w:p>
    <w:p w:rsidR="00AB1F4E" w:rsidRPr="00334406" w:rsidRDefault="00AB1F4E" w:rsidP="00AB1F4E">
      <w:pPr>
        <w:pStyle w:val="Odsekzoznamu"/>
        <w:ind w:left="0"/>
        <w:jc w:val="both"/>
        <w:rPr>
          <w:rFonts w:ascii="Arial" w:hAnsi="Arial" w:cs="Arial"/>
          <w:b/>
          <w:spacing w:val="70"/>
          <w:sz w:val="22"/>
          <w:szCs w:val="22"/>
        </w:rPr>
      </w:pPr>
    </w:p>
    <w:p w:rsidR="00AB1F4E" w:rsidRPr="00334406" w:rsidRDefault="00AB1F4E" w:rsidP="00AB1F4E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AB1F4E" w:rsidRPr="00334406" w:rsidRDefault="00AB1F4E" w:rsidP="00AB1F4E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334406">
        <w:rPr>
          <w:rFonts w:ascii="Arial" w:hAnsi="Arial" w:cs="Arial"/>
          <w:sz w:val="22"/>
          <w:szCs w:val="22"/>
        </w:rPr>
        <w:t xml:space="preserve">T: </w:t>
      </w:r>
      <w:r w:rsidR="00154862" w:rsidRPr="00334406">
        <w:rPr>
          <w:rFonts w:ascii="Arial" w:hAnsi="Arial" w:cs="Arial"/>
          <w:sz w:val="22"/>
          <w:szCs w:val="22"/>
        </w:rPr>
        <w:t>30.06.2018</w:t>
      </w:r>
    </w:p>
    <w:p w:rsidR="00AB1F4E" w:rsidRDefault="00AB1F4E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AB1F4E" w:rsidRDefault="00AB1F4E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AB1F4E" w:rsidRDefault="00AB1F4E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AB1F4E" w:rsidRDefault="00AB1F4E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2108FF" w:rsidRDefault="002108FF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2108FF" w:rsidRDefault="002108FF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2108FF" w:rsidRDefault="002108FF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2108FF" w:rsidRDefault="002108FF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2108FF" w:rsidRDefault="002108FF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2108FF" w:rsidRDefault="002108FF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2108FF" w:rsidRDefault="002108FF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2108FF" w:rsidRDefault="002108FF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2108FF" w:rsidRDefault="002108FF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2108FF" w:rsidRDefault="002108FF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C679B8" w:rsidRDefault="00C679B8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2108FF" w:rsidRDefault="002108FF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334406" w:rsidRDefault="00334406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2108FF" w:rsidRDefault="002108FF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334406" w:rsidRDefault="00334406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334406" w:rsidRDefault="00334406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2108FF" w:rsidRDefault="002108FF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2108FF" w:rsidRDefault="002108FF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2108FF" w:rsidRDefault="002108FF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2108FF" w:rsidRDefault="002108FF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979BC" w:rsidRDefault="00E979BC" w:rsidP="00AB1F4E">
      <w:pPr>
        <w:pStyle w:val="Odsekzoznamu"/>
        <w:ind w:left="0"/>
        <w:jc w:val="both"/>
        <w:rPr>
          <w:rFonts w:ascii="Arial" w:hAnsi="Arial" w:cs="Arial"/>
          <w:b/>
          <w:spacing w:val="70"/>
        </w:rPr>
        <w:sectPr w:rsidR="00E979BC" w:rsidSect="00E979BC">
          <w:footerReference w:type="default" r:id="rId8"/>
          <w:type w:val="continuous"/>
          <w:pgSz w:w="11906" w:h="16838"/>
          <w:pgMar w:top="1417" w:right="1417" w:bottom="993" w:left="1417" w:header="708" w:footer="708" w:gutter="0"/>
          <w:pgNumType w:start="2"/>
          <w:cols w:space="708"/>
          <w:docGrid w:linePitch="360"/>
        </w:sectPr>
      </w:pPr>
    </w:p>
    <w:p w:rsidR="00AB1F4E" w:rsidRPr="00334406" w:rsidRDefault="00AB1F4E" w:rsidP="00334406">
      <w:pPr>
        <w:jc w:val="center"/>
        <w:rPr>
          <w:rFonts w:ascii="Arial" w:hAnsi="Arial" w:cs="Arial"/>
          <w:b/>
          <w:sz w:val="22"/>
          <w:szCs w:val="22"/>
        </w:rPr>
      </w:pPr>
      <w:r w:rsidRPr="00334406">
        <w:rPr>
          <w:rFonts w:ascii="Arial" w:hAnsi="Arial" w:cs="Arial"/>
          <w:b/>
          <w:sz w:val="22"/>
          <w:szCs w:val="22"/>
        </w:rPr>
        <w:lastRenderedPageBreak/>
        <w:t>D ô v o d o v á   s p r á v a</w:t>
      </w:r>
    </w:p>
    <w:p w:rsidR="00AB1F4E" w:rsidRPr="00334406" w:rsidRDefault="00AB1F4E" w:rsidP="00AB1F4E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AB1F4E" w:rsidRPr="00334406" w:rsidRDefault="00AB1F4E" w:rsidP="00D6395E">
      <w:pPr>
        <w:spacing w:before="120"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34406">
        <w:rPr>
          <w:rFonts w:ascii="Arial" w:eastAsia="Calibri" w:hAnsi="Arial" w:cs="Arial"/>
          <w:sz w:val="22"/>
          <w:szCs w:val="22"/>
          <w:lang w:eastAsia="en-US"/>
        </w:rPr>
        <w:t xml:space="preserve">Bratislavský samosprávny kraj (ďalej len </w:t>
      </w:r>
      <w:r w:rsidR="00663BC5" w:rsidRPr="00334406">
        <w:rPr>
          <w:rFonts w:ascii="Arial" w:eastAsia="Calibri" w:hAnsi="Arial" w:cs="Arial"/>
          <w:sz w:val="22"/>
          <w:szCs w:val="22"/>
          <w:lang w:eastAsia="en-US"/>
        </w:rPr>
        <w:t>„</w:t>
      </w:r>
      <w:r w:rsidRPr="00334406">
        <w:rPr>
          <w:rFonts w:ascii="Arial" w:eastAsia="Calibri" w:hAnsi="Arial" w:cs="Arial"/>
          <w:sz w:val="22"/>
          <w:szCs w:val="22"/>
          <w:lang w:eastAsia="en-US"/>
        </w:rPr>
        <w:t>BSK</w:t>
      </w:r>
      <w:r w:rsidR="00663BC5" w:rsidRPr="00334406">
        <w:rPr>
          <w:rFonts w:ascii="Arial" w:eastAsia="Calibri" w:hAnsi="Arial" w:cs="Arial"/>
          <w:sz w:val="22"/>
          <w:szCs w:val="22"/>
          <w:lang w:eastAsia="en-US"/>
        </w:rPr>
        <w:t>“</w:t>
      </w:r>
      <w:r w:rsidRPr="00334406">
        <w:rPr>
          <w:rFonts w:ascii="Arial" w:eastAsia="Calibri" w:hAnsi="Arial" w:cs="Arial"/>
          <w:sz w:val="22"/>
          <w:szCs w:val="22"/>
          <w:lang w:eastAsia="en-US"/>
        </w:rPr>
        <w:t xml:space="preserve">) za účelom podpory regionálneho rozvoja podľa zákona č. 539/2008 Z.z. o podpore regionálneho rozvoja spracoval strednodobý strategický dokument Program hospodárskeho rozvoja a sociálneho rozvoja BSK na roky 2014-2020 (ďalej len </w:t>
      </w:r>
      <w:r w:rsidR="00663BC5" w:rsidRPr="00334406">
        <w:rPr>
          <w:rFonts w:ascii="Arial" w:eastAsia="Calibri" w:hAnsi="Arial" w:cs="Arial"/>
          <w:sz w:val="22"/>
          <w:szCs w:val="22"/>
          <w:lang w:eastAsia="en-US"/>
        </w:rPr>
        <w:t>„</w:t>
      </w:r>
      <w:r w:rsidR="00C679B8" w:rsidRPr="00334406">
        <w:rPr>
          <w:rFonts w:ascii="Arial" w:eastAsia="Calibri" w:hAnsi="Arial" w:cs="Arial"/>
          <w:sz w:val="22"/>
          <w:szCs w:val="22"/>
          <w:lang w:eastAsia="en-US"/>
        </w:rPr>
        <w:t>PHSR BSK 2014-2020</w:t>
      </w:r>
      <w:r w:rsidR="00663BC5" w:rsidRPr="00334406">
        <w:rPr>
          <w:rFonts w:ascii="Arial" w:eastAsia="Calibri" w:hAnsi="Arial" w:cs="Arial"/>
          <w:sz w:val="22"/>
          <w:szCs w:val="22"/>
          <w:lang w:eastAsia="en-US"/>
        </w:rPr>
        <w:t>“</w:t>
      </w:r>
      <w:r w:rsidRPr="00334406">
        <w:rPr>
          <w:rFonts w:ascii="Arial" w:eastAsia="Calibri" w:hAnsi="Arial" w:cs="Arial"/>
          <w:sz w:val="22"/>
          <w:szCs w:val="22"/>
          <w:lang w:eastAsia="en-US"/>
        </w:rPr>
        <w:t xml:space="preserve">), ktorý bol schválený </w:t>
      </w:r>
      <w:r w:rsidRPr="00334406">
        <w:rPr>
          <w:rFonts w:ascii="Arial" w:hAnsi="Arial" w:cs="Arial"/>
          <w:sz w:val="22"/>
          <w:szCs w:val="22"/>
        </w:rPr>
        <w:t xml:space="preserve">Uznesením č. 46/2013 </w:t>
      </w:r>
      <w:r w:rsidRPr="00334406">
        <w:rPr>
          <w:rFonts w:ascii="Arial" w:eastAsia="Calibri" w:hAnsi="Arial" w:cs="Arial"/>
          <w:sz w:val="22"/>
          <w:szCs w:val="22"/>
          <w:lang w:eastAsia="en-US"/>
        </w:rPr>
        <w:t xml:space="preserve"> Zastupiteľstvom Bratislavského samosprávneho kraja dňa 21.6.2013.</w:t>
      </w:r>
    </w:p>
    <w:p w:rsidR="00AB1F4E" w:rsidRPr="00334406" w:rsidRDefault="00AB1F4E" w:rsidP="00D6395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34406">
        <w:rPr>
          <w:rFonts w:ascii="Arial" w:hAnsi="Arial" w:cs="Arial"/>
          <w:sz w:val="22"/>
          <w:szCs w:val="22"/>
        </w:rPr>
        <w:t xml:space="preserve">V súlade s Uznesením č. 46/2013 Odbor stratégie, územného rozvoja a riadenia projektov spracoval </w:t>
      </w:r>
      <w:r w:rsidRPr="00334406">
        <w:rPr>
          <w:rFonts w:ascii="Arial" w:hAnsi="Arial" w:cs="Arial"/>
          <w:b/>
          <w:sz w:val="22"/>
          <w:szCs w:val="22"/>
        </w:rPr>
        <w:t>Správu z hodnotenia PHSR BSK 2014-2020 za rok</w:t>
      </w:r>
      <w:r w:rsidRPr="00334406">
        <w:rPr>
          <w:rFonts w:ascii="Arial" w:hAnsi="Arial" w:cs="Arial"/>
          <w:sz w:val="22"/>
          <w:szCs w:val="22"/>
        </w:rPr>
        <w:t xml:space="preserve"> </w:t>
      </w:r>
      <w:r w:rsidRPr="00334406">
        <w:rPr>
          <w:rFonts w:ascii="Arial" w:hAnsi="Arial" w:cs="Arial"/>
          <w:b/>
          <w:sz w:val="22"/>
          <w:szCs w:val="22"/>
        </w:rPr>
        <w:t>201</w:t>
      </w:r>
      <w:r w:rsidR="00C679B8" w:rsidRPr="00334406">
        <w:rPr>
          <w:rFonts w:ascii="Arial" w:hAnsi="Arial" w:cs="Arial"/>
          <w:b/>
          <w:sz w:val="22"/>
          <w:szCs w:val="22"/>
        </w:rPr>
        <w:t>6</w:t>
      </w:r>
      <w:r w:rsidRPr="00334406">
        <w:rPr>
          <w:rFonts w:ascii="Arial" w:hAnsi="Arial" w:cs="Arial"/>
          <w:b/>
          <w:sz w:val="22"/>
          <w:szCs w:val="22"/>
        </w:rPr>
        <w:t xml:space="preserve"> </w:t>
      </w:r>
      <w:r w:rsidRPr="00334406">
        <w:rPr>
          <w:rFonts w:ascii="Arial" w:hAnsi="Arial" w:cs="Arial"/>
          <w:sz w:val="22"/>
          <w:szCs w:val="22"/>
        </w:rPr>
        <w:t xml:space="preserve">(ďalej len </w:t>
      </w:r>
      <w:r w:rsidR="00C679B8" w:rsidRPr="00334406">
        <w:rPr>
          <w:rFonts w:ascii="Arial" w:hAnsi="Arial" w:cs="Arial"/>
          <w:sz w:val="22"/>
          <w:szCs w:val="22"/>
        </w:rPr>
        <w:t>„Správ</w:t>
      </w:r>
      <w:r w:rsidR="00663BC5" w:rsidRPr="00334406">
        <w:rPr>
          <w:rFonts w:ascii="Arial" w:hAnsi="Arial" w:cs="Arial"/>
          <w:sz w:val="22"/>
          <w:szCs w:val="22"/>
        </w:rPr>
        <w:t>a</w:t>
      </w:r>
      <w:r w:rsidR="00C679B8" w:rsidRPr="00334406">
        <w:rPr>
          <w:rFonts w:ascii="Arial" w:hAnsi="Arial" w:cs="Arial"/>
          <w:sz w:val="22"/>
          <w:szCs w:val="22"/>
        </w:rPr>
        <w:t>“</w:t>
      </w:r>
      <w:r w:rsidRPr="00334406">
        <w:rPr>
          <w:rFonts w:ascii="Arial" w:hAnsi="Arial" w:cs="Arial"/>
          <w:sz w:val="22"/>
          <w:szCs w:val="22"/>
        </w:rPr>
        <w:t xml:space="preserve">) prostredníctvom ktorej sa zabezpečuje monitorovanie a hodnotenie plnenia </w:t>
      </w:r>
      <w:r w:rsidR="00C679B8" w:rsidRPr="00334406">
        <w:rPr>
          <w:rFonts w:ascii="Arial" w:hAnsi="Arial" w:cs="Arial"/>
          <w:sz w:val="22"/>
          <w:szCs w:val="22"/>
        </w:rPr>
        <w:t>PHSR BSK 2014-2020 za rok 2016</w:t>
      </w:r>
      <w:r w:rsidRPr="00334406">
        <w:rPr>
          <w:rFonts w:ascii="Arial" w:hAnsi="Arial" w:cs="Arial"/>
          <w:sz w:val="22"/>
          <w:szCs w:val="22"/>
        </w:rPr>
        <w:t>.</w:t>
      </w:r>
    </w:p>
    <w:p w:rsidR="00C679B8" w:rsidRPr="00334406" w:rsidRDefault="00C679B8" w:rsidP="00D6395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34406">
        <w:rPr>
          <w:rFonts w:ascii="Arial" w:hAnsi="Arial" w:cs="Arial"/>
          <w:sz w:val="22"/>
          <w:szCs w:val="22"/>
        </w:rPr>
        <w:t>V súlade so systémom riadenia, definovaným v PHSR BSK 2014-2020, monitorovanie a</w:t>
      </w:r>
      <w:r w:rsidR="00E73C94">
        <w:rPr>
          <w:rFonts w:ascii="Arial" w:hAnsi="Arial" w:cs="Arial"/>
          <w:sz w:val="22"/>
          <w:szCs w:val="22"/>
        </w:rPr>
        <w:t> </w:t>
      </w:r>
      <w:r w:rsidRPr="00334406">
        <w:rPr>
          <w:rFonts w:ascii="Arial" w:hAnsi="Arial" w:cs="Arial"/>
          <w:sz w:val="22"/>
          <w:szCs w:val="22"/>
        </w:rPr>
        <w:t>hodnotenie predstavujú procesy, ktoré systematicky skúmajú aktuálny stav relevantných informácií a následne hodnotia ich súlad so stanovenými cieľmi v PHSR BSK 2014-2020, účinnosť realizovaných procesov, vhodnosť nastavenia jednotlivých opatrení a skupín aktivít a pripravujú odporúčania na</w:t>
      </w:r>
      <w:r w:rsidR="009179A5" w:rsidRPr="00334406">
        <w:rPr>
          <w:rFonts w:ascii="Arial" w:hAnsi="Arial" w:cs="Arial"/>
          <w:sz w:val="22"/>
          <w:szCs w:val="22"/>
        </w:rPr>
        <w:t> </w:t>
      </w:r>
      <w:r w:rsidRPr="00334406">
        <w:rPr>
          <w:rFonts w:ascii="Arial" w:hAnsi="Arial" w:cs="Arial"/>
          <w:sz w:val="22"/>
          <w:szCs w:val="22"/>
        </w:rPr>
        <w:t xml:space="preserve">zvýšenie ich efektívnosti. </w:t>
      </w:r>
    </w:p>
    <w:p w:rsidR="00AB1F4E" w:rsidRPr="00334406" w:rsidRDefault="00AB1F4E" w:rsidP="00D6395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34406">
        <w:rPr>
          <w:rFonts w:ascii="Arial" w:hAnsi="Arial" w:cs="Arial"/>
          <w:sz w:val="22"/>
          <w:szCs w:val="22"/>
        </w:rPr>
        <w:t xml:space="preserve">Správa vychádza z piatich prioritných osí a jedenástich opatrení, ktoré boli definované v strategickej a programovej časti PHSR BSK 2014-2020. </w:t>
      </w:r>
    </w:p>
    <w:p w:rsidR="00AB1F4E" w:rsidRPr="00334406" w:rsidRDefault="00AB1F4E" w:rsidP="00D6395E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AB1F4E" w:rsidRPr="00334406" w:rsidRDefault="00AB1F4E" w:rsidP="00D6395E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334406">
        <w:rPr>
          <w:rFonts w:ascii="Arial" w:hAnsi="Arial" w:cs="Arial"/>
          <w:b/>
          <w:sz w:val="22"/>
          <w:szCs w:val="22"/>
        </w:rPr>
        <w:t>Samotné monitorovanie a následne hodnotenie má tri časti spracované pre</w:t>
      </w:r>
      <w:r w:rsidR="002F2C6C" w:rsidRPr="00334406">
        <w:rPr>
          <w:rFonts w:ascii="Arial" w:hAnsi="Arial" w:cs="Arial"/>
          <w:b/>
          <w:sz w:val="22"/>
          <w:szCs w:val="22"/>
        </w:rPr>
        <w:t> </w:t>
      </w:r>
      <w:r w:rsidRPr="00334406">
        <w:rPr>
          <w:rFonts w:ascii="Arial" w:hAnsi="Arial" w:cs="Arial"/>
          <w:b/>
          <w:sz w:val="22"/>
          <w:szCs w:val="22"/>
        </w:rPr>
        <w:t>každú prioritnú os:</w:t>
      </w:r>
    </w:p>
    <w:p w:rsidR="00AB1F4E" w:rsidRPr="00334406" w:rsidRDefault="00AB1F4E" w:rsidP="00D6395E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34406">
        <w:rPr>
          <w:rFonts w:ascii="Arial" w:hAnsi="Arial" w:cs="Arial"/>
          <w:sz w:val="22"/>
          <w:szCs w:val="22"/>
        </w:rPr>
        <w:t>Východisková časť;</w:t>
      </w:r>
    </w:p>
    <w:p w:rsidR="00AB1F4E" w:rsidRPr="00334406" w:rsidRDefault="00AB1F4E" w:rsidP="00D6395E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34406">
        <w:rPr>
          <w:rFonts w:ascii="Arial" w:hAnsi="Arial" w:cs="Arial"/>
          <w:sz w:val="22"/>
          <w:szCs w:val="22"/>
        </w:rPr>
        <w:t>Analytická časť;</w:t>
      </w:r>
    </w:p>
    <w:p w:rsidR="00AB1F4E" w:rsidRPr="00334406" w:rsidRDefault="00AB1F4E" w:rsidP="00D6395E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34406">
        <w:rPr>
          <w:rFonts w:ascii="Arial" w:hAnsi="Arial" w:cs="Arial"/>
          <w:sz w:val="22"/>
          <w:szCs w:val="22"/>
        </w:rPr>
        <w:t>Hodnotiaca časť.</w:t>
      </w:r>
    </w:p>
    <w:p w:rsidR="00AB1F4E" w:rsidRPr="00334406" w:rsidRDefault="00AB1F4E" w:rsidP="00D6395E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AB1F4E" w:rsidRPr="00334406" w:rsidRDefault="00AB1F4E" w:rsidP="00D6395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34406">
        <w:rPr>
          <w:rFonts w:ascii="Arial" w:hAnsi="Arial" w:cs="Arial"/>
          <w:sz w:val="22"/>
          <w:szCs w:val="22"/>
        </w:rPr>
        <w:t>Záverom správy je návrhová časť, ktorá obsahuje opatrenia na rok 201</w:t>
      </w:r>
      <w:r w:rsidR="00C679B8" w:rsidRPr="00334406">
        <w:rPr>
          <w:rFonts w:ascii="Arial" w:hAnsi="Arial" w:cs="Arial"/>
          <w:sz w:val="22"/>
          <w:szCs w:val="22"/>
        </w:rPr>
        <w:t>7</w:t>
      </w:r>
      <w:r w:rsidRPr="00334406">
        <w:rPr>
          <w:rFonts w:ascii="Arial" w:hAnsi="Arial" w:cs="Arial"/>
          <w:sz w:val="22"/>
          <w:szCs w:val="22"/>
        </w:rPr>
        <w:t xml:space="preserve">, </w:t>
      </w:r>
      <w:r w:rsidR="00CD771A" w:rsidRPr="00334406">
        <w:rPr>
          <w:rFonts w:ascii="Arial" w:hAnsi="Arial" w:cs="Arial"/>
          <w:sz w:val="22"/>
          <w:szCs w:val="22"/>
        </w:rPr>
        <w:t>zvyšujúce</w:t>
      </w:r>
      <w:r w:rsidRPr="00334406">
        <w:rPr>
          <w:rFonts w:ascii="Arial" w:hAnsi="Arial" w:cs="Arial"/>
          <w:sz w:val="22"/>
          <w:szCs w:val="22"/>
        </w:rPr>
        <w:t xml:space="preserve"> efektivitu plnenia PHSR BSK 2014-2020.</w:t>
      </w:r>
    </w:p>
    <w:p w:rsidR="00AB1F4E" w:rsidRPr="00334406" w:rsidRDefault="00AB1F4E" w:rsidP="00D6395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34406">
        <w:rPr>
          <w:rFonts w:ascii="Arial" w:hAnsi="Arial" w:cs="Arial"/>
          <w:sz w:val="22"/>
          <w:szCs w:val="22"/>
        </w:rPr>
        <w:t xml:space="preserve">Správa bola v štádiu návrhu predložená na pripomienkovanie príslušným odborom Úradu BSK. </w:t>
      </w:r>
    </w:p>
    <w:p w:rsidR="00AB1F4E" w:rsidRDefault="00AB1F4E" w:rsidP="00D6395E">
      <w:pPr>
        <w:spacing w:after="2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AB1F4E" w:rsidRPr="00334406" w:rsidRDefault="00AB1F4E" w:rsidP="00AB1F4E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334406">
        <w:rPr>
          <w:rFonts w:ascii="Arial" w:hAnsi="Arial" w:cs="Arial"/>
          <w:b/>
          <w:sz w:val="22"/>
          <w:szCs w:val="22"/>
        </w:rPr>
        <w:lastRenderedPageBreak/>
        <w:t>1. Východisková časť</w:t>
      </w:r>
    </w:p>
    <w:p w:rsidR="00AB1F4E" w:rsidRPr="00334406" w:rsidRDefault="00C679B8" w:rsidP="00D6395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34406">
        <w:rPr>
          <w:rFonts w:ascii="Arial" w:hAnsi="Arial" w:cs="Arial"/>
          <w:sz w:val="22"/>
          <w:szCs w:val="22"/>
        </w:rPr>
        <w:t>Východisková časť p</w:t>
      </w:r>
      <w:r w:rsidR="00AB1F4E" w:rsidRPr="00334406">
        <w:rPr>
          <w:rFonts w:ascii="Arial" w:hAnsi="Arial" w:cs="Arial"/>
          <w:sz w:val="22"/>
          <w:szCs w:val="22"/>
        </w:rPr>
        <w:t>opisuje prepojenie analytickej a strategickej časti PHSR, predstavuje opatrenia a aktivity  jednotlivých prioritných osí, ktoré boli predmetom monitorovania a</w:t>
      </w:r>
      <w:r w:rsidRPr="00334406">
        <w:rPr>
          <w:rFonts w:ascii="Arial" w:hAnsi="Arial" w:cs="Arial"/>
          <w:sz w:val="22"/>
          <w:szCs w:val="22"/>
        </w:rPr>
        <w:t> </w:t>
      </w:r>
      <w:r w:rsidR="00AB1F4E" w:rsidRPr="00334406">
        <w:rPr>
          <w:rFonts w:ascii="Arial" w:hAnsi="Arial" w:cs="Arial"/>
          <w:sz w:val="22"/>
          <w:szCs w:val="22"/>
        </w:rPr>
        <w:t xml:space="preserve">hodnotenia. Detailnejšie rozpracovanie spolu so SWOT analýzou sa nachádza priamo v Správe. </w:t>
      </w:r>
    </w:p>
    <w:p w:rsidR="009179A5" w:rsidRPr="00334406" w:rsidRDefault="009179A5" w:rsidP="00AB1F4E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AB1F4E" w:rsidRPr="00334406" w:rsidRDefault="00AB1F4E" w:rsidP="00AB1F4E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334406">
        <w:rPr>
          <w:rFonts w:ascii="Arial" w:hAnsi="Arial" w:cs="Arial"/>
          <w:b/>
          <w:sz w:val="22"/>
          <w:szCs w:val="22"/>
        </w:rPr>
        <w:t>Prepojenia prioritných osí (PO 1-5) a opatrení (Opatrenia 1-11) PHSR BSK 2014-2020</w:t>
      </w:r>
    </w:p>
    <w:p w:rsidR="00AB1F4E" w:rsidRPr="006718A7" w:rsidRDefault="00AB1F4E" w:rsidP="00AB1F4E">
      <w:pPr>
        <w:pStyle w:val="Bezriadkovania"/>
        <w:jc w:val="left"/>
        <w:rPr>
          <w:rFonts w:cs="Arial"/>
        </w:rPr>
      </w:pPr>
      <w:r w:rsidRPr="005F276E">
        <w:rPr>
          <w:noProof/>
          <w:lang w:eastAsia="sk-SK"/>
        </w:rPr>
        <w:drawing>
          <wp:inline distT="0" distB="0" distL="0" distR="0">
            <wp:extent cx="5760720" cy="4968815"/>
            <wp:effectExtent l="76200" t="57150" r="0" b="41910"/>
            <wp:docPr id="49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AB1F4E" w:rsidRDefault="00AB1F4E" w:rsidP="00AB1F4E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AB1F4E" w:rsidRDefault="00AB1F4E" w:rsidP="00AB1F4E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AB1F4E" w:rsidRPr="00334406" w:rsidRDefault="00AB1F4E" w:rsidP="00AB1F4E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334406">
        <w:rPr>
          <w:rFonts w:ascii="Arial" w:hAnsi="Arial" w:cs="Arial"/>
          <w:b/>
          <w:sz w:val="22"/>
          <w:szCs w:val="22"/>
        </w:rPr>
        <w:lastRenderedPageBreak/>
        <w:t>2. Analytická časť</w:t>
      </w:r>
    </w:p>
    <w:p w:rsidR="00AB1F4E" w:rsidRPr="00334406" w:rsidRDefault="00C679B8" w:rsidP="00D6395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34406">
        <w:rPr>
          <w:rFonts w:ascii="Arial" w:hAnsi="Arial" w:cs="Arial"/>
          <w:sz w:val="22"/>
          <w:szCs w:val="22"/>
        </w:rPr>
        <w:t>Analytická časť o</w:t>
      </w:r>
      <w:r w:rsidR="00AB1F4E" w:rsidRPr="00334406">
        <w:rPr>
          <w:rFonts w:ascii="Arial" w:hAnsi="Arial" w:cs="Arial"/>
          <w:sz w:val="22"/>
          <w:szCs w:val="22"/>
        </w:rPr>
        <w:t>bsahuje analýzu vývoja sledovaných</w:t>
      </w:r>
      <w:r w:rsidRPr="00334406">
        <w:rPr>
          <w:rFonts w:ascii="Arial" w:hAnsi="Arial" w:cs="Arial"/>
          <w:sz w:val="22"/>
          <w:szCs w:val="22"/>
        </w:rPr>
        <w:t xml:space="preserve"> ukazovateľov v období 2010-2016</w:t>
      </w:r>
      <w:r w:rsidR="00AB1F4E" w:rsidRPr="00334406">
        <w:rPr>
          <w:rFonts w:ascii="Arial" w:hAnsi="Arial" w:cs="Arial"/>
          <w:sz w:val="22"/>
          <w:szCs w:val="22"/>
        </w:rPr>
        <w:t xml:space="preserve"> a porovnanie pokroku oproti plánovaným hodnotám v roku 2020. Detailnejšie rozpracovanie spolu s interpretáciou ukazovateľov sa nachádza priamo v Správe. </w:t>
      </w:r>
    </w:p>
    <w:p w:rsidR="00AB1F4E" w:rsidRPr="00334406" w:rsidRDefault="00AB1F4E" w:rsidP="00D6395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34406">
        <w:rPr>
          <w:rFonts w:ascii="Arial" w:hAnsi="Arial" w:cs="Arial"/>
          <w:sz w:val="22"/>
          <w:szCs w:val="22"/>
        </w:rPr>
        <w:t xml:space="preserve">Zber a vyhodnotenie údajov v Správe prebehlo k termínu </w:t>
      </w:r>
      <w:r w:rsidR="00C679B8" w:rsidRPr="00334406">
        <w:rPr>
          <w:rFonts w:ascii="Arial" w:hAnsi="Arial" w:cs="Arial"/>
          <w:sz w:val="22"/>
          <w:szCs w:val="22"/>
        </w:rPr>
        <w:t>01.05.2017</w:t>
      </w:r>
      <w:r w:rsidRPr="00334406">
        <w:rPr>
          <w:rFonts w:ascii="Arial" w:hAnsi="Arial" w:cs="Arial"/>
          <w:sz w:val="22"/>
          <w:szCs w:val="22"/>
        </w:rPr>
        <w:t>. Vzhľadom na</w:t>
      </w:r>
      <w:r w:rsidR="009179A5" w:rsidRPr="00334406">
        <w:rPr>
          <w:rFonts w:ascii="Arial" w:hAnsi="Arial" w:cs="Arial"/>
          <w:sz w:val="22"/>
          <w:szCs w:val="22"/>
        </w:rPr>
        <w:t> </w:t>
      </w:r>
      <w:r w:rsidRPr="00334406">
        <w:rPr>
          <w:rFonts w:ascii="Arial" w:hAnsi="Arial" w:cs="Arial"/>
          <w:sz w:val="22"/>
          <w:szCs w:val="22"/>
        </w:rPr>
        <w:t>to, že väčšina štatistických údajov bola dostupná len za rok 201</w:t>
      </w:r>
      <w:r w:rsidR="00C679B8" w:rsidRPr="00334406">
        <w:rPr>
          <w:rFonts w:ascii="Arial" w:hAnsi="Arial" w:cs="Arial"/>
          <w:sz w:val="22"/>
          <w:szCs w:val="22"/>
        </w:rPr>
        <w:t>5</w:t>
      </w:r>
      <w:r w:rsidRPr="00334406">
        <w:rPr>
          <w:rFonts w:ascii="Arial" w:hAnsi="Arial" w:cs="Arial"/>
          <w:sz w:val="22"/>
          <w:szCs w:val="22"/>
        </w:rPr>
        <w:t>, grafický prehľad porovnania súčasného stavu s cieľovými hodnotami naplánovanými na rok 2020 obsahuje údaje za rok 201</w:t>
      </w:r>
      <w:r w:rsidR="00C679B8" w:rsidRPr="00334406">
        <w:rPr>
          <w:rFonts w:ascii="Arial" w:hAnsi="Arial" w:cs="Arial"/>
          <w:sz w:val="22"/>
          <w:szCs w:val="22"/>
        </w:rPr>
        <w:t>5</w:t>
      </w:r>
      <w:r w:rsidRPr="00334406">
        <w:rPr>
          <w:rFonts w:ascii="Arial" w:hAnsi="Arial" w:cs="Arial"/>
          <w:sz w:val="22"/>
          <w:szCs w:val="22"/>
        </w:rPr>
        <w:t xml:space="preserve"> (</w:t>
      </w:r>
      <w:r w:rsidR="00C679B8" w:rsidRPr="00334406">
        <w:rPr>
          <w:rFonts w:ascii="Arial" w:hAnsi="Arial" w:cs="Arial"/>
          <w:sz w:val="22"/>
          <w:szCs w:val="22"/>
        </w:rPr>
        <w:t>p</w:t>
      </w:r>
      <w:r w:rsidRPr="00334406">
        <w:rPr>
          <w:rFonts w:ascii="Arial" w:hAnsi="Arial" w:cs="Arial"/>
          <w:sz w:val="22"/>
          <w:szCs w:val="22"/>
        </w:rPr>
        <w:t>rehľady pracujú s poslednými dostupnými údajmi).</w:t>
      </w:r>
    </w:p>
    <w:p w:rsidR="00AB1F4E" w:rsidRPr="00334406" w:rsidRDefault="00AB1F4E" w:rsidP="00AB1F4E">
      <w:pPr>
        <w:pStyle w:val="Bezriadkovania"/>
        <w:rPr>
          <w:sz w:val="22"/>
        </w:rPr>
      </w:pPr>
    </w:p>
    <w:p w:rsidR="00AB1F4E" w:rsidRPr="005A1402" w:rsidRDefault="00AB1F4E" w:rsidP="00AB1F4E">
      <w:pPr>
        <w:pStyle w:val="Bezriadkovania"/>
        <w:rPr>
          <w:rFonts w:cs="Arial"/>
          <w:b/>
          <w:sz w:val="22"/>
        </w:rPr>
      </w:pPr>
      <w:r w:rsidRPr="00334406">
        <w:rPr>
          <w:rFonts w:cs="Arial"/>
          <w:b/>
          <w:sz w:val="22"/>
        </w:rPr>
        <w:t>Porovnanie hodnôt</w:t>
      </w:r>
      <w:r w:rsidRPr="00334406">
        <w:rPr>
          <w:rFonts w:cs="Arial"/>
          <w:sz w:val="22"/>
        </w:rPr>
        <w:t xml:space="preserve"> </w:t>
      </w:r>
      <w:r w:rsidRPr="00334406">
        <w:rPr>
          <w:rFonts w:cs="Arial"/>
          <w:b/>
          <w:sz w:val="22"/>
        </w:rPr>
        <w:t>PO1: Veda, výskum a inovácie za rok 2014</w:t>
      </w:r>
      <w:r w:rsidR="00C679B8" w:rsidRPr="00334406">
        <w:rPr>
          <w:rFonts w:cs="Arial"/>
          <w:b/>
          <w:sz w:val="22"/>
        </w:rPr>
        <w:t xml:space="preserve"> </w:t>
      </w:r>
      <w:r w:rsidRPr="00334406">
        <w:rPr>
          <w:rFonts w:cs="Arial"/>
          <w:b/>
          <w:sz w:val="22"/>
        </w:rPr>
        <w:t>s cieľovými hodnotami v roku</w:t>
      </w:r>
      <w:r w:rsidRPr="00334406">
        <w:rPr>
          <w:rFonts w:cs="Arial"/>
          <w:sz w:val="22"/>
        </w:rPr>
        <w:t xml:space="preserve"> </w:t>
      </w:r>
      <w:r w:rsidRPr="00334406">
        <w:rPr>
          <w:rFonts w:cs="Arial"/>
          <w:b/>
          <w:sz w:val="22"/>
        </w:rPr>
        <w:t>2020</w:t>
      </w:r>
      <w:r w:rsidRPr="005A1402">
        <w:rPr>
          <w:rFonts w:cs="Arial"/>
          <w:b/>
          <w:sz w:val="22"/>
        </w:rPr>
        <w:tab/>
      </w:r>
    </w:p>
    <w:p w:rsidR="00AB1F4E" w:rsidRDefault="009179A5" w:rsidP="00AB1F4E">
      <w:pPr>
        <w:pStyle w:val="Bezriadkovania"/>
        <w:rPr>
          <w:sz w:val="24"/>
          <w:szCs w:val="24"/>
        </w:rPr>
      </w:pPr>
      <w:r>
        <w:rPr>
          <w:noProof/>
          <w:lang w:eastAsia="sk-SK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19050</wp:posOffset>
            </wp:positionV>
            <wp:extent cx="5735955" cy="2454275"/>
            <wp:effectExtent l="0" t="0" r="0" b="0"/>
            <wp:wrapNone/>
            <wp:docPr id="17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1F4E">
        <w:rPr>
          <w:noProof/>
          <w:lang w:eastAsia="sk-SK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67768</wp:posOffset>
            </wp:positionH>
            <wp:positionV relativeFrom="paragraph">
              <wp:posOffset>76776</wp:posOffset>
            </wp:positionV>
            <wp:extent cx="1826297" cy="425302"/>
            <wp:effectExtent l="0" t="0" r="254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198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B1F4E" w:rsidRDefault="009179A5" w:rsidP="00AB1F4E">
      <w:pPr>
        <w:pStyle w:val="Bezriadkovania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12808</wp:posOffset>
            </wp:positionH>
            <wp:positionV relativeFrom="paragraph">
              <wp:posOffset>64770</wp:posOffset>
            </wp:positionV>
            <wp:extent cx="1552575" cy="361950"/>
            <wp:effectExtent l="19050" t="0" r="9525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B1F4E" w:rsidRDefault="00AB1F4E" w:rsidP="00AB1F4E">
      <w:pPr>
        <w:pStyle w:val="Bezriadkovania"/>
        <w:rPr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tabs>
          <w:tab w:val="left" w:pos="6780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tabs>
          <w:tab w:val="left" w:pos="7920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F43DCB" w:rsidRDefault="00F43DCB" w:rsidP="008C3DEF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F43DCB" w:rsidRDefault="00F43DCB" w:rsidP="008C3DEF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1A1DB1" w:rsidRPr="0069524D" w:rsidRDefault="00F43DCB" w:rsidP="008C3DEF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69524D">
        <w:rPr>
          <w:rFonts w:ascii="Arial" w:hAnsi="Arial" w:cs="Arial"/>
          <w:sz w:val="22"/>
          <w:szCs w:val="22"/>
        </w:rPr>
        <w:t>V</w:t>
      </w:r>
      <w:r w:rsidR="005C442E">
        <w:rPr>
          <w:rFonts w:ascii="Arial" w:hAnsi="Arial" w:cs="Arial"/>
          <w:sz w:val="22"/>
          <w:szCs w:val="22"/>
        </w:rPr>
        <w:t xml:space="preserve"> oblasti vedy, výskumu a inovácií </w:t>
      </w:r>
      <w:r w:rsidRPr="0069524D">
        <w:rPr>
          <w:rFonts w:ascii="Arial" w:hAnsi="Arial" w:cs="Arial"/>
          <w:sz w:val="22"/>
          <w:szCs w:val="22"/>
        </w:rPr>
        <w:t>podľa aktuálnych štatistík</w:t>
      </w:r>
      <w:r w:rsidR="005C442E">
        <w:rPr>
          <w:rFonts w:ascii="Arial" w:hAnsi="Arial" w:cs="Arial"/>
          <w:sz w:val="22"/>
          <w:szCs w:val="22"/>
        </w:rPr>
        <w:t xml:space="preserve"> v </w:t>
      </w:r>
      <w:r w:rsidR="005C442E" w:rsidRPr="0069524D">
        <w:rPr>
          <w:rFonts w:ascii="Arial" w:hAnsi="Arial" w:cs="Arial"/>
          <w:sz w:val="22"/>
          <w:szCs w:val="22"/>
        </w:rPr>
        <w:t>BSK</w:t>
      </w:r>
      <w:r w:rsidRPr="0069524D">
        <w:rPr>
          <w:rFonts w:ascii="Arial" w:hAnsi="Arial" w:cs="Arial"/>
          <w:sz w:val="22"/>
          <w:szCs w:val="22"/>
        </w:rPr>
        <w:t xml:space="preserve"> môžeme</w:t>
      </w:r>
      <w:r w:rsidR="001A1DB1" w:rsidRPr="0069524D">
        <w:rPr>
          <w:rFonts w:ascii="Arial" w:hAnsi="Arial" w:cs="Arial"/>
          <w:sz w:val="22"/>
          <w:szCs w:val="22"/>
        </w:rPr>
        <w:t xml:space="preserve"> sledovať </w:t>
      </w:r>
      <w:r w:rsidRPr="0069524D">
        <w:rPr>
          <w:rFonts w:ascii="Arial" w:hAnsi="Arial" w:cs="Arial"/>
          <w:sz w:val="22"/>
          <w:szCs w:val="22"/>
        </w:rPr>
        <w:t>najpozitívnejší</w:t>
      </w:r>
      <w:r w:rsidR="001A1DB1" w:rsidRPr="0069524D">
        <w:rPr>
          <w:rFonts w:ascii="Arial" w:hAnsi="Arial" w:cs="Arial"/>
          <w:sz w:val="22"/>
          <w:szCs w:val="22"/>
        </w:rPr>
        <w:t xml:space="preserve"> trend vývoj</w:t>
      </w:r>
      <w:r w:rsidR="00D6395E" w:rsidRPr="0069524D">
        <w:rPr>
          <w:rFonts w:ascii="Arial" w:hAnsi="Arial" w:cs="Arial"/>
          <w:sz w:val="22"/>
          <w:szCs w:val="22"/>
        </w:rPr>
        <w:t>a</w:t>
      </w:r>
      <w:r w:rsidR="001A1DB1" w:rsidRPr="0069524D">
        <w:rPr>
          <w:rFonts w:ascii="Arial" w:hAnsi="Arial" w:cs="Arial"/>
          <w:sz w:val="22"/>
          <w:szCs w:val="22"/>
        </w:rPr>
        <w:t xml:space="preserve"> ukazovateľa reprezentujúceho podiel domácností pripojených k</w:t>
      </w:r>
      <w:r w:rsidR="00D85196">
        <w:rPr>
          <w:rFonts w:ascii="Arial" w:hAnsi="Arial" w:cs="Arial"/>
          <w:sz w:val="22"/>
          <w:szCs w:val="22"/>
        </w:rPr>
        <w:t> </w:t>
      </w:r>
      <w:r w:rsidR="001A1DB1" w:rsidRPr="0069524D">
        <w:rPr>
          <w:rFonts w:ascii="Arial" w:hAnsi="Arial" w:cs="Arial"/>
          <w:sz w:val="22"/>
          <w:szCs w:val="22"/>
        </w:rPr>
        <w:t>vysokorýchlostnému internetu</w:t>
      </w:r>
      <w:r w:rsidR="0069524D">
        <w:rPr>
          <w:rFonts w:ascii="Arial" w:hAnsi="Arial" w:cs="Arial"/>
          <w:sz w:val="22"/>
          <w:szCs w:val="22"/>
        </w:rPr>
        <w:t xml:space="preserve"> (</w:t>
      </w:r>
      <w:r w:rsidR="001A1DB1" w:rsidRPr="0069524D">
        <w:rPr>
          <w:rFonts w:ascii="Arial" w:hAnsi="Arial" w:cs="Arial"/>
          <w:sz w:val="22"/>
          <w:szCs w:val="22"/>
        </w:rPr>
        <w:t>120%</w:t>
      </w:r>
      <w:r w:rsidR="0069524D">
        <w:rPr>
          <w:rFonts w:ascii="Arial" w:hAnsi="Arial" w:cs="Arial"/>
          <w:sz w:val="22"/>
          <w:szCs w:val="22"/>
        </w:rPr>
        <w:t>)</w:t>
      </w:r>
      <w:r w:rsidR="00D85196">
        <w:rPr>
          <w:rFonts w:ascii="Arial" w:hAnsi="Arial" w:cs="Arial"/>
          <w:sz w:val="22"/>
          <w:szCs w:val="22"/>
        </w:rPr>
        <w:t xml:space="preserve">, </w:t>
      </w:r>
      <w:r w:rsidR="001A1DB1" w:rsidRPr="0069524D">
        <w:rPr>
          <w:rFonts w:ascii="Arial" w:hAnsi="Arial" w:cs="Arial"/>
          <w:sz w:val="22"/>
          <w:szCs w:val="22"/>
        </w:rPr>
        <w:t>čo</w:t>
      </w:r>
      <w:r w:rsidR="0069524D">
        <w:rPr>
          <w:rFonts w:ascii="Arial" w:hAnsi="Arial" w:cs="Arial"/>
          <w:sz w:val="22"/>
          <w:szCs w:val="22"/>
        </w:rPr>
        <w:t> </w:t>
      </w:r>
      <w:r w:rsidR="001A1DB1" w:rsidRPr="0069524D">
        <w:rPr>
          <w:rFonts w:ascii="Arial" w:hAnsi="Arial" w:cs="Arial"/>
          <w:sz w:val="22"/>
          <w:szCs w:val="22"/>
        </w:rPr>
        <w:t xml:space="preserve">má výrazný dopad na informovanosť spoločnosti v kraji. </w:t>
      </w:r>
      <w:r w:rsidRPr="0069524D">
        <w:rPr>
          <w:rFonts w:ascii="Arial" w:hAnsi="Arial" w:cs="Arial"/>
          <w:sz w:val="22"/>
          <w:szCs w:val="22"/>
        </w:rPr>
        <w:t xml:space="preserve">Naopak, </w:t>
      </w:r>
      <w:r w:rsidR="00D85196">
        <w:rPr>
          <w:rFonts w:ascii="Arial" w:hAnsi="Arial" w:cs="Arial"/>
          <w:sz w:val="22"/>
          <w:szCs w:val="22"/>
        </w:rPr>
        <w:t>nepriaznivý stav</w:t>
      </w:r>
      <w:r w:rsidRPr="0069524D">
        <w:rPr>
          <w:rFonts w:ascii="Arial" w:hAnsi="Arial" w:cs="Arial"/>
          <w:sz w:val="22"/>
          <w:szCs w:val="22"/>
        </w:rPr>
        <w:t xml:space="preserve"> ostáva pri ukazovateli </w:t>
      </w:r>
      <w:r w:rsidR="001A1DB1" w:rsidRPr="0069524D">
        <w:rPr>
          <w:rFonts w:ascii="Arial" w:hAnsi="Arial" w:cs="Arial"/>
          <w:sz w:val="22"/>
          <w:szCs w:val="22"/>
        </w:rPr>
        <w:t>poč</w:t>
      </w:r>
      <w:r w:rsidRPr="0069524D">
        <w:rPr>
          <w:rFonts w:ascii="Arial" w:hAnsi="Arial" w:cs="Arial"/>
          <w:sz w:val="22"/>
          <w:szCs w:val="22"/>
        </w:rPr>
        <w:t>tu výskumných pracovníkov (</w:t>
      </w:r>
      <w:r w:rsidR="00BC1EA2">
        <w:rPr>
          <w:rFonts w:ascii="Arial" w:hAnsi="Arial" w:cs="Arial"/>
          <w:sz w:val="22"/>
          <w:szCs w:val="22"/>
        </w:rPr>
        <w:t>72</w:t>
      </w:r>
      <w:r w:rsidRPr="0069524D">
        <w:rPr>
          <w:rFonts w:ascii="Arial" w:hAnsi="Arial" w:cs="Arial"/>
          <w:sz w:val="22"/>
          <w:szCs w:val="22"/>
        </w:rPr>
        <w:t>%), aj keď</w:t>
      </w:r>
      <w:r w:rsidR="001A1DB1" w:rsidRPr="0069524D">
        <w:rPr>
          <w:rFonts w:ascii="Arial" w:hAnsi="Arial" w:cs="Arial"/>
          <w:sz w:val="22"/>
          <w:szCs w:val="22"/>
        </w:rPr>
        <w:t xml:space="preserve"> v porovnaní s ostatnými krajmi SR má BSK postavenie dominantného inovačného regiónu a jeho poz</w:t>
      </w:r>
      <w:r w:rsidRPr="0069524D">
        <w:rPr>
          <w:rFonts w:ascii="Arial" w:hAnsi="Arial" w:cs="Arial"/>
          <w:sz w:val="22"/>
          <w:szCs w:val="22"/>
        </w:rPr>
        <w:t>ícia sa každým rokom posilňuje</w:t>
      </w:r>
      <w:r w:rsidR="0069524D">
        <w:rPr>
          <w:rFonts w:ascii="Arial" w:hAnsi="Arial" w:cs="Arial"/>
          <w:sz w:val="22"/>
          <w:szCs w:val="22"/>
        </w:rPr>
        <w:t>,</w:t>
      </w:r>
      <w:r w:rsidRPr="0069524D">
        <w:rPr>
          <w:rFonts w:ascii="Arial" w:hAnsi="Arial" w:cs="Arial"/>
          <w:sz w:val="22"/>
          <w:szCs w:val="22"/>
        </w:rPr>
        <w:t xml:space="preserve"> a pri ukazovateli </w:t>
      </w:r>
      <w:r w:rsidR="001A1DB1" w:rsidRPr="0069524D">
        <w:rPr>
          <w:rFonts w:ascii="Arial" w:hAnsi="Arial" w:cs="Arial"/>
          <w:sz w:val="22"/>
          <w:szCs w:val="22"/>
        </w:rPr>
        <w:t>celko</w:t>
      </w:r>
      <w:r w:rsidRPr="0069524D">
        <w:rPr>
          <w:rFonts w:ascii="Arial" w:hAnsi="Arial" w:cs="Arial"/>
          <w:sz w:val="22"/>
          <w:szCs w:val="22"/>
        </w:rPr>
        <w:t>vých</w:t>
      </w:r>
      <w:r w:rsidR="001A1DB1" w:rsidRPr="0069524D">
        <w:rPr>
          <w:rFonts w:ascii="Arial" w:hAnsi="Arial" w:cs="Arial"/>
          <w:sz w:val="22"/>
          <w:szCs w:val="22"/>
        </w:rPr>
        <w:t xml:space="preserve"> výdavk</w:t>
      </w:r>
      <w:r w:rsidRPr="0069524D">
        <w:rPr>
          <w:rFonts w:ascii="Arial" w:hAnsi="Arial" w:cs="Arial"/>
          <w:sz w:val="22"/>
          <w:szCs w:val="22"/>
        </w:rPr>
        <w:t xml:space="preserve">ov na vedu a výskum </w:t>
      </w:r>
      <w:r w:rsidR="001A1DB1" w:rsidRPr="0069524D">
        <w:rPr>
          <w:rFonts w:ascii="Arial" w:hAnsi="Arial" w:cs="Arial"/>
          <w:sz w:val="22"/>
          <w:szCs w:val="22"/>
        </w:rPr>
        <w:t>(47%), ktoré aj napriek slabej štátnej podpore rastú,</w:t>
      </w:r>
      <w:r w:rsidRPr="0069524D">
        <w:rPr>
          <w:rFonts w:ascii="Arial" w:hAnsi="Arial" w:cs="Arial"/>
          <w:sz w:val="22"/>
          <w:szCs w:val="22"/>
        </w:rPr>
        <w:t xml:space="preserve"> najmä vďaka </w:t>
      </w:r>
      <w:r w:rsidR="0069524D" w:rsidRPr="0069524D">
        <w:rPr>
          <w:rFonts w:ascii="Arial" w:hAnsi="Arial" w:cs="Arial"/>
          <w:sz w:val="22"/>
          <w:szCs w:val="22"/>
        </w:rPr>
        <w:t xml:space="preserve">predchádzajúcej </w:t>
      </w:r>
      <w:r w:rsidRPr="0069524D">
        <w:rPr>
          <w:rFonts w:ascii="Arial" w:hAnsi="Arial" w:cs="Arial"/>
          <w:sz w:val="22"/>
          <w:szCs w:val="22"/>
        </w:rPr>
        <w:t>podpore z</w:t>
      </w:r>
      <w:r w:rsidR="0069524D" w:rsidRPr="0069524D">
        <w:rPr>
          <w:rFonts w:ascii="Arial" w:hAnsi="Arial" w:cs="Arial"/>
          <w:sz w:val="22"/>
          <w:szCs w:val="22"/>
        </w:rPr>
        <w:t> OP VaV</w:t>
      </w:r>
      <w:r w:rsidR="00D85196">
        <w:rPr>
          <w:rFonts w:ascii="Arial" w:hAnsi="Arial" w:cs="Arial"/>
          <w:sz w:val="22"/>
          <w:szCs w:val="22"/>
        </w:rPr>
        <w:t xml:space="preserve">, z ktorého bola podporená vedecká infraštruktúra </w:t>
      </w:r>
      <w:r w:rsidR="0069524D" w:rsidRPr="0069524D">
        <w:rPr>
          <w:rFonts w:ascii="Arial" w:hAnsi="Arial" w:cs="Arial"/>
          <w:sz w:val="22"/>
          <w:szCs w:val="22"/>
        </w:rPr>
        <w:t xml:space="preserve"> a</w:t>
      </w:r>
      <w:r w:rsidR="0069524D">
        <w:rPr>
          <w:rFonts w:ascii="Arial" w:hAnsi="Arial" w:cs="Arial"/>
          <w:sz w:val="22"/>
          <w:szCs w:val="22"/>
        </w:rPr>
        <w:t> </w:t>
      </w:r>
      <w:r w:rsidR="0069524D" w:rsidRPr="0069524D">
        <w:rPr>
          <w:rFonts w:ascii="Arial" w:hAnsi="Arial" w:cs="Arial"/>
          <w:sz w:val="22"/>
          <w:szCs w:val="22"/>
        </w:rPr>
        <w:t>v</w:t>
      </w:r>
      <w:r w:rsidR="0069524D">
        <w:rPr>
          <w:rFonts w:ascii="Arial" w:hAnsi="Arial" w:cs="Arial"/>
          <w:sz w:val="22"/>
          <w:szCs w:val="22"/>
        </w:rPr>
        <w:t> </w:t>
      </w:r>
      <w:r w:rsidR="0069524D" w:rsidRPr="0069524D">
        <w:rPr>
          <w:rFonts w:ascii="Arial" w:hAnsi="Arial" w:cs="Arial"/>
          <w:sz w:val="22"/>
          <w:szCs w:val="22"/>
        </w:rPr>
        <w:t>súčasnosti</w:t>
      </w:r>
      <w:r w:rsidRPr="0069524D">
        <w:rPr>
          <w:rFonts w:ascii="Arial" w:hAnsi="Arial" w:cs="Arial"/>
          <w:sz w:val="22"/>
          <w:szCs w:val="22"/>
        </w:rPr>
        <w:t> OP VaI</w:t>
      </w:r>
      <w:r w:rsidR="0069524D" w:rsidRPr="0069524D">
        <w:rPr>
          <w:rFonts w:ascii="Arial" w:hAnsi="Arial" w:cs="Arial"/>
          <w:sz w:val="22"/>
          <w:szCs w:val="22"/>
        </w:rPr>
        <w:t xml:space="preserve">, ktorý podporuje najmä </w:t>
      </w:r>
      <w:r w:rsidR="0069524D">
        <w:rPr>
          <w:rFonts w:ascii="Arial" w:hAnsi="Arial" w:cs="Arial"/>
          <w:sz w:val="22"/>
          <w:szCs w:val="22"/>
        </w:rPr>
        <w:t xml:space="preserve">vedecký </w:t>
      </w:r>
      <w:r w:rsidR="0069524D" w:rsidRPr="0069524D">
        <w:rPr>
          <w:rFonts w:ascii="Arial" w:hAnsi="Arial" w:cs="Arial"/>
          <w:sz w:val="22"/>
          <w:szCs w:val="22"/>
        </w:rPr>
        <w:t xml:space="preserve">výskum a ľudské zdroje. </w:t>
      </w:r>
      <w:bookmarkStart w:id="0" w:name="_GoBack"/>
      <w:bookmarkEnd w:id="0"/>
    </w:p>
    <w:p w:rsidR="001A1DB1" w:rsidRPr="001A1DB1" w:rsidRDefault="001A1DB1" w:rsidP="00AB1F4E">
      <w:pPr>
        <w:pStyle w:val="Bezriadkovania"/>
        <w:rPr>
          <w:rFonts w:eastAsia="Times New Roman" w:cs="Arial"/>
          <w:sz w:val="22"/>
          <w:lang w:eastAsia="sk-SK"/>
        </w:rPr>
      </w:pPr>
    </w:p>
    <w:p w:rsidR="00AB1F4E" w:rsidRPr="005A1402" w:rsidRDefault="00AB1F4E" w:rsidP="00AB1F4E">
      <w:pPr>
        <w:pStyle w:val="Bezriadkovania"/>
        <w:rPr>
          <w:rFonts w:cs="Arial"/>
          <w:b/>
          <w:sz w:val="22"/>
          <w:szCs w:val="24"/>
        </w:rPr>
      </w:pPr>
      <w:r w:rsidRPr="00334406">
        <w:rPr>
          <w:rFonts w:cs="Arial"/>
          <w:b/>
          <w:sz w:val="22"/>
          <w:szCs w:val="24"/>
        </w:rPr>
        <w:t>Porovnanie hodnôt</w:t>
      </w:r>
      <w:r w:rsidRPr="005A1402">
        <w:rPr>
          <w:rFonts w:cs="Arial"/>
          <w:sz w:val="22"/>
          <w:szCs w:val="24"/>
        </w:rPr>
        <w:t xml:space="preserve"> </w:t>
      </w:r>
      <w:r w:rsidRPr="005A1402">
        <w:rPr>
          <w:rFonts w:cs="Arial"/>
          <w:b/>
          <w:sz w:val="22"/>
          <w:szCs w:val="24"/>
        </w:rPr>
        <w:t>PO2: Ľudské zdroje za rok</w:t>
      </w:r>
      <w:r>
        <w:rPr>
          <w:rFonts w:cs="Arial"/>
          <w:b/>
          <w:sz w:val="22"/>
          <w:szCs w:val="24"/>
        </w:rPr>
        <w:t xml:space="preserve"> 2014</w:t>
      </w:r>
      <w:r w:rsidR="00C679B8">
        <w:rPr>
          <w:rFonts w:cs="Arial"/>
          <w:b/>
          <w:sz w:val="22"/>
          <w:szCs w:val="24"/>
        </w:rPr>
        <w:t xml:space="preserve"> </w:t>
      </w:r>
      <w:r w:rsidRPr="00334406">
        <w:rPr>
          <w:rFonts w:cs="Arial"/>
          <w:b/>
          <w:sz w:val="22"/>
          <w:szCs w:val="24"/>
        </w:rPr>
        <w:t>s cieľovými hodnotami v roku</w:t>
      </w:r>
      <w:r w:rsidRPr="005A1402">
        <w:rPr>
          <w:rFonts w:cs="Arial"/>
          <w:sz w:val="22"/>
          <w:szCs w:val="24"/>
        </w:rPr>
        <w:t xml:space="preserve"> </w:t>
      </w:r>
      <w:r w:rsidRPr="005A1402">
        <w:rPr>
          <w:rFonts w:cs="Arial"/>
          <w:b/>
          <w:sz w:val="22"/>
          <w:szCs w:val="24"/>
        </w:rPr>
        <w:t>2020</w:t>
      </w:r>
    </w:p>
    <w:p w:rsidR="00AB1F4E" w:rsidRDefault="00AB1F4E" w:rsidP="00AB1F4E">
      <w:pPr>
        <w:pStyle w:val="Bezriadkovania"/>
        <w:rPr>
          <w:sz w:val="24"/>
          <w:szCs w:val="24"/>
        </w:rPr>
      </w:pPr>
      <w:r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15240</wp:posOffset>
            </wp:positionV>
            <wp:extent cx="5762445" cy="2340000"/>
            <wp:effectExtent l="0" t="0" r="0" b="0"/>
            <wp:wrapNone/>
            <wp:docPr id="20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1F4E" w:rsidRPr="006718A7" w:rsidRDefault="00AB1F4E" w:rsidP="00AB1F4E">
      <w:pPr>
        <w:pStyle w:val="Bezriadkovania"/>
        <w:rPr>
          <w:rFonts w:cs="Arial"/>
          <w:noProof/>
          <w:szCs w:val="20"/>
          <w:lang w:eastAsia="sk-SK"/>
        </w:rPr>
      </w:pPr>
    </w:p>
    <w:p w:rsidR="00AB1F4E" w:rsidRPr="006718A7" w:rsidRDefault="00AB1F4E" w:rsidP="00AB1F4E">
      <w:pPr>
        <w:jc w:val="center"/>
        <w:rPr>
          <w:rFonts w:cs="Arial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F43DCB" w:rsidRDefault="00F43DCB" w:rsidP="00D6395E">
      <w:pPr>
        <w:pStyle w:val="Bezriadkovania"/>
        <w:rPr>
          <w:rFonts w:eastAsia="Times New Roman" w:cs="Arial"/>
          <w:sz w:val="22"/>
          <w:lang w:eastAsia="sk-SK"/>
        </w:rPr>
      </w:pPr>
    </w:p>
    <w:p w:rsidR="00F43DCB" w:rsidRDefault="00F43DCB" w:rsidP="00D6395E">
      <w:pPr>
        <w:pStyle w:val="Bezriadkovania"/>
        <w:rPr>
          <w:rFonts w:eastAsia="Times New Roman" w:cs="Arial"/>
          <w:sz w:val="22"/>
          <w:lang w:eastAsia="sk-SK"/>
        </w:rPr>
      </w:pPr>
    </w:p>
    <w:p w:rsidR="001A1DB1" w:rsidRPr="0069524D" w:rsidRDefault="00F43DCB" w:rsidP="00D6395E">
      <w:pPr>
        <w:pStyle w:val="Bezriadkovania"/>
        <w:rPr>
          <w:rFonts w:eastAsia="Times New Roman" w:cs="Arial"/>
          <w:sz w:val="22"/>
          <w:lang w:eastAsia="sk-SK"/>
        </w:rPr>
      </w:pPr>
      <w:r w:rsidRPr="0069524D">
        <w:rPr>
          <w:rFonts w:eastAsia="Times New Roman" w:cs="Arial"/>
          <w:sz w:val="22"/>
          <w:lang w:eastAsia="sk-SK"/>
        </w:rPr>
        <w:lastRenderedPageBreak/>
        <w:t>V</w:t>
      </w:r>
      <w:r w:rsidR="00D85196">
        <w:rPr>
          <w:rFonts w:eastAsia="Times New Roman" w:cs="Arial"/>
          <w:sz w:val="22"/>
          <w:lang w:eastAsia="sk-SK"/>
        </w:rPr>
        <w:t> </w:t>
      </w:r>
      <w:r w:rsidRPr="0069524D">
        <w:rPr>
          <w:rFonts w:eastAsia="Times New Roman" w:cs="Arial"/>
          <w:sz w:val="22"/>
          <w:lang w:eastAsia="sk-SK"/>
        </w:rPr>
        <w:t>BSK</w:t>
      </w:r>
      <w:r w:rsidR="00D85196">
        <w:rPr>
          <w:rFonts w:eastAsia="Times New Roman" w:cs="Arial"/>
          <w:sz w:val="22"/>
          <w:lang w:eastAsia="sk-SK"/>
        </w:rPr>
        <w:t xml:space="preserve"> v oblasti ľudských zdrojov</w:t>
      </w:r>
      <w:r w:rsidRPr="0069524D">
        <w:rPr>
          <w:rFonts w:eastAsia="Times New Roman" w:cs="Arial"/>
          <w:sz w:val="22"/>
          <w:lang w:eastAsia="sk-SK"/>
        </w:rPr>
        <w:t xml:space="preserve"> podľa </w:t>
      </w:r>
      <w:r w:rsidR="001A1DB1" w:rsidRPr="0069524D">
        <w:rPr>
          <w:rFonts w:eastAsia="Times New Roman" w:cs="Arial"/>
          <w:sz w:val="22"/>
          <w:lang w:eastAsia="sk-SK"/>
        </w:rPr>
        <w:t>dostupných dát</w:t>
      </w:r>
      <w:r w:rsidRPr="0069524D">
        <w:rPr>
          <w:rFonts w:eastAsia="Times New Roman" w:cs="Arial"/>
          <w:sz w:val="22"/>
          <w:lang w:eastAsia="sk-SK"/>
        </w:rPr>
        <w:t xml:space="preserve"> </w:t>
      </w:r>
      <w:r w:rsidR="001A1DB1" w:rsidRPr="0069524D">
        <w:rPr>
          <w:rFonts w:eastAsia="Times New Roman" w:cs="Arial"/>
          <w:sz w:val="22"/>
          <w:lang w:eastAsia="sk-SK"/>
        </w:rPr>
        <w:t>najvyššie</w:t>
      </w:r>
      <w:r w:rsidRPr="0069524D">
        <w:rPr>
          <w:rFonts w:eastAsia="Times New Roman" w:cs="Arial"/>
          <w:sz w:val="22"/>
          <w:lang w:eastAsia="sk-SK"/>
        </w:rPr>
        <w:t xml:space="preserve"> priaznivé</w:t>
      </w:r>
      <w:r w:rsidR="001A1DB1" w:rsidRPr="0069524D">
        <w:rPr>
          <w:rFonts w:eastAsia="Times New Roman" w:cs="Arial"/>
          <w:sz w:val="22"/>
          <w:lang w:eastAsia="sk-SK"/>
        </w:rPr>
        <w:t xml:space="preserve"> hodnoty v roku 2016</w:t>
      </w:r>
      <w:r w:rsidRPr="0069524D">
        <w:rPr>
          <w:rFonts w:eastAsia="Times New Roman" w:cs="Arial"/>
          <w:sz w:val="22"/>
          <w:lang w:eastAsia="sk-SK"/>
        </w:rPr>
        <w:t xml:space="preserve"> </w:t>
      </w:r>
      <w:r w:rsidR="001A1DB1" w:rsidRPr="0069524D">
        <w:rPr>
          <w:rFonts w:eastAsia="Times New Roman" w:cs="Arial"/>
          <w:sz w:val="22"/>
          <w:lang w:eastAsia="sk-SK"/>
        </w:rPr>
        <w:t>dosiahli ukazovatele celkový prírastok obyvateľstva (112%)</w:t>
      </w:r>
      <w:r w:rsidR="00D85196">
        <w:rPr>
          <w:rFonts w:eastAsia="Times New Roman" w:cs="Arial"/>
          <w:sz w:val="22"/>
          <w:lang w:eastAsia="sk-SK"/>
        </w:rPr>
        <w:t>, aj keď podľa štatistík je BSK jeden z najstarších krajov</w:t>
      </w:r>
      <w:r w:rsidR="007E17B4">
        <w:rPr>
          <w:rFonts w:eastAsia="Times New Roman" w:cs="Arial"/>
          <w:sz w:val="22"/>
          <w:lang w:eastAsia="sk-SK"/>
        </w:rPr>
        <w:t xml:space="preserve"> SR</w:t>
      </w:r>
      <w:r w:rsidR="00D85196">
        <w:rPr>
          <w:rFonts w:eastAsia="Times New Roman" w:cs="Arial"/>
          <w:sz w:val="22"/>
          <w:lang w:eastAsia="sk-SK"/>
        </w:rPr>
        <w:t xml:space="preserve"> z hľadiska vekovej štruktúry,</w:t>
      </w:r>
      <w:r w:rsidR="001A1DB1" w:rsidRPr="0069524D">
        <w:rPr>
          <w:rFonts w:eastAsia="Times New Roman" w:cs="Arial"/>
          <w:sz w:val="22"/>
          <w:lang w:eastAsia="sk-SK"/>
        </w:rPr>
        <w:t xml:space="preserve"> a saldo sťahovania obyvateľstva (124%), pričom pri </w:t>
      </w:r>
      <w:r w:rsidR="00D85196">
        <w:rPr>
          <w:rFonts w:eastAsia="Times New Roman" w:cs="Arial"/>
          <w:sz w:val="22"/>
          <w:lang w:eastAsia="sk-SK"/>
        </w:rPr>
        <w:t>tomto ukazovateli</w:t>
      </w:r>
      <w:r w:rsidR="001A1DB1" w:rsidRPr="0069524D">
        <w:rPr>
          <w:rFonts w:eastAsia="Times New Roman" w:cs="Arial"/>
          <w:sz w:val="22"/>
          <w:lang w:eastAsia="sk-SK"/>
        </w:rPr>
        <w:t xml:space="preserve"> môže ísť z hľadiska absorpčnej schopnosti územia aj o negatívny jav, ktorý vplýva na kvalitu životného prostredia, sociálneho zabezpečenia alebo dopravy. </w:t>
      </w:r>
      <w:r w:rsidRPr="0069524D">
        <w:rPr>
          <w:rFonts w:eastAsia="Times New Roman" w:cs="Arial"/>
          <w:sz w:val="22"/>
          <w:lang w:eastAsia="sk-SK"/>
        </w:rPr>
        <w:t>Naopak, najväčší problém v tejto oblasti je pri</w:t>
      </w:r>
      <w:r w:rsidR="00D85196">
        <w:rPr>
          <w:rFonts w:eastAsia="Times New Roman" w:cs="Arial"/>
          <w:sz w:val="22"/>
          <w:lang w:eastAsia="sk-SK"/>
        </w:rPr>
        <w:t> </w:t>
      </w:r>
      <w:r w:rsidRPr="0069524D">
        <w:rPr>
          <w:rFonts w:eastAsia="Times New Roman" w:cs="Arial"/>
          <w:sz w:val="22"/>
          <w:lang w:eastAsia="sk-SK"/>
        </w:rPr>
        <w:t>ukazovateli</w:t>
      </w:r>
      <w:r w:rsidR="001A1DB1" w:rsidRPr="0069524D">
        <w:rPr>
          <w:rFonts w:eastAsia="Times New Roman" w:cs="Arial"/>
          <w:sz w:val="22"/>
          <w:lang w:eastAsia="sk-SK"/>
        </w:rPr>
        <w:t xml:space="preserve"> počtu ľudí ohrozených chudobou a sociálnou exklúziou, ktorý je spôsobený štrukturálnymi problémami metropolitného regiónu (160%). </w:t>
      </w: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Pr="00334406" w:rsidRDefault="001A1DB1" w:rsidP="00AB1F4E">
      <w:pPr>
        <w:pStyle w:val="Bezriadkovania"/>
        <w:rPr>
          <w:rFonts w:cs="Arial"/>
          <w:b/>
          <w:sz w:val="22"/>
        </w:rPr>
      </w:pPr>
      <w:r>
        <w:rPr>
          <w:rFonts w:cs="Arial"/>
          <w:b/>
          <w:sz w:val="22"/>
        </w:rPr>
        <w:t>Po</w:t>
      </w:r>
      <w:r w:rsidR="00AB1F4E" w:rsidRPr="00334406">
        <w:rPr>
          <w:rFonts w:cs="Arial"/>
          <w:b/>
          <w:sz w:val="22"/>
        </w:rPr>
        <w:t>rovnanie hodnôt</w:t>
      </w:r>
      <w:r w:rsidR="00AB1F4E" w:rsidRPr="00334406">
        <w:rPr>
          <w:rFonts w:cs="Arial"/>
          <w:sz w:val="22"/>
        </w:rPr>
        <w:t xml:space="preserve"> </w:t>
      </w:r>
      <w:r w:rsidR="00AB1F4E" w:rsidRPr="00334406">
        <w:rPr>
          <w:rFonts w:cs="Arial"/>
          <w:b/>
          <w:sz w:val="22"/>
        </w:rPr>
        <w:t>PO3: Zamestnanosť za rok 2014</w:t>
      </w:r>
      <w:r w:rsidR="00C679B8" w:rsidRPr="00334406">
        <w:rPr>
          <w:rFonts w:cs="Arial"/>
          <w:b/>
          <w:sz w:val="22"/>
        </w:rPr>
        <w:t xml:space="preserve"> </w:t>
      </w:r>
      <w:r w:rsidR="00AB1F4E" w:rsidRPr="00334406">
        <w:rPr>
          <w:rFonts w:cs="Arial"/>
          <w:b/>
          <w:sz w:val="22"/>
        </w:rPr>
        <w:t>s cieľovými hodnotami  v roku</w:t>
      </w:r>
      <w:r w:rsidR="00AB1F4E" w:rsidRPr="00334406">
        <w:rPr>
          <w:rFonts w:cs="Arial"/>
          <w:sz w:val="22"/>
        </w:rPr>
        <w:t xml:space="preserve"> </w:t>
      </w:r>
      <w:r w:rsidR="00AB1F4E" w:rsidRPr="00334406">
        <w:rPr>
          <w:rFonts w:cs="Arial"/>
          <w:b/>
          <w:sz w:val="22"/>
        </w:rPr>
        <w:t>2020</w:t>
      </w:r>
    </w:p>
    <w:p w:rsidR="00AB1F4E" w:rsidRDefault="00C679B8" w:rsidP="00AB1F4E">
      <w:pPr>
        <w:pStyle w:val="Bezriadkovania"/>
        <w:rPr>
          <w:rFonts w:cs="Arial"/>
          <w:szCs w:val="20"/>
        </w:rPr>
      </w:pPr>
      <w:r>
        <w:rPr>
          <w:rFonts w:cs="Arial"/>
          <w:noProof/>
          <w:szCs w:val="20"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-2648</wp:posOffset>
            </wp:positionH>
            <wp:positionV relativeFrom="paragraph">
              <wp:posOffset>9837</wp:posOffset>
            </wp:positionV>
            <wp:extent cx="5762445" cy="2303780"/>
            <wp:effectExtent l="0" t="0" r="0" b="0"/>
            <wp:wrapNone/>
            <wp:docPr id="22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1F4E">
        <w:rPr>
          <w:rFonts w:cs="Arial"/>
          <w:noProof/>
          <w:szCs w:val="20"/>
          <w:lang w:eastAsia="sk-SK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37465</wp:posOffset>
            </wp:positionH>
            <wp:positionV relativeFrom="paragraph">
              <wp:posOffset>95885</wp:posOffset>
            </wp:positionV>
            <wp:extent cx="1549400" cy="358140"/>
            <wp:effectExtent l="0" t="0" r="0" b="3810"/>
            <wp:wrapNone/>
            <wp:docPr id="1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B1F4E" w:rsidRPr="00DD6C30" w:rsidRDefault="00AB1F4E" w:rsidP="00AB1F4E">
      <w:pPr>
        <w:pStyle w:val="Bezriadkovania"/>
        <w:jc w:val="center"/>
        <w:rPr>
          <w:rFonts w:cs="Arial"/>
          <w:szCs w:val="20"/>
        </w:rPr>
      </w:pPr>
    </w:p>
    <w:p w:rsidR="00AB1F4E" w:rsidRPr="00842B98" w:rsidRDefault="00AB1F4E" w:rsidP="00AB1F4E">
      <w:pPr>
        <w:pStyle w:val="Bezriadkovania"/>
        <w:ind w:firstLine="708"/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9179A5" w:rsidRDefault="009179A5" w:rsidP="00AB1F4E">
      <w:pPr>
        <w:pStyle w:val="Bezriadkovania"/>
        <w:rPr>
          <w:rFonts w:cs="Arial"/>
          <w:sz w:val="22"/>
          <w:szCs w:val="24"/>
        </w:rPr>
      </w:pPr>
    </w:p>
    <w:p w:rsidR="001A1DB1" w:rsidRPr="0069524D" w:rsidRDefault="00F43DCB" w:rsidP="00D6395E">
      <w:pPr>
        <w:pStyle w:val="Bezriadkovania"/>
        <w:spacing w:after="120"/>
        <w:rPr>
          <w:rFonts w:eastAsia="Times New Roman" w:cs="Arial"/>
          <w:sz w:val="22"/>
          <w:lang w:eastAsia="sk-SK"/>
        </w:rPr>
      </w:pPr>
      <w:r w:rsidRPr="0069524D">
        <w:rPr>
          <w:rFonts w:eastAsia="Times New Roman" w:cs="Arial"/>
          <w:sz w:val="22"/>
          <w:lang w:eastAsia="sk-SK"/>
        </w:rPr>
        <w:t xml:space="preserve">V oblasti zamestnanosti </w:t>
      </w:r>
      <w:r w:rsidR="00D85196">
        <w:rPr>
          <w:rFonts w:eastAsia="Times New Roman" w:cs="Arial"/>
          <w:sz w:val="22"/>
          <w:lang w:eastAsia="sk-SK"/>
        </w:rPr>
        <w:t xml:space="preserve">v </w:t>
      </w:r>
      <w:r w:rsidRPr="0069524D">
        <w:rPr>
          <w:rFonts w:eastAsia="Times New Roman" w:cs="Arial"/>
          <w:sz w:val="22"/>
          <w:lang w:eastAsia="sk-SK"/>
        </w:rPr>
        <w:t xml:space="preserve">BSK </w:t>
      </w:r>
      <w:r w:rsidR="0069524D" w:rsidRPr="0069524D">
        <w:rPr>
          <w:rFonts w:eastAsia="Times New Roman" w:cs="Arial"/>
          <w:sz w:val="22"/>
          <w:lang w:eastAsia="sk-SK"/>
        </w:rPr>
        <w:t>zaznamenávame</w:t>
      </w:r>
      <w:r w:rsidRPr="0069524D">
        <w:rPr>
          <w:rFonts w:eastAsia="Times New Roman" w:cs="Arial"/>
          <w:sz w:val="22"/>
          <w:lang w:eastAsia="sk-SK"/>
        </w:rPr>
        <w:t xml:space="preserve"> najpozitívnejší trend pri ukazovateli</w:t>
      </w:r>
      <w:r w:rsidR="001A1DB1" w:rsidRPr="0069524D">
        <w:rPr>
          <w:rFonts w:eastAsia="Times New Roman" w:cs="Arial"/>
          <w:sz w:val="22"/>
          <w:lang w:eastAsia="sk-SK"/>
        </w:rPr>
        <w:t xml:space="preserve"> miery nezamestnanosti podľa VZPS (110%) a mier</w:t>
      </w:r>
      <w:r w:rsidR="0069524D" w:rsidRPr="0069524D">
        <w:rPr>
          <w:rFonts w:eastAsia="Times New Roman" w:cs="Arial"/>
          <w:sz w:val="22"/>
          <w:lang w:eastAsia="sk-SK"/>
        </w:rPr>
        <w:t>y</w:t>
      </w:r>
      <w:r w:rsidR="001A1DB1" w:rsidRPr="0069524D">
        <w:rPr>
          <w:rFonts w:eastAsia="Times New Roman" w:cs="Arial"/>
          <w:sz w:val="22"/>
          <w:lang w:eastAsia="sk-SK"/>
        </w:rPr>
        <w:t xml:space="preserve"> dlhodobej nezamestnanosti podľa VZPS (200%), ktoré sú v porovnaní s cieľovými hodnotami do roku 2020 vyššie, avšak každým rokom klesajú k cieľovej hodnote, čo súvisí s nárastom počtu podnikateľských subjektov, nárastom zamestnanosti mladých napr. v poľnohospodárstve, ale zároveň aj</w:t>
      </w:r>
      <w:r w:rsidR="00D6395E" w:rsidRPr="0069524D">
        <w:rPr>
          <w:rFonts w:eastAsia="Times New Roman" w:cs="Arial"/>
          <w:sz w:val="22"/>
          <w:lang w:eastAsia="sk-SK"/>
        </w:rPr>
        <w:t> </w:t>
      </w:r>
      <w:r w:rsidR="001A1DB1" w:rsidRPr="0069524D">
        <w:rPr>
          <w:rFonts w:eastAsia="Times New Roman" w:cs="Arial"/>
          <w:sz w:val="22"/>
          <w:lang w:eastAsia="sk-SK"/>
        </w:rPr>
        <w:t xml:space="preserve">umelým znižovaním nezamestnanosti - vyradením z evidencie uchádzačov o prácu. </w:t>
      </w:r>
      <w:r w:rsidRPr="0069524D">
        <w:rPr>
          <w:rFonts w:eastAsia="Times New Roman" w:cs="Arial"/>
          <w:sz w:val="22"/>
          <w:lang w:eastAsia="sk-SK"/>
        </w:rPr>
        <w:t xml:space="preserve">Vysoké hodnoty </w:t>
      </w:r>
      <w:r w:rsidR="0069524D" w:rsidRPr="0069524D">
        <w:rPr>
          <w:rFonts w:eastAsia="Times New Roman" w:cs="Arial"/>
          <w:sz w:val="22"/>
          <w:lang w:eastAsia="sk-SK"/>
        </w:rPr>
        <w:t xml:space="preserve">stále </w:t>
      </w:r>
      <w:r w:rsidRPr="0069524D">
        <w:rPr>
          <w:rFonts w:eastAsia="Times New Roman" w:cs="Arial"/>
          <w:sz w:val="22"/>
          <w:lang w:eastAsia="sk-SK"/>
        </w:rPr>
        <w:t>zaznamenávame</w:t>
      </w:r>
      <w:r w:rsidR="0069524D" w:rsidRPr="0069524D">
        <w:rPr>
          <w:rFonts w:eastAsia="Times New Roman" w:cs="Arial"/>
          <w:sz w:val="22"/>
          <w:lang w:eastAsia="sk-SK"/>
        </w:rPr>
        <w:t xml:space="preserve"> </w:t>
      </w:r>
      <w:r w:rsidRPr="0069524D">
        <w:rPr>
          <w:rFonts w:eastAsia="Times New Roman" w:cs="Arial"/>
          <w:sz w:val="22"/>
          <w:lang w:eastAsia="sk-SK"/>
        </w:rPr>
        <w:t xml:space="preserve">pri ukazovateli </w:t>
      </w:r>
      <w:r w:rsidR="001A1DB1" w:rsidRPr="0069524D">
        <w:rPr>
          <w:rFonts w:eastAsia="Times New Roman" w:cs="Arial"/>
          <w:sz w:val="22"/>
          <w:lang w:eastAsia="sk-SK"/>
        </w:rPr>
        <w:t>mier</w:t>
      </w:r>
      <w:r w:rsidRPr="0069524D">
        <w:rPr>
          <w:rFonts w:eastAsia="Times New Roman" w:cs="Arial"/>
          <w:sz w:val="22"/>
          <w:lang w:eastAsia="sk-SK"/>
        </w:rPr>
        <w:t>y</w:t>
      </w:r>
      <w:r w:rsidR="001A1DB1" w:rsidRPr="0069524D">
        <w:rPr>
          <w:rFonts w:eastAsia="Times New Roman" w:cs="Arial"/>
          <w:sz w:val="22"/>
          <w:lang w:eastAsia="sk-SK"/>
        </w:rPr>
        <w:t xml:space="preserve"> rizika chudoby (146%), čo je zapríčinené prepojením priemernej mzdy s vysokými nákladmi na</w:t>
      </w:r>
      <w:r w:rsidR="00D6395E" w:rsidRPr="0069524D">
        <w:rPr>
          <w:rFonts w:eastAsia="Times New Roman" w:cs="Arial"/>
          <w:sz w:val="22"/>
          <w:lang w:eastAsia="sk-SK"/>
        </w:rPr>
        <w:t> </w:t>
      </w:r>
      <w:r w:rsidR="001A1DB1" w:rsidRPr="0069524D">
        <w:rPr>
          <w:rFonts w:eastAsia="Times New Roman" w:cs="Arial"/>
          <w:sz w:val="22"/>
          <w:lang w:eastAsia="sk-SK"/>
        </w:rPr>
        <w:t>život v</w:t>
      </w:r>
      <w:r w:rsidR="0069524D" w:rsidRPr="0069524D">
        <w:rPr>
          <w:rFonts w:eastAsia="Times New Roman" w:cs="Arial"/>
          <w:sz w:val="22"/>
          <w:lang w:eastAsia="sk-SK"/>
        </w:rPr>
        <w:t> </w:t>
      </w:r>
      <w:r w:rsidR="001A1DB1" w:rsidRPr="0069524D">
        <w:rPr>
          <w:rFonts w:eastAsia="Times New Roman" w:cs="Arial"/>
          <w:sz w:val="22"/>
          <w:lang w:eastAsia="sk-SK"/>
        </w:rPr>
        <w:t>BSK</w:t>
      </w:r>
      <w:r w:rsidR="0069524D" w:rsidRPr="0069524D">
        <w:rPr>
          <w:rFonts w:eastAsia="Times New Roman" w:cs="Arial"/>
          <w:sz w:val="22"/>
          <w:lang w:eastAsia="sk-SK"/>
        </w:rPr>
        <w:t>.</w:t>
      </w:r>
    </w:p>
    <w:p w:rsidR="001A1DB1" w:rsidRDefault="001A1DB1" w:rsidP="00AB1F4E">
      <w:pPr>
        <w:pStyle w:val="Bezriadkovania"/>
        <w:rPr>
          <w:rFonts w:cs="Arial"/>
          <w:b/>
          <w:sz w:val="22"/>
        </w:rPr>
      </w:pPr>
    </w:p>
    <w:p w:rsidR="00AB1F4E" w:rsidRPr="00334406" w:rsidRDefault="00AB1F4E" w:rsidP="00AB1F4E">
      <w:pPr>
        <w:pStyle w:val="Bezriadkovania"/>
        <w:rPr>
          <w:rFonts w:cs="Arial"/>
          <w:b/>
          <w:sz w:val="22"/>
        </w:rPr>
      </w:pPr>
      <w:r w:rsidRPr="00334406">
        <w:rPr>
          <w:rFonts w:cs="Arial"/>
          <w:b/>
          <w:sz w:val="22"/>
        </w:rPr>
        <w:t>Porovnanie hodnôt</w:t>
      </w:r>
      <w:r w:rsidRPr="00334406">
        <w:rPr>
          <w:rFonts w:cs="Arial"/>
          <w:sz w:val="22"/>
        </w:rPr>
        <w:t xml:space="preserve"> </w:t>
      </w:r>
      <w:r w:rsidRPr="00334406">
        <w:rPr>
          <w:rFonts w:cs="Arial"/>
          <w:b/>
          <w:sz w:val="22"/>
        </w:rPr>
        <w:t>PO4: Konkurencieschopnosť, rast a podnikateľské prostredie za rok 2014</w:t>
      </w:r>
      <w:r w:rsidR="00C679B8" w:rsidRPr="00334406">
        <w:rPr>
          <w:rFonts w:cs="Arial"/>
          <w:b/>
          <w:sz w:val="22"/>
        </w:rPr>
        <w:t xml:space="preserve"> </w:t>
      </w:r>
      <w:r w:rsidRPr="00334406">
        <w:rPr>
          <w:rFonts w:cs="Arial"/>
          <w:b/>
          <w:sz w:val="22"/>
        </w:rPr>
        <w:t>s cieľovými hodnotami v roku</w:t>
      </w:r>
      <w:r w:rsidRPr="00334406">
        <w:rPr>
          <w:rFonts w:cs="Arial"/>
          <w:sz w:val="22"/>
        </w:rPr>
        <w:t xml:space="preserve"> </w:t>
      </w:r>
      <w:r w:rsidRPr="00334406">
        <w:rPr>
          <w:rFonts w:cs="Arial"/>
          <w:b/>
          <w:sz w:val="22"/>
        </w:rPr>
        <w:t>2020</w:t>
      </w: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sk-SK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-2648</wp:posOffset>
            </wp:positionH>
            <wp:positionV relativeFrom="paragraph">
              <wp:posOffset>39873</wp:posOffset>
            </wp:positionV>
            <wp:extent cx="5761990" cy="2353310"/>
            <wp:effectExtent l="0" t="0" r="0" b="0"/>
            <wp:wrapNone/>
            <wp:docPr id="24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AB1F4E" w:rsidRDefault="00AB1F4E" w:rsidP="00AB1F4E">
      <w:pPr>
        <w:pStyle w:val="Bezriadkovania"/>
        <w:rPr>
          <w:rFonts w:cs="Arial"/>
          <w:sz w:val="24"/>
          <w:szCs w:val="24"/>
        </w:rPr>
      </w:pPr>
    </w:p>
    <w:p w:rsidR="001A1DB1" w:rsidRDefault="001A1DB1" w:rsidP="00AB1F4E">
      <w:pPr>
        <w:pStyle w:val="Bezriadkovania"/>
        <w:rPr>
          <w:rFonts w:cs="Arial"/>
          <w:b/>
          <w:sz w:val="22"/>
        </w:rPr>
      </w:pPr>
    </w:p>
    <w:p w:rsidR="001A1DB1" w:rsidRDefault="00D85196" w:rsidP="00AB1F4E">
      <w:pPr>
        <w:pStyle w:val="Bezriadkovania"/>
        <w:rPr>
          <w:rFonts w:eastAsia="Times New Roman" w:cs="Arial"/>
          <w:sz w:val="22"/>
          <w:lang w:eastAsia="sk-SK"/>
        </w:rPr>
      </w:pPr>
      <w:r>
        <w:rPr>
          <w:rFonts w:eastAsia="Times New Roman" w:cs="Arial"/>
          <w:sz w:val="22"/>
          <w:lang w:eastAsia="sk-SK"/>
        </w:rPr>
        <w:lastRenderedPageBreak/>
        <w:t>V BSK v</w:t>
      </w:r>
      <w:r w:rsidR="005C442E">
        <w:rPr>
          <w:rFonts w:eastAsia="Times New Roman" w:cs="Arial"/>
          <w:sz w:val="22"/>
          <w:lang w:eastAsia="sk-SK"/>
        </w:rPr>
        <w:t xml:space="preserve"> oblasti </w:t>
      </w:r>
      <w:r>
        <w:rPr>
          <w:rFonts w:eastAsia="Times New Roman" w:cs="Arial"/>
          <w:sz w:val="22"/>
          <w:lang w:eastAsia="sk-SK"/>
        </w:rPr>
        <w:t>k</w:t>
      </w:r>
      <w:r w:rsidR="005C442E" w:rsidRPr="005C442E">
        <w:rPr>
          <w:rFonts w:eastAsia="Times New Roman" w:cs="Arial"/>
          <w:sz w:val="22"/>
          <w:lang w:eastAsia="sk-SK"/>
        </w:rPr>
        <w:t>onkurencieschopnos</w:t>
      </w:r>
      <w:r w:rsidR="005C442E">
        <w:rPr>
          <w:rFonts w:eastAsia="Times New Roman" w:cs="Arial"/>
          <w:sz w:val="22"/>
          <w:lang w:eastAsia="sk-SK"/>
        </w:rPr>
        <w:t>ti</w:t>
      </w:r>
      <w:r w:rsidR="005C442E" w:rsidRPr="005C442E">
        <w:rPr>
          <w:rFonts w:eastAsia="Times New Roman" w:cs="Arial"/>
          <w:sz w:val="22"/>
          <w:lang w:eastAsia="sk-SK"/>
        </w:rPr>
        <w:t>, rast</w:t>
      </w:r>
      <w:r w:rsidR="005C442E">
        <w:rPr>
          <w:rFonts w:eastAsia="Times New Roman" w:cs="Arial"/>
          <w:sz w:val="22"/>
          <w:lang w:eastAsia="sk-SK"/>
        </w:rPr>
        <w:t>u</w:t>
      </w:r>
      <w:r w:rsidR="005C442E" w:rsidRPr="005C442E">
        <w:rPr>
          <w:rFonts w:eastAsia="Times New Roman" w:cs="Arial"/>
          <w:sz w:val="22"/>
          <w:lang w:eastAsia="sk-SK"/>
        </w:rPr>
        <w:t xml:space="preserve"> a podnikateľské</w:t>
      </w:r>
      <w:r w:rsidR="005C442E">
        <w:rPr>
          <w:rFonts w:eastAsia="Times New Roman" w:cs="Arial"/>
          <w:sz w:val="22"/>
          <w:lang w:eastAsia="sk-SK"/>
        </w:rPr>
        <w:t>ho</w:t>
      </w:r>
      <w:r w:rsidR="005C442E" w:rsidRPr="005C442E">
        <w:rPr>
          <w:rFonts w:eastAsia="Times New Roman" w:cs="Arial"/>
          <w:sz w:val="22"/>
          <w:lang w:eastAsia="sk-SK"/>
        </w:rPr>
        <w:t xml:space="preserve"> prostredi</w:t>
      </w:r>
      <w:r w:rsidR="005C442E">
        <w:rPr>
          <w:rFonts w:eastAsia="Times New Roman" w:cs="Arial"/>
          <w:sz w:val="22"/>
          <w:lang w:eastAsia="sk-SK"/>
        </w:rPr>
        <w:t>a</w:t>
      </w:r>
      <w:r>
        <w:rPr>
          <w:rFonts w:eastAsia="Times New Roman" w:cs="Arial"/>
          <w:sz w:val="22"/>
          <w:lang w:eastAsia="sk-SK"/>
        </w:rPr>
        <w:t xml:space="preserve"> </w:t>
      </w:r>
      <w:r w:rsidR="005C442E">
        <w:rPr>
          <w:rFonts w:eastAsia="Times New Roman" w:cs="Arial"/>
          <w:sz w:val="22"/>
          <w:lang w:eastAsia="sk-SK"/>
        </w:rPr>
        <w:t>vidíme</w:t>
      </w:r>
      <w:r w:rsidR="005C442E" w:rsidRPr="005C442E">
        <w:rPr>
          <w:rFonts w:eastAsia="Times New Roman" w:cs="Arial"/>
          <w:sz w:val="22"/>
          <w:lang w:eastAsia="sk-SK"/>
        </w:rPr>
        <w:t xml:space="preserve"> </w:t>
      </w:r>
      <w:r w:rsidR="005C442E">
        <w:rPr>
          <w:rFonts w:eastAsia="Times New Roman" w:cs="Arial"/>
          <w:sz w:val="22"/>
          <w:lang w:eastAsia="sk-SK"/>
        </w:rPr>
        <w:t>pozitívny vývoj pri</w:t>
      </w:r>
      <w:r w:rsidR="001A1DB1" w:rsidRPr="001A1DB1">
        <w:rPr>
          <w:rFonts w:eastAsia="Times New Roman" w:cs="Arial"/>
          <w:sz w:val="22"/>
          <w:lang w:eastAsia="sk-SK"/>
        </w:rPr>
        <w:t xml:space="preserve"> ukazovateli</w:t>
      </w:r>
      <w:r w:rsidR="005C442E">
        <w:rPr>
          <w:rFonts w:eastAsia="Times New Roman" w:cs="Arial"/>
          <w:sz w:val="22"/>
          <w:lang w:eastAsia="sk-SK"/>
        </w:rPr>
        <w:t xml:space="preserve"> HDP na obyvateľa v</w:t>
      </w:r>
      <w:r w:rsidR="00001E13">
        <w:rPr>
          <w:rFonts w:eastAsia="Times New Roman" w:cs="Arial"/>
          <w:sz w:val="22"/>
          <w:lang w:eastAsia="sk-SK"/>
        </w:rPr>
        <w:t> </w:t>
      </w:r>
      <w:r w:rsidR="005C442E">
        <w:rPr>
          <w:rFonts w:eastAsia="Times New Roman" w:cs="Arial"/>
          <w:sz w:val="22"/>
          <w:lang w:eastAsia="sk-SK"/>
        </w:rPr>
        <w:t>PKS</w:t>
      </w:r>
      <w:r w:rsidR="00001E13">
        <w:rPr>
          <w:rFonts w:eastAsia="Times New Roman" w:cs="Arial"/>
          <w:sz w:val="22"/>
          <w:lang w:eastAsia="sk-SK"/>
        </w:rPr>
        <w:t xml:space="preserve"> (121%)</w:t>
      </w:r>
      <w:r w:rsidR="005C442E">
        <w:rPr>
          <w:rFonts w:eastAsia="Times New Roman" w:cs="Arial"/>
          <w:sz w:val="22"/>
          <w:lang w:eastAsia="sk-SK"/>
        </w:rPr>
        <w:t>, pričom BSK výrazne predbieha ostatné slovenské kraje, alebo</w:t>
      </w:r>
      <w:r>
        <w:rPr>
          <w:rFonts w:eastAsia="Times New Roman" w:cs="Arial"/>
          <w:sz w:val="22"/>
          <w:lang w:eastAsia="sk-SK"/>
        </w:rPr>
        <w:t xml:space="preserve"> pri</w:t>
      </w:r>
      <w:r w:rsidR="005C442E">
        <w:rPr>
          <w:rFonts w:eastAsia="Times New Roman" w:cs="Arial"/>
          <w:sz w:val="22"/>
          <w:lang w:eastAsia="sk-SK"/>
        </w:rPr>
        <w:t xml:space="preserve"> ukazovateli</w:t>
      </w:r>
      <w:r w:rsidR="001A1DB1" w:rsidRPr="001A1DB1">
        <w:rPr>
          <w:rFonts w:eastAsia="Times New Roman" w:cs="Arial"/>
          <w:sz w:val="22"/>
          <w:lang w:eastAsia="sk-SK"/>
        </w:rPr>
        <w:t> podielu poľnohospodárskej pôdy v BA (103%), ktorý aj</w:t>
      </w:r>
      <w:r>
        <w:rPr>
          <w:rFonts w:eastAsia="Times New Roman" w:cs="Arial"/>
          <w:sz w:val="22"/>
          <w:lang w:eastAsia="sk-SK"/>
        </w:rPr>
        <w:t> </w:t>
      </w:r>
      <w:r w:rsidR="001A1DB1" w:rsidRPr="001A1DB1">
        <w:rPr>
          <w:rFonts w:eastAsia="Times New Roman" w:cs="Arial"/>
          <w:sz w:val="22"/>
          <w:lang w:eastAsia="sk-SK"/>
        </w:rPr>
        <w:t>napriek tomu, že BSK je metropolitný región a má </w:t>
      </w:r>
      <w:r w:rsidR="005C442E">
        <w:rPr>
          <w:rFonts w:eastAsia="Times New Roman" w:cs="Arial"/>
          <w:sz w:val="22"/>
          <w:lang w:eastAsia="sk-SK"/>
        </w:rPr>
        <w:t>vysoký stupeň urbanizácie</w:t>
      </w:r>
      <w:r w:rsidR="001A1DB1" w:rsidRPr="001A1DB1">
        <w:rPr>
          <w:rFonts w:eastAsia="Times New Roman" w:cs="Arial"/>
          <w:sz w:val="22"/>
          <w:lang w:eastAsia="sk-SK"/>
        </w:rPr>
        <w:t xml:space="preserve">, je stále vysoký, čo podporuje lokálnu zamestnanosť v poľnohospodárstve, pričom v posledných rokoch vzrastá počet mladých poľnohospodárov. </w:t>
      </w:r>
      <w:r w:rsidR="005C442E">
        <w:rPr>
          <w:rFonts w:eastAsia="Times New Roman" w:cs="Arial"/>
          <w:sz w:val="22"/>
          <w:lang w:eastAsia="sk-SK"/>
        </w:rPr>
        <w:t>Naopak, nízke hodnoty v porovnaní s očakávanými v roku 2020 stále zaznamenávame pri ukazovateli P</w:t>
      </w:r>
      <w:r w:rsidR="001A1DB1" w:rsidRPr="001A1DB1">
        <w:rPr>
          <w:rFonts w:eastAsia="Times New Roman" w:cs="Arial"/>
          <w:sz w:val="22"/>
          <w:lang w:eastAsia="sk-SK"/>
        </w:rPr>
        <w:t>ZI na</w:t>
      </w:r>
      <w:r w:rsidR="00D6395E">
        <w:rPr>
          <w:rFonts w:eastAsia="Times New Roman" w:cs="Arial"/>
          <w:sz w:val="22"/>
          <w:lang w:eastAsia="sk-SK"/>
        </w:rPr>
        <w:t> </w:t>
      </w:r>
      <w:r w:rsidR="001A1DB1" w:rsidRPr="001A1DB1">
        <w:rPr>
          <w:rFonts w:eastAsia="Times New Roman" w:cs="Arial"/>
          <w:sz w:val="22"/>
          <w:lang w:eastAsia="sk-SK"/>
        </w:rPr>
        <w:t>obyvateľa (90%)</w:t>
      </w:r>
      <w:r w:rsidR="005C442E">
        <w:rPr>
          <w:rFonts w:eastAsia="Times New Roman" w:cs="Arial"/>
          <w:sz w:val="22"/>
          <w:lang w:eastAsia="sk-SK"/>
        </w:rPr>
        <w:t xml:space="preserve">. </w:t>
      </w:r>
    </w:p>
    <w:p w:rsidR="005C442E" w:rsidRDefault="005C442E" w:rsidP="00AB1F4E">
      <w:pPr>
        <w:pStyle w:val="Bezriadkovania"/>
        <w:rPr>
          <w:rFonts w:eastAsia="Times New Roman" w:cs="Arial"/>
          <w:sz w:val="22"/>
          <w:lang w:eastAsia="sk-SK"/>
        </w:rPr>
      </w:pPr>
    </w:p>
    <w:p w:rsidR="005C442E" w:rsidRPr="00334406" w:rsidRDefault="005C442E" w:rsidP="005C442E">
      <w:pPr>
        <w:pStyle w:val="Bezriadkovania"/>
        <w:rPr>
          <w:rFonts w:cs="Arial"/>
          <w:b/>
          <w:sz w:val="22"/>
        </w:rPr>
      </w:pPr>
      <w:r w:rsidRPr="00334406">
        <w:rPr>
          <w:rFonts w:cs="Arial"/>
          <w:b/>
          <w:sz w:val="22"/>
        </w:rPr>
        <w:t>Porovnanie hodnôt</w:t>
      </w:r>
      <w:r w:rsidRPr="00334406">
        <w:rPr>
          <w:rFonts w:cs="Arial"/>
          <w:sz w:val="22"/>
        </w:rPr>
        <w:t xml:space="preserve"> </w:t>
      </w:r>
      <w:r w:rsidRPr="00334406">
        <w:rPr>
          <w:rFonts w:cs="Arial"/>
          <w:b/>
          <w:sz w:val="22"/>
        </w:rPr>
        <w:t>PO: Životné prostredie, zmeny klímy a obnoviteľné zdroje za rok 2014 s cieľovými hodnotami v roku</w:t>
      </w:r>
      <w:r w:rsidRPr="00334406">
        <w:rPr>
          <w:rFonts w:cs="Arial"/>
          <w:sz w:val="22"/>
        </w:rPr>
        <w:t xml:space="preserve"> </w:t>
      </w:r>
      <w:r w:rsidRPr="00334406">
        <w:rPr>
          <w:rFonts w:cs="Arial"/>
          <w:b/>
          <w:sz w:val="22"/>
        </w:rPr>
        <w:t>2020</w:t>
      </w:r>
    </w:p>
    <w:p w:rsidR="005C442E" w:rsidRDefault="005C442E" w:rsidP="005C442E">
      <w:pPr>
        <w:pStyle w:val="Bezriadkovania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sk-SK"/>
        </w:rPr>
        <w:drawing>
          <wp:anchor distT="0" distB="0" distL="114300" distR="114300" simplePos="0" relativeHeight="251669504" behindDoc="1" locked="0" layoutInCell="1" allowOverlap="1" wp14:anchorId="2FB0834B" wp14:editId="21A99A75">
            <wp:simplePos x="0" y="0"/>
            <wp:positionH relativeFrom="column">
              <wp:posOffset>-2648</wp:posOffset>
            </wp:positionH>
            <wp:positionV relativeFrom="paragraph">
              <wp:posOffset>47074</wp:posOffset>
            </wp:positionV>
            <wp:extent cx="5761978" cy="2519680"/>
            <wp:effectExtent l="0" t="0" r="0" b="0"/>
            <wp:wrapNone/>
            <wp:docPr id="26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442E" w:rsidRDefault="005C442E" w:rsidP="005C442E">
      <w:pPr>
        <w:pStyle w:val="Bezriadkovania"/>
        <w:rPr>
          <w:rFonts w:cs="Arial"/>
          <w:sz w:val="24"/>
          <w:szCs w:val="24"/>
        </w:rPr>
      </w:pPr>
    </w:p>
    <w:p w:rsidR="005C442E" w:rsidRDefault="005C442E" w:rsidP="005C442E">
      <w:pPr>
        <w:pStyle w:val="Bezriadkovania"/>
        <w:rPr>
          <w:rFonts w:cs="Arial"/>
          <w:sz w:val="24"/>
          <w:szCs w:val="24"/>
        </w:rPr>
      </w:pPr>
    </w:p>
    <w:p w:rsidR="005C442E" w:rsidRDefault="005C442E" w:rsidP="005C442E">
      <w:pPr>
        <w:pStyle w:val="Bezriadkovania"/>
        <w:rPr>
          <w:rFonts w:cs="Arial"/>
          <w:sz w:val="24"/>
          <w:szCs w:val="24"/>
        </w:rPr>
      </w:pPr>
    </w:p>
    <w:p w:rsidR="005C442E" w:rsidRDefault="005C442E" w:rsidP="005C442E">
      <w:pPr>
        <w:pStyle w:val="Bezriadkovania"/>
        <w:rPr>
          <w:rFonts w:cs="Arial"/>
          <w:sz w:val="24"/>
          <w:szCs w:val="24"/>
        </w:rPr>
      </w:pPr>
    </w:p>
    <w:p w:rsidR="005C442E" w:rsidRDefault="005C442E" w:rsidP="005C442E">
      <w:pPr>
        <w:pStyle w:val="Bezriadkovania"/>
        <w:rPr>
          <w:rFonts w:cs="Arial"/>
          <w:sz w:val="24"/>
          <w:szCs w:val="24"/>
        </w:rPr>
      </w:pPr>
    </w:p>
    <w:p w:rsidR="005C442E" w:rsidRDefault="005C442E" w:rsidP="005C442E">
      <w:pPr>
        <w:pStyle w:val="Bezriadkovania"/>
        <w:rPr>
          <w:rFonts w:cs="Arial"/>
          <w:sz w:val="24"/>
          <w:szCs w:val="24"/>
        </w:rPr>
      </w:pPr>
    </w:p>
    <w:p w:rsidR="005C442E" w:rsidRDefault="005C442E" w:rsidP="005C442E">
      <w:pPr>
        <w:pStyle w:val="Bezriadkovania"/>
        <w:rPr>
          <w:rFonts w:cs="Arial"/>
          <w:sz w:val="24"/>
          <w:szCs w:val="24"/>
        </w:rPr>
      </w:pPr>
    </w:p>
    <w:p w:rsidR="005C442E" w:rsidRDefault="005C442E" w:rsidP="005C442E">
      <w:pPr>
        <w:pStyle w:val="Bezriadkovania"/>
        <w:rPr>
          <w:rFonts w:cs="Arial"/>
          <w:sz w:val="24"/>
          <w:szCs w:val="24"/>
        </w:rPr>
      </w:pPr>
    </w:p>
    <w:p w:rsidR="005C442E" w:rsidRDefault="005C442E" w:rsidP="005C442E">
      <w:pPr>
        <w:pStyle w:val="Bezriadkovania"/>
        <w:rPr>
          <w:rFonts w:cs="Arial"/>
          <w:sz w:val="24"/>
          <w:szCs w:val="24"/>
        </w:rPr>
      </w:pPr>
    </w:p>
    <w:p w:rsidR="005C442E" w:rsidRDefault="005C442E" w:rsidP="005C442E">
      <w:pPr>
        <w:pStyle w:val="Bezriadkovania"/>
        <w:rPr>
          <w:rFonts w:cs="Arial"/>
          <w:sz w:val="24"/>
          <w:szCs w:val="24"/>
        </w:rPr>
      </w:pPr>
    </w:p>
    <w:p w:rsidR="005C442E" w:rsidRDefault="005C442E" w:rsidP="005C442E">
      <w:pPr>
        <w:pStyle w:val="Bezriadkovania"/>
        <w:rPr>
          <w:rFonts w:cs="Arial"/>
          <w:sz w:val="24"/>
          <w:szCs w:val="24"/>
        </w:rPr>
      </w:pPr>
    </w:p>
    <w:p w:rsidR="005C442E" w:rsidRDefault="005C442E" w:rsidP="005C442E">
      <w:pPr>
        <w:pStyle w:val="Bezriadkovania"/>
      </w:pPr>
    </w:p>
    <w:p w:rsidR="005C442E" w:rsidRDefault="005C442E" w:rsidP="00AB1F4E">
      <w:pPr>
        <w:pStyle w:val="Bezriadkovania"/>
        <w:rPr>
          <w:rFonts w:eastAsia="Times New Roman" w:cs="Arial"/>
          <w:sz w:val="22"/>
          <w:lang w:eastAsia="sk-SK"/>
        </w:rPr>
      </w:pPr>
    </w:p>
    <w:p w:rsidR="005C442E" w:rsidRDefault="005C442E" w:rsidP="005C442E">
      <w:pPr>
        <w:pStyle w:val="Bezriadkovania"/>
        <w:rPr>
          <w:rFonts w:cs="Arial"/>
          <w:sz w:val="22"/>
        </w:rPr>
      </w:pPr>
    </w:p>
    <w:p w:rsidR="005C442E" w:rsidRDefault="005C442E" w:rsidP="005C442E">
      <w:pPr>
        <w:pStyle w:val="Bezriadkovania"/>
        <w:rPr>
          <w:rFonts w:cs="Arial"/>
          <w:sz w:val="22"/>
        </w:rPr>
      </w:pPr>
    </w:p>
    <w:p w:rsidR="005C442E" w:rsidRDefault="005C442E" w:rsidP="005C442E">
      <w:pPr>
        <w:pStyle w:val="Bezriadkovania"/>
        <w:rPr>
          <w:rFonts w:eastAsia="Times New Roman" w:cs="Arial"/>
          <w:sz w:val="22"/>
          <w:lang w:eastAsia="sk-SK"/>
        </w:rPr>
      </w:pPr>
      <w:r>
        <w:rPr>
          <w:rFonts w:cs="Arial"/>
          <w:sz w:val="22"/>
        </w:rPr>
        <w:t xml:space="preserve">Pozitívny trend v BSK v oblasti ŽP a dopravy zaznamenávame pri ukazovateli </w:t>
      </w:r>
      <w:r w:rsidRPr="001A1DB1">
        <w:rPr>
          <w:rFonts w:cs="Arial"/>
          <w:sz w:val="22"/>
        </w:rPr>
        <w:t>podielu zhodnocovaného komunálneho odpadu v BSK, ktorý vypovedá o zvýšení povedomia obyvateľov o recyklácii, kompostovaní a ochrane životného prostredia (98%)</w:t>
      </w:r>
      <w:r>
        <w:rPr>
          <w:rFonts w:cs="Arial"/>
          <w:sz w:val="22"/>
        </w:rPr>
        <w:t xml:space="preserve">. </w:t>
      </w:r>
      <w:r w:rsidRPr="001A1DB1">
        <w:rPr>
          <w:rFonts w:cs="Arial"/>
          <w:sz w:val="22"/>
        </w:rPr>
        <w:t>Nakoľko je BSK metropolitný región, za prácou do regiónu dochádza veľa ľudí z ostatných krajov</w:t>
      </w:r>
      <w:r>
        <w:rPr>
          <w:rFonts w:cs="Arial"/>
          <w:sz w:val="22"/>
        </w:rPr>
        <w:t xml:space="preserve"> a</w:t>
      </w:r>
      <w:r w:rsidR="00D85196">
        <w:rPr>
          <w:rFonts w:cs="Arial"/>
          <w:sz w:val="22"/>
        </w:rPr>
        <w:t> </w:t>
      </w:r>
      <w:r w:rsidRPr="001A1DB1">
        <w:rPr>
          <w:rFonts w:cs="Arial"/>
          <w:sz w:val="22"/>
        </w:rPr>
        <w:t>zvýšil sa počet automobilov a intenzita dopravy, sledujeme v posledných rokoch negatívny trend nárastu hodnoty ukazovateľov množstva vyprodukovaného komunálneho odpadu na obyvateľa (116%)</w:t>
      </w:r>
      <w:r>
        <w:rPr>
          <w:rFonts w:cs="Arial"/>
          <w:sz w:val="22"/>
        </w:rPr>
        <w:t>, produkcie</w:t>
      </w:r>
      <w:r w:rsidRPr="001A1DB1">
        <w:rPr>
          <w:rFonts w:cs="Arial"/>
          <w:sz w:val="22"/>
        </w:rPr>
        <w:t xml:space="preserve"> oxidu uhoľnatého (105%)</w:t>
      </w:r>
      <w:r>
        <w:rPr>
          <w:rFonts w:cs="Arial"/>
          <w:sz w:val="22"/>
        </w:rPr>
        <w:t xml:space="preserve"> a </w:t>
      </w:r>
      <w:r w:rsidRPr="001A1DB1">
        <w:rPr>
          <w:rFonts w:cs="Arial"/>
          <w:sz w:val="22"/>
        </w:rPr>
        <w:t>produkcie tuhých emisií (103%)</w:t>
      </w:r>
      <w:r>
        <w:rPr>
          <w:rFonts w:cs="Arial"/>
          <w:sz w:val="22"/>
        </w:rPr>
        <w:t xml:space="preserve">, </w:t>
      </w:r>
      <w:r w:rsidRPr="001A1DB1">
        <w:rPr>
          <w:rFonts w:cs="Arial"/>
          <w:sz w:val="22"/>
        </w:rPr>
        <w:t>ktor</w:t>
      </w:r>
      <w:r>
        <w:rPr>
          <w:rFonts w:cs="Arial"/>
          <w:sz w:val="22"/>
        </w:rPr>
        <w:t>é</w:t>
      </w:r>
      <w:r w:rsidRPr="001A1DB1">
        <w:rPr>
          <w:rFonts w:cs="Arial"/>
          <w:sz w:val="22"/>
        </w:rPr>
        <w:t xml:space="preserve"> ovplyvňuj</w:t>
      </w:r>
      <w:r>
        <w:rPr>
          <w:rFonts w:cs="Arial"/>
          <w:sz w:val="22"/>
        </w:rPr>
        <w:t>ú</w:t>
      </w:r>
      <w:r w:rsidRPr="001A1DB1">
        <w:rPr>
          <w:rFonts w:cs="Arial"/>
          <w:sz w:val="22"/>
        </w:rPr>
        <w:t xml:space="preserve"> aj zdravotný stav obyvateľstva</w:t>
      </w:r>
      <w:r>
        <w:rPr>
          <w:rFonts w:cs="Arial"/>
          <w:sz w:val="22"/>
        </w:rPr>
        <w:t>. Problémom BSK je aj vysoký modernizačný dlh.</w:t>
      </w:r>
    </w:p>
    <w:p w:rsidR="005C442E" w:rsidRDefault="005C442E" w:rsidP="00AB1F4E">
      <w:pPr>
        <w:pStyle w:val="Bezriadkovania"/>
        <w:rPr>
          <w:rFonts w:cs="Arial"/>
          <w:b/>
          <w:sz w:val="22"/>
        </w:rPr>
      </w:pPr>
    </w:p>
    <w:p w:rsidR="00D6395E" w:rsidRDefault="00AB1F4E" w:rsidP="00AB1F4E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AB1F4E" w:rsidRPr="00334406" w:rsidRDefault="00AB1F4E" w:rsidP="00AB1F4E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334406">
        <w:rPr>
          <w:rFonts w:ascii="Arial" w:hAnsi="Arial" w:cs="Arial"/>
          <w:b/>
          <w:sz w:val="22"/>
          <w:szCs w:val="22"/>
        </w:rPr>
        <w:lastRenderedPageBreak/>
        <w:t>3. Hodnotiaca časť</w:t>
      </w:r>
    </w:p>
    <w:p w:rsidR="00AB1F4E" w:rsidRPr="00334406" w:rsidRDefault="00AB1F4E" w:rsidP="00AB1F4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34406">
        <w:rPr>
          <w:rFonts w:ascii="Arial" w:hAnsi="Arial" w:cs="Arial"/>
          <w:sz w:val="22"/>
          <w:szCs w:val="22"/>
        </w:rPr>
        <w:t>Detailnejší popis obsahuje samotná Správa v ktorej sme sa zamerali najmä na</w:t>
      </w:r>
      <w:r w:rsidR="008B0D97" w:rsidRPr="00334406">
        <w:rPr>
          <w:rFonts w:ascii="Arial" w:hAnsi="Arial" w:cs="Arial"/>
          <w:sz w:val="22"/>
          <w:szCs w:val="22"/>
        </w:rPr>
        <w:t> </w:t>
      </w:r>
      <w:r w:rsidRPr="00334406">
        <w:rPr>
          <w:rFonts w:ascii="Arial" w:hAnsi="Arial" w:cs="Arial"/>
          <w:sz w:val="22"/>
          <w:szCs w:val="22"/>
        </w:rPr>
        <w:t xml:space="preserve">komplexný pohľad plnenia opatrení projektmi úradu BSK a ich aktuálnym stavom rozpracovania. Stav projektov je vyjadrený prostredníctvom 4 fáz: zámer, projektová dokumentácia, žiadosť o NFP, realizácia projektu. Každá fáza predstavuje 25% rozpracovanosti projektu. </w:t>
      </w:r>
    </w:p>
    <w:p w:rsidR="009179A5" w:rsidRPr="00334406" w:rsidRDefault="009179A5" w:rsidP="00AB1F4E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AB1F4E" w:rsidRPr="00334406" w:rsidRDefault="00AB1F4E" w:rsidP="00AB1F4E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334406">
        <w:rPr>
          <w:rFonts w:ascii="Arial" w:hAnsi="Arial" w:cs="Arial"/>
          <w:b/>
          <w:sz w:val="22"/>
          <w:szCs w:val="22"/>
        </w:rPr>
        <w:t xml:space="preserve">Prehľad projektov Akčného plánu </w:t>
      </w:r>
      <w:r w:rsidR="008B0D97" w:rsidRPr="00334406">
        <w:rPr>
          <w:rFonts w:ascii="Arial" w:hAnsi="Arial" w:cs="Arial"/>
          <w:b/>
          <w:sz w:val="22"/>
          <w:szCs w:val="22"/>
        </w:rPr>
        <w:t xml:space="preserve">Úradu </w:t>
      </w:r>
      <w:r w:rsidRPr="00334406">
        <w:rPr>
          <w:rFonts w:ascii="Arial" w:hAnsi="Arial" w:cs="Arial"/>
          <w:b/>
          <w:sz w:val="22"/>
          <w:szCs w:val="22"/>
        </w:rPr>
        <w:t>BSK rozdelených podľa opatrení v grafickom prevedení</w:t>
      </w:r>
    </w:p>
    <w:p w:rsidR="00AB1F4E" w:rsidRPr="006718A7" w:rsidRDefault="009179A5" w:rsidP="00AB1F4E">
      <w:pPr>
        <w:pStyle w:val="Bezriadkovania"/>
        <w:rPr>
          <w:rFonts w:cs="Arial"/>
        </w:rPr>
      </w:pPr>
      <w:r w:rsidRPr="009179A5">
        <w:rPr>
          <w:rFonts w:cs="Arial"/>
          <w:noProof/>
          <w:lang w:eastAsia="sk-SK"/>
        </w:rPr>
        <w:drawing>
          <wp:inline distT="0" distB="0" distL="0" distR="0">
            <wp:extent cx="5727700" cy="2881223"/>
            <wp:effectExtent l="0" t="0" r="0" b="0"/>
            <wp:docPr id="4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A1DB1" w:rsidRDefault="001A1DB1" w:rsidP="009179A5">
      <w:pPr>
        <w:spacing w:before="120" w:after="120"/>
        <w:rPr>
          <w:rFonts w:ascii="Arial" w:hAnsi="Arial" w:cs="Arial"/>
          <w:b/>
          <w:sz w:val="22"/>
          <w:szCs w:val="22"/>
          <w:u w:val="single"/>
        </w:rPr>
      </w:pPr>
    </w:p>
    <w:p w:rsidR="009179A5" w:rsidRPr="009179A5" w:rsidRDefault="009179A5" w:rsidP="009179A5">
      <w:pPr>
        <w:spacing w:before="120" w:after="120"/>
        <w:rPr>
          <w:rFonts w:ascii="Arial" w:hAnsi="Arial" w:cs="Arial"/>
          <w:b/>
          <w:sz w:val="22"/>
          <w:szCs w:val="22"/>
          <w:u w:val="single"/>
        </w:rPr>
      </w:pPr>
      <w:r w:rsidRPr="009179A5">
        <w:rPr>
          <w:rFonts w:ascii="Arial" w:hAnsi="Arial" w:cs="Arial"/>
          <w:b/>
          <w:sz w:val="22"/>
          <w:szCs w:val="22"/>
          <w:u w:val="single"/>
        </w:rPr>
        <w:t xml:space="preserve">Zoznam opatrení: </w:t>
      </w:r>
    </w:p>
    <w:p w:rsidR="009179A5" w:rsidRPr="009179A5" w:rsidRDefault="009179A5" w:rsidP="009179A5">
      <w:pPr>
        <w:rPr>
          <w:rFonts w:ascii="Arial" w:hAnsi="Arial" w:cs="Arial"/>
          <w:sz w:val="22"/>
          <w:szCs w:val="22"/>
        </w:rPr>
      </w:pPr>
      <w:r w:rsidRPr="009179A5">
        <w:rPr>
          <w:rFonts w:ascii="Arial" w:hAnsi="Arial" w:cs="Arial"/>
          <w:b/>
          <w:sz w:val="22"/>
          <w:szCs w:val="22"/>
        </w:rPr>
        <w:t>Opatrenie 1:</w:t>
      </w:r>
      <w:r w:rsidRPr="009179A5">
        <w:rPr>
          <w:rFonts w:ascii="Arial" w:hAnsi="Arial" w:cs="Arial"/>
          <w:sz w:val="22"/>
          <w:szCs w:val="22"/>
        </w:rPr>
        <w:t xml:space="preserve"> Posilnenie výskumu, technologického rozvoja a inovácií</w:t>
      </w:r>
    </w:p>
    <w:p w:rsidR="009179A5" w:rsidRPr="009179A5" w:rsidRDefault="009179A5" w:rsidP="009179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Opatrenie </w:t>
      </w:r>
      <w:r w:rsidRPr="009179A5">
        <w:rPr>
          <w:rFonts w:ascii="Arial" w:hAnsi="Arial" w:cs="Arial"/>
          <w:b/>
          <w:sz w:val="22"/>
          <w:szCs w:val="22"/>
        </w:rPr>
        <w:t>2:</w:t>
      </w:r>
      <w:r w:rsidRPr="009179A5">
        <w:rPr>
          <w:rFonts w:ascii="Arial" w:hAnsi="Arial" w:cs="Arial"/>
          <w:sz w:val="22"/>
          <w:szCs w:val="22"/>
        </w:rPr>
        <w:t xml:space="preserve"> Zlepšenie prístupu k informačno-komunikačným technológiám, ako aj využívanie ich kvality</w:t>
      </w:r>
    </w:p>
    <w:p w:rsidR="009179A5" w:rsidRPr="009179A5" w:rsidRDefault="009179A5" w:rsidP="009179A5">
      <w:pPr>
        <w:rPr>
          <w:rFonts w:ascii="Arial" w:hAnsi="Arial" w:cs="Arial"/>
          <w:sz w:val="22"/>
          <w:szCs w:val="22"/>
        </w:rPr>
      </w:pPr>
      <w:r w:rsidRPr="009179A5">
        <w:rPr>
          <w:rFonts w:ascii="Arial" w:hAnsi="Arial" w:cs="Arial"/>
          <w:b/>
          <w:sz w:val="22"/>
          <w:szCs w:val="22"/>
        </w:rPr>
        <w:t>Opatrenie 3:</w:t>
      </w:r>
      <w:r w:rsidRPr="009179A5">
        <w:rPr>
          <w:rFonts w:ascii="Arial" w:hAnsi="Arial" w:cs="Arial"/>
          <w:sz w:val="22"/>
          <w:szCs w:val="22"/>
        </w:rPr>
        <w:t xml:space="preserve"> Zvýšenie konkurencieschopnosti malých a stredných podnikov, odvetvia poľnohospodárstva a rybného hospodárstva</w:t>
      </w:r>
    </w:p>
    <w:p w:rsidR="009179A5" w:rsidRPr="009179A5" w:rsidRDefault="009179A5" w:rsidP="009179A5">
      <w:pPr>
        <w:rPr>
          <w:rFonts w:ascii="Arial" w:hAnsi="Arial" w:cs="Arial"/>
          <w:sz w:val="22"/>
          <w:szCs w:val="22"/>
        </w:rPr>
      </w:pPr>
      <w:r w:rsidRPr="009179A5">
        <w:rPr>
          <w:rFonts w:ascii="Arial" w:hAnsi="Arial" w:cs="Arial"/>
          <w:b/>
          <w:sz w:val="22"/>
          <w:szCs w:val="22"/>
        </w:rPr>
        <w:t>Opatrenie 4:</w:t>
      </w:r>
      <w:r w:rsidRPr="009179A5">
        <w:rPr>
          <w:rFonts w:ascii="Arial" w:hAnsi="Arial" w:cs="Arial"/>
          <w:sz w:val="22"/>
          <w:szCs w:val="22"/>
        </w:rPr>
        <w:t xml:space="preserve"> Podpora prechodu na nízkouhlíkové hospodárstvo vo všetkých sektoroch</w:t>
      </w:r>
    </w:p>
    <w:p w:rsidR="009179A5" w:rsidRPr="009179A5" w:rsidRDefault="009179A5" w:rsidP="009179A5">
      <w:pPr>
        <w:rPr>
          <w:rFonts w:ascii="Arial" w:hAnsi="Arial" w:cs="Arial"/>
          <w:sz w:val="22"/>
          <w:szCs w:val="22"/>
        </w:rPr>
      </w:pPr>
      <w:r w:rsidRPr="009179A5">
        <w:rPr>
          <w:rFonts w:ascii="Arial" w:hAnsi="Arial" w:cs="Arial"/>
          <w:b/>
          <w:sz w:val="22"/>
          <w:szCs w:val="22"/>
        </w:rPr>
        <w:t>Opatrenie 5:</w:t>
      </w:r>
      <w:r w:rsidRPr="009179A5">
        <w:rPr>
          <w:rFonts w:ascii="Arial" w:hAnsi="Arial" w:cs="Arial"/>
          <w:sz w:val="22"/>
          <w:szCs w:val="22"/>
        </w:rPr>
        <w:t xml:space="preserve"> Podpora prispôsobenia sa zmenám klímy a predchádzania rizikám a ich riadenia</w:t>
      </w:r>
    </w:p>
    <w:p w:rsidR="009179A5" w:rsidRPr="009179A5" w:rsidRDefault="009179A5" w:rsidP="009179A5">
      <w:pPr>
        <w:rPr>
          <w:rFonts w:ascii="Arial" w:hAnsi="Arial" w:cs="Arial"/>
          <w:sz w:val="22"/>
          <w:szCs w:val="22"/>
        </w:rPr>
      </w:pPr>
      <w:r w:rsidRPr="009179A5">
        <w:rPr>
          <w:rFonts w:ascii="Arial" w:hAnsi="Arial" w:cs="Arial"/>
          <w:b/>
          <w:sz w:val="22"/>
          <w:szCs w:val="22"/>
        </w:rPr>
        <w:t>Opatrenie 6:</w:t>
      </w:r>
      <w:r w:rsidRPr="009179A5">
        <w:rPr>
          <w:rFonts w:ascii="Arial" w:hAnsi="Arial" w:cs="Arial"/>
          <w:sz w:val="22"/>
          <w:szCs w:val="22"/>
        </w:rPr>
        <w:t xml:space="preserve"> Ochrana ŽP a presadzovanie udržateľného využívania zdrojov</w:t>
      </w:r>
    </w:p>
    <w:p w:rsidR="009179A5" w:rsidRPr="009179A5" w:rsidRDefault="009179A5" w:rsidP="009179A5">
      <w:pPr>
        <w:rPr>
          <w:rFonts w:ascii="Arial" w:hAnsi="Arial" w:cs="Arial"/>
          <w:sz w:val="22"/>
          <w:szCs w:val="22"/>
        </w:rPr>
      </w:pPr>
      <w:r w:rsidRPr="009179A5">
        <w:rPr>
          <w:rFonts w:ascii="Arial" w:hAnsi="Arial" w:cs="Arial"/>
          <w:b/>
          <w:sz w:val="22"/>
          <w:szCs w:val="22"/>
        </w:rPr>
        <w:t>Opatrenie 7:</w:t>
      </w:r>
      <w:r w:rsidRPr="009179A5">
        <w:rPr>
          <w:rFonts w:ascii="Arial" w:hAnsi="Arial" w:cs="Arial"/>
          <w:sz w:val="22"/>
          <w:szCs w:val="22"/>
        </w:rPr>
        <w:t xml:space="preserve"> Podpora udržateľnej dopravy a odstraňovanie prekážok v kľúčových sieťových infraštruktúrach</w:t>
      </w:r>
    </w:p>
    <w:p w:rsidR="009179A5" w:rsidRPr="009179A5" w:rsidRDefault="009179A5" w:rsidP="009179A5">
      <w:pPr>
        <w:rPr>
          <w:rFonts w:ascii="Arial" w:hAnsi="Arial" w:cs="Arial"/>
          <w:sz w:val="22"/>
          <w:szCs w:val="22"/>
        </w:rPr>
      </w:pPr>
      <w:r w:rsidRPr="009179A5">
        <w:rPr>
          <w:rFonts w:ascii="Arial" w:hAnsi="Arial" w:cs="Arial"/>
          <w:b/>
          <w:sz w:val="22"/>
          <w:szCs w:val="22"/>
        </w:rPr>
        <w:t>Opatrenie 8:</w:t>
      </w:r>
      <w:r w:rsidRPr="009179A5">
        <w:rPr>
          <w:rFonts w:ascii="Arial" w:hAnsi="Arial" w:cs="Arial"/>
          <w:sz w:val="22"/>
          <w:szCs w:val="22"/>
        </w:rPr>
        <w:t xml:space="preserve"> Podpora zamestnanosti a podporovanie mobility pracovnej sily</w:t>
      </w:r>
    </w:p>
    <w:p w:rsidR="009179A5" w:rsidRPr="009179A5" w:rsidRDefault="009179A5" w:rsidP="009179A5">
      <w:pPr>
        <w:rPr>
          <w:rFonts w:ascii="Arial" w:hAnsi="Arial" w:cs="Arial"/>
          <w:sz w:val="22"/>
          <w:szCs w:val="22"/>
        </w:rPr>
      </w:pPr>
      <w:r w:rsidRPr="009179A5">
        <w:rPr>
          <w:rFonts w:ascii="Arial" w:hAnsi="Arial" w:cs="Arial"/>
          <w:b/>
          <w:sz w:val="22"/>
          <w:szCs w:val="22"/>
        </w:rPr>
        <w:t>Opatrenie 9:</w:t>
      </w:r>
      <w:r w:rsidRPr="009179A5">
        <w:rPr>
          <w:rFonts w:ascii="Arial" w:hAnsi="Arial" w:cs="Arial"/>
          <w:sz w:val="22"/>
          <w:szCs w:val="22"/>
        </w:rPr>
        <w:t xml:space="preserve"> Podpora sociálneho začleňovania a boj proti chudobe</w:t>
      </w:r>
    </w:p>
    <w:p w:rsidR="009179A5" w:rsidRPr="009179A5" w:rsidRDefault="009179A5" w:rsidP="009179A5">
      <w:pPr>
        <w:rPr>
          <w:rFonts w:ascii="Arial" w:hAnsi="Arial" w:cs="Arial"/>
          <w:sz w:val="22"/>
          <w:szCs w:val="22"/>
        </w:rPr>
      </w:pPr>
      <w:r w:rsidRPr="009179A5">
        <w:rPr>
          <w:rFonts w:ascii="Arial" w:hAnsi="Arial" w:cs="Arial"/>
          <w:b/>
          <w:sz w:val="22"/>
          <w:szCs w:val="22"/>
        </w:rPr>
        <w:t>Opatrenie 10:</w:t>
      </w:r>
      <w:r w:rsidRPr="009179A5">
        <w:rPr>
          <w:rFonts w:ascii="Arial" w:hAnsi="Arial" w:cs="Arial"/>
          <w:sz w:val="22"/>
          <w:szCs w:val="22"/>
        </w:rPr>
        <w:t xml:space="preserve"> Investovanie do vzdelávania, zručností a celoživotného vzdelávania</w:t>
      </w:r>
    </w:p>
    <w:p w:rsidR="00AB1F4E" w:rsidRPr="009179A5" w:rsidRDefault="009179A5" w:rsidP="009179A5">
      <w:pPr>
        <w:rPr>
          <w:rFonts w:ascii="Arial" w:hAnsi="Arial" w:cs="Arial"/>
          <w:sz w:val="22"/>
          <w:szCs w:val="22"/>
        </w:rPr>
      </w:pPr>
      <w:r w:rsidRPr="009179A5">
        <w:rPr>
          <w:rFonts w:ascii="Arial" w:hAnsi="Arial" w:cs="Arial"/>
          <w:b/>
          <w:sz w:val="22"/>
          <w:szCs w:val="22"/>
        </w:rPr>
        <w:t>Opatrenie 11:</w:t>
      </w:r>
      <w:r w:rsidRPr="009179A5">
        <w:rPr>
          <w:rFonts w:ascii="Arial" w:hAnsi="Arial" w:cs="Arial"/>
          <w:sz w:val="22"/>
          <w:szCs w:val="22"/>
        </w:rPr>
        <w:t xml:space="preserve"> Zvyšovanie inštitucionálnych kapacít a zabezpečovanie efektivity verejnej správy</w:t>
      </w:r>
    </w:p>
    <w:p w:rsidR="009179A5" w:rsidRDefault="009179A5" w:rsidP="009179A5">
      <w:pPr>
        <w:rPr>
          <w:rFonts w:ascii="Arial" w:hAnsi="Arial" w:cs="Arial"/>
        </w:rPr>
      </w:pPr>
    </w:p>
    <w:p w:rsidR="001A1DB1" w:rsidRDefault="001A1DB1" w:rsidP="009179A5">
      <w:pPr>
        <w:rPr>
          <w:rFonts w:ascii="Arial" w:hAnsi="Arial" w:cs="Arial"/>
        </w:rPr>
      </w:pPr>
    </w:p>
    <w:p w:rsidR="001A1DB1" w:rsidRDefault="001A1DB1" w:rsidP="009179A5">
      <w:pPr>
        <w:rPr>
          <w:rFonts w:ascii="Arial" w:hAnsi="Arial" w:cs="Arial"/>
        </w:rPr>
      </w:pPr>
    </w:p>
    <w:p w:rsidR="001A1DB1" w:rsidRDefault="001A1DB1" w:rsidP="009179A5">
      <w:pPr>
        <w:rPr>
          <w:rFonts w:ascii="Arial" w:hAnsi="Arial" w:cs="Arial"/>
        </w:rPr>
      </w:pPr>
    </w:p>
    <w:p w:rsidR="001A1DB1" w:rsidRDefault="001A1DB1" w:rsidP="009179A5">
      <w:pPr>
        <w:rPr>
          <w:rFonts w:ascii="Arial" w:hAnsi="Arial" w:cs="Arial"/>
        </w:rPr>
      </w:pPr>
    </w:p>
    <w:p w:rsidR="00D6395E" w:rsidRDefault="00D6395E" w:rsidP="009179A5">
      <w:pPr>
        <w:rPr>
          <w:rFonts w:ascii="Arial" w:hAnsi="Arial" w:cs="Arial"/>
        </w:rPr>
      </w:pPr>
    </w:p>
    <w:p w:rsidR="00D6395E" w:rsidRDefault="00D6395E" w:rsidP="009179A5">
      <w:pPr>
        <w:rPr>
          <w:rFonts w:ascii="Arial" w:hAnsi="Arial" w:cs="Arial"/>
        </w:rPr>
      </w:pPr>
    </w:p>
    <w:p w:rsidR="00D6395E" w:rsidRPr="00334406" w:rsidRDefault="00D6395E" w:rsidP="00D6395E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334406">
        <w:rPr>
          <w:rFonts w:ascii="Arial" w:hAnsi="Arial" w:cs="Arial"/>
          <w:b/>
          <w:sz w:val="22"/>
          <w:szCs w:val="22"/>
        </w:rPr>
        <w:lastRenderedPageBreak/>
        <w:t>Analýza prostredia vplývajúceho na prioritné osi</w:t>
      </w:r>
    </w:p>
    <w:p w:rsidR="00D6395E" w:rsidRPr="00334406" w:rsidRDefault="00D6395E" w:rsidP="00D6395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34406">
        <w:rPr>
          <w:rFonts w:ascii="Arial" w:hAnsi="Arial" w:cs="Arial"/>
          <w:sz w:val="22"/>
          <w:szCs w:val="22"/>
        </w:rPr>
        <w:t xml:space="preserve">V rámci monitorovania prostredia vplývajúceho na plnenie PHSR BSK 2014-2020 boli identifikované nasledovné trendy, ktoré najviac vplývajú na prioritné osi. Detailnejšie rozpracovanie analýzy prostredia vplývajúceho na prioritné osi je uvedená priamo v Správe. Vplyv prostredia bol skúmaný na úrovni prostredia Európskej únie, prostredia Slovenskej republiky a prostredia Bratislavského kraja. </w:t>
      </w:r>
    </w:p>
    <w:p w:rsidR="00D6395E" w:rsidRDefault="00D6395E" w:rsidP="00D6395E">
      <w:pPr>
        <w:pStyle w:val="Bezriadkovania"/>
        <w:rPr>
          <w:rFonts w:eastAsia="Times New Roman" w:cs="Arial"/>
          <w:sz w:val="24"/>
          <w:szCs w:val="24"/>
          <w:lang w:eastAsia="sk-SK"/>
        </w:rPr>
      </w:pPr>
    </w:p>
    <w:p w:rsidR="00D6395E" w:rsidRPr="009179A5" w:rsidRDefault="00D6395E" w:rsidP="00D6395E">
      <w:pPr>
        <w:pStyle w:val="Bezriadkovania"/>
        <w:rPr>
          <w:rFonts w:cs="Arial"/>
          <w:b/>
          <w:sz w:val="22"/>
        </w:rPr>
      </w:pPr>
      <w:r w:rsidRPr="009179A5">
        <w:rPr>
          <w:rFonts w:cs="Arial"/>
          <w:b/>
          <w:sz w:val="22"/>
        </w:rPr>
        <w:t>Prehľad najdôležitejších pozitívnych trendov sledovaného obdobia 2014-2020</w:t>
      </w:r>
    </w:p>
    <w:tbl>
      <w:tblPr>
        <w:tblStyle w:val="Mriekatabuky"/>
        <w:tblW w:w="5095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339"/>
        <w:gridCol w:w="6125"/>
      </w:tblGrid>
      <w:tr w:rsidR="00D6395E" w:rsidTr="00B7626C">
        <w:trPr>
          <w:trHeight w:val="285"/>
        </w:trPr>
        <w:tc>
          <w:tcPr>
            <w:tcW w:w="1764" w:type="pct"/>
            <w:shd w:val="clear" w:color="auto" w:fill="1F497D" w:themeFill="text2"/>
          </w:tcPr>
          <w:p w:rsidR="00D6395E" w:rsidRPr="00BE7C5E" w:rsidRDefault="00D6395E" w:rsidP="00B7626C">
            <w:pPr>
              <w:pStyle w:val="Bezriadkovania"/>
              <w:rPr>
                <w:rFonts w:cs="Arial"/>
                <w:b/>
                <w:color w:val="FFFFFF" w:themeColor="background1"/>
                <w:sz w:val="22"/>
              </w:rPr>
            </w:pPr>
            <w:r w:rsidRPr="00BE7C5E">
              <w:rPr>
                <w:rFonts w:cs="Arial"/>
                <w:b/>
                <w:color w:val="FFFFFF" w:themeColor="background1"/>
                <w:sz w:val="22"/>
              </w:rPr>
              <w:t>Prioritná os</w:t>
            </w:r>
          </w:p>
        </w:tc>
        <w:tc>
          <w:tcPr>
            <w:tcW w:w="3236" w:type="pct"/>
            <w:shd w:val="clear" w:color="auto" w:fill="1F497D" w:themeFill="text2"/>
          </w:tcPr>
          <w:p w:rsidR="00D6395E" w:rsidRPr="00BE7C5E" w:rsidRDefault="00D6395E" w:rsidP="00B7626C">
            <w:pPr>
              <w:pStyle w:val="Bezriadkovania"/>
              <w:rPr>
                <w:rFonts w:cs="Arial"/>
                <w:b/>
                <w:color w:val="FFFFFF" w:themeColor="background1"/>
                <w:sz w:val="22"/>
              </w:rPr>
            </w:pPr>
            <w:r w:rsidRPr="00BE7C5E">
              <w:rPr>
                <w:rFonts w:cs="Arial"/>
                <w:b/>
                <w:color w:val="FFFFFF" w:themeColor="background1"/>
                <w:sz w:val="22"/>
              </w:rPr>
              <w:t>Pozitívne trendy sledovaného obdobia</w:t>
            </w:r>
          </w:p>
        </w:tc>
      </w:tr>
      <w:tr w:rsidR="00D6395E" w:rsidTr="00B7626C">
        <w:trPr>
          <w:trHeight w:val="1734"/>
        </w:trPr>
        <w:tc>
          <w:tcPr>
            <w:tcW w:w="1764" w:type="pct"/>
            <w:vAlign w:val="center"/>
          </w:tcPr>
          <w:p w:rsidR="00D6395E" w:rsidRPr="00570300" w:rsidRDefault="00D6395E" w:rsidP="00B7626C">
            <w:pPr>
              <w:pStyle w:val="Bezriadkovania"/>
              <w:jc w:val="left"/>
              <w:rPr>
                <w:rFonts w:cs="Arial"/>
                <w:b/>
                <w:sz w:val="22"/>
              </w:rPr>
            </w:pPr>
            <w:r w:rsidRPr="00570300">
              <w:rPr>
                <w:rFonts w:cs="Arial"/>
                <w:b/>
                <w:sz w:val="22"/>
              </w:rPr>
              <w:t>1. Veda, výskum a inovácie</w:t>
            </w:r>
          </w:p>
        </w:tc>
        <w:tc>
          <w:tcPr>
            <w:tcW w:w="3236" w:type="pct"/>
            <w:tcBorders>
              <w:bottom w:val="single" w:sz="4" w:space="0" w:color="auto"/>
            </w:tcBorders>
          </w:tcPr>
          <w:p w:rsidR="00D6395E" w:rsidRPr="00D00B27" w:rsidRDefault="00D6395E" w:rsidP="00D6395E">
            <w:pPr>
              <w:pStyle w:val="Bezriadkovania"/>
              <w:rPr>
                <w:rFonts w:cs="Arial"/>
                <w:szCs w:val="20"/>
              </w:rPr>
            </w:pPr>
            <w:r w:rsidRPr="00226513">
              <w:rPr>
                <w:rFonts w:cs="Arial"/>
                <w:color w:val="000000" w:themeColor="text1"/>
                <w:szCs w:val="20"/>
              </w:rPr>
              <w:t>Akčný plán pre jednotný digitálny trh – Príležitosť pre Slovensko na roky 2017 – 2020;</w:t>
            </w:r>
            <w:r>
              <w:rPr>
                <w:rFonts w:cs="Arial"/>
                <w:color w:val="000000" w:themeColor="text1"/>
                <w:szCs w:val="20"/>
              </w:rPr>
              <w:t xml:space="preserve"> </w:t>
            </w:r>
            <w:r w:rsidRPr="00FF4BE9">
              <w:rPr>
                <w:rFonts w:cs="Arial"/>
                <w:szCs w:val="20"/>
              </w:rPr>
              <w:t>Stratégi</w:t>
            </w:r>
            <w:r>
              <w:rPr>
                <w:rFonts w:cs="Arial"/>
                <w:szCs w:val="20"/>
              </w:rPr>
              <w:t>a</w:t>
            </w:r>
            <w:r w:rsidRPr="00FF4BE9">
              <w:rPr>
                <w:rFonts w:cs="Arial"/>
                <w:szCs w:val="20"/>
              </w:rPr>
              <w:t xml:space="preserve"> rozvoja elektromobility v </w:t>
            </w:r>
            <w:r>
              <w:rPr>
                <w:rFonts w:cs="Arial"/>
                <w:szCs w:val="20"/>
              </w:rPr>
              <w:t>SR</w:t>
            </w:r>
            <w:r w:rsidRPr="00FF4BE9">
              <w:rPr>
                <w:rFonts w:cs="Arial"/>
                <w:szCs w:val="20"/>
              </w:rPr>
              <w:t xml:space="preserve"> a jej vplyv na národné hospodárstvo </w:t>
            </w:r>
            <w:r>
              <w:rPr>
                <w:rFonts w:cs="Arial"/>
                <w:szCs w:val="20"/>
              </w:rPr>
              <w:t xml:space="preserve">SR; </w:t>
            </w:r>
            <w:r w:rsidRPr="00C1561D">
              <w:rPr>
                <w:rFonts w:cs="Arial"/>
                <w:szCs w:val="20"/>
              </w:rPr>
              <w:t>Akčný plán implementácie Stratégie výskumu a inovácií pre inteligentnú špecializáciu SR na</w:t>
            </w:r>
            <w:r>
              <w:rPr>
                <w:rFonts w:cs="Arial"/>
                <w:szCs w:val="20"/>
              </w:rPr>
              <w:t> </w:t>
            </w:r>
            <w:r w:rsidRPr="00C1561D">
              <w:rPr>
                <w:rFonts w:cs="Arial"/>
                <w:szCs w:val="20"/>
              </w:rPr>
              <w:t>roky 2015 -2016;</w:t>
            </w:r>
            <w:r>
              <w:rPr>
                <w:rFonts w:cs="Arial"/>
                <w:szCs w:val="20"/>
              </w:rPr>
              <w:t xml:space="preserve"> Návrh K</w:t>
            </w:r>
            <w:r w:rsidRPr="00663BC5">
              <w:rPr>
                <w:rFonts w:cs="Arial"/>
                <w:szCs w:val="20"/>
              </w:rPr>
              <w:t>oncepcie inteligentného priemyslu pre Slovensko (Smart Industries);</w:t>
            </w:r>
            <w:r>
              <w:rPr>
                <w:rFonts w:cs="Arial"/>
                <w:szCs w:val="20"/>
              </w:rPr>
              <w:t xml:space="preserve"> d</w:t>
            </w:r>
            <w:r w:rsidRPr="00226513">
              <w:rPr>
                <w:rFonts w:cs="Arial"/>
                <w:szCs w:val="20"/>
              </w:rPr>
              <w:t xml:space="preserve">okončenie univerzitného vedeckého parku </w:t>
            </w:r>
            <w:r>
              <w:rPr>
                <w:rFonts w:cs="Arial"/>
                <w:szCs w:val="20"/>
              </w:rPr>
              <w:t>UK BA; d</w:t>
            </w:r>
            <w:r w:rsidRPr="00226513">
              <w:rPr>
                <w:rFonts w:cs="Arial"/>
                <w:szCs w:val="20"/>
              </w:rPr>
              <w:t xml:space="preserve">okončenie univerzitného vedeckého parku STU </w:t>
            </w:r>
            <w:r w:rsidRPr="00FF4BE9">
              <w:rPr>
                <w:rFonts w:cs="Arial"/>
                <w:szCs w:val="20"/>
              </w:rPr>
              <w:t>„</w:t>
            </w:r>
            <w:r w:rsidRPr="00226513">
              <w:rPr>
                <w:rFonts w:cs="Arial"/>
                <w:szCs w:val="20"/>
              </w:rPr>
              <w:t>Slovenské Silicon Valley</w:t>
            </w:r>
            <w:r w:rsidRPr="00FF4BE9">
              <w:rPr>
                <w:rFonts w:cs="Arial"/>
                <w:szCs w:val="20"/>
              </w:rPr>
              <w:t>“</w:t>
            </w:r>
            <w:r>
              <w:rPr>
                <w:rFonts w:cs="Arial"/>
                <w:szCs w:val="20"/>
              </w:rPr>
              <w:t xml:space="preserve"> </w:t>
            </w:r>
            <w:r w:rsidRPr="00226513">
              <w:rPr>
                <w:rFonts w:cs="Arial"/>
                <w:szCs w:val="20"/>
              </w:rPr>
              <w:t>v</w:t>
            </w:r>
            <w:r>
              <w:rPr>
                <w:rFonts w:cs="Arial"/>
                <w:szCs w:val="20"/>
              </w:rPr>
              <w:t> BA; v</w:t>
            </w:r>
            <w:r w:rsidRPr="00066D67">
              <w:rPr>
                <w:rFonts w:cs="Arial"/>
                <w:szCs w:val="20"/>
              </w:rPr>
              <w:t>ybavenie vedeckou infraštruktúrou hrubej stavby Centra aplikovaného výskumu nových materiálov a transferu technológií</w:t>
            </w:r>
            <w:r>
              <w:rPr>
                <w:rFonts w:cs="Arial"/>
                <w:szCs w:val="20"/>
              </w:rPr>
              <w:t>; nárast high-tech exportu v % na celkovom exporte SR; zvýšenie podielu domácností pripojených k širokopásmovému internetu.</w:t>
            </w:r>
          </w:p>
        </w:tc>
      </w:tr>
      <w:tr w:rsidR="00D6395E" w:rsidTr="00B7626C">
        <w:trPr>
          <w:trHeight w:val="1131"/>
        </w:trPr>
        <w:tc>
          <w:tcPr>
            <w:tcW w:w="1764" w:type="pct"/>
            <w:vAlign w:val="center"/>
          </w:tcPr>
          <w:p w:rsidR="00D6395E" w:rsidRPr="00570300" w:rsidRDefault="00D6395E" w:rsidP="00B7626C">
            <w:pPr>
              <w:pStyle w:val="Bezriadkovania"/>
              <w:jc w:val="left"/>
              <w:rPr>
                <w:rFonts w:cs="Arial"/>
                <w:b/>
              </w:rPr>
            </w:pPr>
            <w:r w:rsidRPr="009179A5">
              <w:rPr>
                <w:rFonts w:cs="Arial"/>
                <w:b/>
                <w:sz w:val="22"/>
              </w:rPr>
              <w:t>2. Ľudské zdroje</w:t>
            </w:r>
          </w:p>
        </w:tc>
        <w:tc>
          <w:tcPr>
            <w:tcW w:w="3236" w:type="pct"/>
            <w:tcBorders>
              <w:top w:val="single" w:sz="4" w:space="0" w:color="auto"/>
              <w:bottom w:val="single" w:sz="4" w:space="0" w:color="auto"/>
            </w:tcBorders>
          </w:tcPr>
          <w:p w:rsidR="00D6395E" w:rsidRPr="00A17566" w:rsidRDefault="00D6395E" w:rsidP="00B7626C">
            <w:pPr>
              <w:pStyle w:val="Bezriadkovania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Podporná</w:t>
            </w:r>
            <w:r w:rsidRPr="00FF4BE9">
              <w:rPr>
                <w:rFonts w:cs="Arial"/>
                <w:szCs w:val="20"/>
              </w:rPr>
              <w:t xml:space="preserve"> schém</w:t>
            </w:r>
            <w:r>
              <w:rPr>
                <w:rFonts w:cs="Arial"/>
                <w:szCs w:val="20"/>
              </w:rPr>
              <w:t>a</w:t>
            </w:r>
            <w:r w:rsidRPr="00FF4BE9">
              <w:rPr>
                <w:rFonts w:cs="Arial"/>
                <w:szCs w:val="20"/>
              </w:rPr>
              <w:t xml:space="preserve"> na návrat odborníkov zo zahraničia</w:t>
            </w:r>
            <w:r>
              <w:rPr>
                <w:rFonts w:cs="Arial"/>
                <w:szCs w:val="20"/>
              </w:rPr>
              <w:t>; Národný akčný</w:t>
            </w:r>
            <w:r w:rsidRPr="00FF4BE9">
              <w:rPr>
                <w:rFonts w:cs="Arial"/>
                <w:szCs w:val="20"/>
              </w:rPr>
              <w:t xml:space="preserve"> plán v prevencii obezity na</w:t>
            </w:r>
            <w:r>
              <w:rPr>
                <w:rFonts w:cs="Arial"/>
                <w:szCs w:val="20"/>
              </w:rPr>
              <w:t> </w:t>
            </w:r>
            <w:r w:rsidRPr="00FF4BE9">
              <w:rPr>
                <w:rFonts w:cs="Arial"/>
                <w:szCs w:val="20"/>
              </w:rPr>
              <w:t>roky 2015 – 2025</w:t>
            </w:r>
            <w:r>
              <w:rPr>
                <w:rFonts w:cs="Arial"/>
                <w:szCs w:val="20"/>
              </w:rPr>
              <w:t xml:space="preserve">; schválenie </w:t>
            </w:r>
            <w:r w:rsidRPr="00FF4BE9">
              <w:rPr>
                <w:rFonts w:cs="Arial"/>
                <w:szCs w:val="20"/>
              </w:rPr>
              <w:t>Koncepci</w:t>
            </w:r>
            <w:r>
              <w:rPr>
                <w:rFonts w:cs="Arial"/>
                <w:szCs w:val="20"/>
              </w:rPr>
              <w:t>e</w:t>
            </w:r>
            <w:r w:rsidRPr="00FF4BE9">
              <w:rPr>
                <w:rFonts w:cs="Arial"/>
                <w:szCs w:val="20"/>
              </w:rPr>
              <w:t xml:space="preserve"> rozvoja práce s mládežou na</w:t>
            </w:r>
            <w:r>
              <w:rPr>
                <w:rFonts w:cs="Arial"/>
                <w:szCs w:val="20"/>
              </w:rPr>
              <w:t> </w:t>
            </w:r>
            <w:r w:rsidRPr="00FF4BE9">
              <w:rPr>
                <w:rFonts w:cs="Arial"/>
                <w:szCs w:val="20"/>
              </w:rPr>
              <w:t>roky 2016 – 2020</w:t>
            </w:r>
            <w:r>
              <w:rPr>
                <w:rFonts w:cs="Arial"/>
                <w:szCs w:val="20"/>
              </w:rPr>
              <w:t xml:space="preserve">; </w:t>
            </w:r>
            <w:r>
              <w:rPr>
                <w:szCs w:val="20"/>
              </w:rPr>
              <w:t>Akčný</w:t>
            </w:r>
            <w:r w:rsidRPr="00FA516D">
              <w:rPr>
                <w:szCs w:val="20"/>
              </w:rPr>
              <w:t xml:space="preserve"> plán predchádzania všetkým formám diskriminácie na</w:t>
            </w:r>
            <w:r>
              <w:rPr>
                <w:szCs w:val="20"/>
              </w:rPr>
              <w:t> </w:t>
            </w:r>
            <w:r w:rsidRPr="00FA516D">
              <w:rPr>
                <w:szCs w:val="20"/>
              </w:rPr>
              <w:t>roky 2016-2019</w:t>
            </w:r>
            <w:r>
              <w:rPr>
                <w:szCs w:val="20"/>
              </w:rPr>
              <w:t xml:space="preserve">; </w:t>
            </w:r>
            <w:r w:rsidRPr="007A1B76">
              <w:rPr>
                <w:szCs w:val="20"/>
              </w:rPr>
              <w:t>Národná koncepcia informatizácie verejnej správy</w:t>
            </w:r>
            <w:r>
              <w:rPr>
                <w:szCs w:val="20"/>
              </w:rPr>
              <w:t>;</w:t>
            </w:r>
            <w:r>
              <w:rPr>
                <w:rFonts w:cs="Arial"/>
                <w:szCs w:val="20"/>
              </w:rPr>
              <w:t xml:space="preserve"> podanie ŽoNFP COVP (Hlinícka, Ivanská cesta, Ivanka pri Dunaji, Farského); nárast celkového</w:t>
            </w:r>
            <w:r w:rsidRPr="00FF4BE9">
              <w:rPr>
                <w:rFonts w:cs="Arial"/>
                <w:szCs w:val="20"/>
              </w:rPr>
              <w:t xml:space="preserve"> prírastok obyvateľstva na 1000 obyvateľov</w:t>
            </w:r>
            <w:r>
              <w:rPr>
                <w:rFonts w:cs="Arial"/>
                <w:szCs w:val="20"/>
              </w:rPr>
              <w:t>.</w:t>
            </w:r>
          </w:p>
        </w:tc>
      </w:tr>
      <w:tr w:rsidR="00D6395E" w:rsidTr="00B7626C">
        <w:trPr>
          <w:trHeight w:val="1542"/>
        </w:trPr>
        <w:tc>
          <w:tcPr>
            <w:tcW w:w="1764" w:type="pct"/>
            <w:vAlign w:val="center"/>
          </w:tcPr>
          <w:p w:rsidR="00D6395E" w:rsidRPr="00570300" w:rsidRDefault="00D6395E" w:rsidP="00B7626C">
            <w:pPr>
              <w:pStyle w:val="Bezriadkovania"/>
              <w:jc w:val="left"/>
              <w:rPr>
                <w:rFonts w:cs="Arial"/>
                <w:b/>
                <w:sz w:val="22"/>
              </w:rPr>
            </w:pPr>
            <w:r w:rsidRPr="00570300">
              <w:rPr>
                <w:rFonts w:cs="Arial"/>
                <w:b/>
                <w:sz w:val="22"/>
              </w:rPr>
              <w:t>3. Zamestnanosť</w:t>
            </w:r>
          </w:p>
        </w:tc>
        <w:tc>
          <w:tcPr>
            <w:tcW w:w="3236" w:type="pct"/>
            <w:tcBorders>
              <w:top w:val="single" w:sz="4" w:space="0" w:color="auto"/>
              <w:bottom w:val="single" w:sz="4" w:space="0" w:color="auto"/>
            </w:tcBorders>
          </w:tcPr>
          <w:p w:rsidR="00D6395E" w:rsidRPr="004C68DC" w:rsidRDefault="00D6395E" w:rsidP="00B7626C">
            <w:pPr>
              <w:pStyle w:val="Bezriadkovania"/>
              <w:rPr>
                <w:rFonts w:cs="Arial"/>
                <w:sz w:val="22"/>
              </w:rPr>
            </w:pPr>
            <w:r w:rsidRPr="00FF4BE9">
              <w:rPr>
                <w:rFonts w:cs="Arial"/>
                <w:szCs w:val="20"/>
              </w:rPr>
              <w:t xml:space="preserve">Podpora projektov prístavby, výstavby a rekonštrukcie priestorov pre potreby materských škôl Ministerstvom školstva, vedy, výskumu a športu v hodnote 9,5 mil. </w:t>
            </w:r>
            <w:r>
              <w:rPr>
                <w:rFonts w:cs="Arial"/>
                <w:szCs w:val="20"/>
              </w:rPr>
              <w:t>EUR; Stratégia</w:t>
            </w:r>
            <w:r w:rsidRPr="00FF4BE9">
              <w:rPr>
                <w:rFonts w:cs="Arial"/>
                <w:szCs w:val="20"/>
              </w:rPr>
              <w:t xml:space="preserve"> rozvoja turizmu v </w:t>
            </w:r>
            <w:r>
              <w:rPr>
                <w:rFonts w:cs="Arial"/>
                <w:szCs w:val="20"/>
              </w:rPr>
              <w:t xml:space="preserve">BSK </w:t>
            </w:r>
            <w:r w:rsidRPr="00FF4BE9">
              <w:rPr>
                <w:rFonts w:cs="Arial"/>
                <w:szCs w:val="20"/>
              </w:rPr>
              <w:t>do roku 2020</w:t>
            </w:r>
            <w:r>
              <w:rPr>
                <w:rFonts w:cs="Arial"/>
                <w:szCs w:val="20"/>
              </w:rPr>
              <w:t xml:space="preserve">; schválenie </w:t>
            </w:r>
            <w:r w:rsidRPr="00FF4BE9">
              <w:rPr>
                <w:rFonts w:cs="Arial"/>
                <w:szCs w:val="20"/>
              </w:rPr>
              <w:t>Návrh</w:t>
            </w:r>
            <w:r>
              <w:rPr>
                <w:rFonts w:cs="Arial"/>
                <w:szCs w:val="20"/>
              </w:rPr>
              <w:t>u</w:t>
            </w:r>
            <w:r w:rsidRPr="00FF4BE9">
              <w:rPr>
                <w:rFonts w:cs="Arial"/>
                <w:szCs w:val="20"/>
              </w:rPr>
              <w:t xml:space="preserve"> zákona, ktorým sa mení a dopĺňa zákon č. 561/2008 Z. z. o príspevku na</w:t>
            </w:r>
            <w:r>
              <w:rPr>
                <w:rFonts w:cs="Arial"/>
                <w:szCs w:val="20"/>
              </w:rPr>
              <w:t> </w:t>
            </w:r>
            <w:r w:rsidRPr="00FF4BE9">
              <w:rPr>
                <w:rFonts w:cs="Arial"/>
                <w:szCs w:val="20"/>
              </w:rPr>
              <w:t>starostlivosť o dieťa a o zmene a doplnení niektorých zákonov v</w:t>
            </w:r>
            <w:r>
              <w:rPr>
                <w:rFonts w:cs="Arial"/>
                <w:szCs w:val="20"/>
              </w:rPr>
              <w:t> </w:t>
            </w:r>
            <w:r w:rsidRPr="00FF4BE9">
              <w:rPr>
                <w:rFonts w:cs="Arial"/>
                <w:szCs w:val="20"/>
              </w:rPr>
              <w:t>znení neskorších predpisov</w:t>
            </w:r>
            <w:r>
              <w:rPr>
                <w:rFonts w:cs="Arial"/>
                <w:szCs w:val="20"/>
              </w:rPr>
              <w:t xml:space="preserve">; </w:t>
            </w:r>
            <w:r w:rsidRPr="00A17566">
              <w:rPr>
                <w:rFonts w:cs="Arial"/>
                <w:szCs w:val="20"/>
              </w:rPr>
              <w:t>Národná stratégia zamestnanosti Slovenskej republiky do roku 2020;</w:t>
            </w:r>
            <w:r>
              <w:rPr>
                <w:rFonts w:cs="Arial"/>
                <w:szCs w:val="20"/>
              </w:rPr>
              <w:t xml:space="preserve"> </w:t>
            </w:r>
            <w:r w:rsidRPr="00A17566">
              <w:rPr>
                <w:rFonts w:cs="Arial"/>
                <w:szCs w:val="20"/>
              </w:rPr>
              <w:t>Program aktívneho starnutia hlavného mesta SR</w:t>
            </w:r>
            <w:r>
              <w:rPr>
                <w:rFonts w:cs="Arial"/>
                <w:szCs w:val="20"/>
              </w:rPr>
              <w:t xml:space="preserve"> Bratislavy na roky 2014 – 2020.</w:t>
            </w:r>
          </w:p>
        </w:tc>
      </w:tr>
      <w:tr w:rsidR="00D6395E" w:rsidTr="00B7626C">
        <w:trPr>
          <w:trHeight w:val="1775"/>
        </w:trPr>
        <w:tc>
          <w:tcPr>
            <w:tcW w:w="1764" w:type="pct"/>
            <w:vAlign w:val="center"/>
          </w:tcPr>
          <w:p w:rsidR="00D6395E" w:rsidRPr="00570300" w:rsidRDefault="00D6395E" w:rsidP="00B7626C">
            <w:pPr>
              <w:pStyle w:val="Bezriadkovania"/>
              <w:jc w:val="left"/>
              <w:rPr>
                <w:rFonts w:cs="Arial"/>
                <w:b/>
                <w:sz w:val="22"/>
              </w:rPr>
            </w:pPr>
            <w:r w:rsidRPr="00570300">
              <w:rPr>
                <w:rFonts w:cs="Arial"/>
                <w:b/>
                <w:sz w:val="22"/>
              </w:rPr>
              <w:t>4.Konkurencieschopnosť, rast a podnikateľské prostredie</w:t>
            </w:r>
          </w:p>
        </w:tc>
        <w:tc>
          <w:tcPr>
            <w:tcW w:w="3236" w:type="pct"/>
            <w:tcBorders>
              <w:top w:val="single" w:sz="4" w:space="0" w:color="auto"/>
              <w:bottom w:val="single" w:sz="4" w:space="0" w:color="auto"/>
            </w:tcBorders>
          </w:tcPr>
          <w:p w:rsidR="00D6395E" w:rsidRPr="00D00B27" w:rsidRDefault="00D6395E" w:rsidP="00B7626C">
            <w:pPr>
              <w:pStyle w:val="Bezriadkovania"/>
              <w:rPr>
                <w:rFonts w:cs="Arial"/>
                <w:szCs w:val="20"/>
              </w:rPr>
            </w:pPr>
            <w:r w:rsidRPr="00FF4BE9">
              <w:rPr>
                <w:rFonts w:cs="Arial"/>
                <w:szCs w:val="20"/>
              </w:rPr>
              <w:t>Koncepci</w:t>
            </w:r>
            <w:r>
              <w:rPr>
                <w:rFonts w:cs="Arial"/>
                <w:szCs w:val="20"/>
              </w:rPr>
              <w:t>a</w:t>
            </w:r>
            <w:r w:rsidRPr="00FF4BE9">
              <w:rPr>
                <w:rFonts w:cs="Arial"/>
                <w:szCs w:val="20"/>
              </w:rPr>
              <w:t xml:space="preserve"> pre podporu startupov a rozvoj startupového ekosystému v Slovenskej republike</w:t>
            </w:r>
            <w:r>
              <w:rPr>
                <w:rFonts w:cs="Arial"/>
                <w:szCs w:val="20"/>
              </w:rPr>
              <w:t xml:space="preserve">, schválenie </w:t>
            </w:r>
            <w:r w:rsidRPr="00FF4BE9">
              <w:rPr>
                <w:rFonts w:cs="Arial"/>
                <w:szCs w:val="20"/>
              </w:rPr>
              <w:t>Návrh</w:t>
            </w:r>
            <w:r>
              <w:rPr>
                <w:rFonts w:cs="Arial"/>
                <w:szCs w:val="20"/>
              </w:rPr>
              <w:t>u zákona o </w:t>
            </w:r>
            <w:r w:rsidRPr="00FF4BE9">
              <w:rPr>
                <w:rFonts w:cs="Arial"/>
                <w:szCs w:val="20"/>
              </w:rPr>
              <w:t>finančných nástrojoch financovaných z európskych štrukturálnych a</w:t>
            </w:r>
            <w:r>
              <w:rPr>
                <w:rFonts w:cs="Arial"/>
                <w:szCs w:val="20"/>
              </w:rPr>
              <w:t> </w:t>
            </w:r>
            <w:r w:rsidRPr="00FF4BE9">
              <w:rPr>
                <w:rFonts w:cs="Arial"/>
                <w:szCs w:val="20"/>
              </w:rPr>
              <w:t>investičných fondov a o zmene a doplnení niektorých zákonov</w:t>
            </w:r>
            <w:r>
              <w:rPr>
                <w:rFonts w:cs="Arial"/>
                <w:szCs w:val="20"/>
              </w:rPr>
              <w:t xml:space="preserve">, zavedenie </w:t>
            </w:r>
            <w:r w:rsidRPr="00FF4BE9">
              <w:rPr>
                <w:rFonts w:cs="Arial"/>
                <w:szCs w:val="20"/>
              </w:rPr>
              <w:t>Stratégi</w:t>
            </w:r>
            <w:r>
              <w:rPr>
                <w:rFonts w:cs="Arial"/>
                <w:szCs w:val="20"/>
              </w:rPr>
              <w:t>e</w:t>
            </w:r>
            <w:r w:rsidRPr="00FF4BE9">
              <w:rPr>
                <w:rFonts w:cs="Arial"/>
                <w:szCs w:val="20"/>
              </w:rPr>
              <w:t xml:space="preserve"> budovania „Značky kvality SK“</w:t>
            </w:r>
            <w:r>
              <w:rPr>
                <w:rFonts w:cs="Arial"/>
                <w:szCs w:val="20"/>
              </w:rPr>
              <w:t xml:space="preserve">; </w:t>
            </w:r>
            <w:r w:rsidRPr="00D00B27">
              <w:rPr>
                <w:rFonts w:cs="Arial"/>
                <w:szCs w:val="20"/>
              </w:rPr>
              <w:t>Národná politika pre elektronické komunikácie do</w:t>
            </w:r>
            <w:r>
              <w:rPr>
                <w:rFonts w:cs="Arial"/>
                <w:szCs w:val="20"/>
              </w:rPr>
              <w:t> </w:t>
            </w:r>
            <w:r w:rsidRPr="00D00B27">
              <w:rPr>
                <w:rFonts w:cs="Arial"/>
                <w:szCs w:val="20"/>
              </w:rPr>
              <w:t>roku 2020;</w:t>
            </w:r>
            <w:r>
              <w:rPr>
                <w:rFonts w:cs="Arial"/>
                <w:szCs w:val="20"/>
              </w:rPr>
              <w:t xml:space="preserve"> n</w:t>
            </w:r>
            <w:r w:rsidRPr="00734E11">
              <w:rPr>
                <w:rFonts w:cs="Arial"/>
                <w:szCs w:val="20"/>
              </w:rPr>
              <w:t>ávrh medzirezortného programu Informačná spoločnosť 2014-2020</w:t>
            </w:r>
            <w:r>
              <w:rPr>
                <w:rFonts w:cs="Arial"/>
                <w:szCs w:val="20"/>
              </w:rPr>
              <w:t xml:space="preserve">; </w:t>
            </w:r>
            <w:r w:rsidRPr="00D00B27">
              <w:rPr>
                <w:rFonts w:cs="Arial"/>
                <w:szCs w:val="20"/>
              </w:rPr>
              <w:t>Národný program kvality Slovenskej republiky – Stratégia zlepšovania kvality produktov a služieb zlepšovaním organizácií 2017 – 2021;</w:t>
            </w:r>
            <w:r>
              <w:rPr>
                <w:rFonts w:cs="Arial"/>
                <w:szCs w:val="20"/>
              </w:rPr>
              <w:t xml:space="preserve"> zvýšenie HDP na obyvateľa v PKS, zvýšenie počtu podnikateľských subjektov.</w:t>
            </w:r>
          </w:p>
        </w:tc>
      </w:tr>
      <w:tr w:rsidR="00D6395E" w:rsidTr="00B7626C">
        <w:tc>
          <w:tcPr>
            <w:tcW w:w="1764" w:type="pct"/>
            <w:vAlign w:val="center"/>
          </w:tcPr>
          <w:p w:rsidR="00D6395E" w:rsidRPr="00570300" w:rsidRDefault="00D6395E" w:rsidP="00B7626C">
            <w:pPr>
              <w:pStyle w:val="Bezriadkovania"/>
              <w:jc w:val="left"/>
              <w:rPr>
                <w:rFonts w:cs="Arial"/>
                <w:b/>
                <w:sz w:val="22"/>
              </w:rPr>
            </w:pPr>
            <w:r w:rsidRPr="00570300">
              <w:rPr>
                <w:rFonts w:cs="Arial"/>
                <w:b/>
                <w:sz w:val="22"/>
              </w:rPr>
              <w:t>5. Životné prostredie, zmeny klímy a obnoviteľné zdroje energie</w:t>
            </w:r>
          </w:p>
        </w:tc>
        <w:tc>
          <w:tcPr>
            <w:tcW w:w="3236" w:type="pct"/>
            <w:tcBorders>
              <w:top w:val="single" w:sz="4" w:space="0" w:color="auto"/>
            </w:tcBorders>
          </w:tcPr>
          <w:p w:rsidR="00D6395E" w:rsidRPr="004C68DC" w:rsidRDefault="00D6395E" w:rsidP="00B7626C">
            <w:pPr>
              <w:pStyle w:val="Bezriadkovania"/>
              <w:rPr>
                <w:rFonts w:cs="Arial"/>
                <w:sz w:val="22"/>
              </w:rPr>
            </w:pPr>
            <w:r w:rsidRPr="00822A4C">
              <w:rPr>
                <w:rFonts w:cs="Arial"/>
                <w:szCs w:val="20"/>
              </w:rPr>
              <w:t xml:space="preserve">Adaptačná stratégia </w:t>
            </w:r>
            <w:r>
              <w:rPr>
                <w:rFonts w:cs="Arial"/>
                <w:szCs w:val="20"/>
              </w:rPr>
              <w:t>ku</w:t>
            </w:r>
            <w:r w:rsidRPr="00822A4C">
              <w:rPr>
                <w:rFonts w:cs="Arial"/>
                <w:szCs w:val="20"/>
              </w:rPr>
              <w:t xml:space="preserve"> zmene klímy n</w:t>
            </w:r>
            <w:r>
              <w:rPr>
                <w:rFonts w:cs="Arial"/>
                <w:szCs w:val="20"/>
              </w:rPr>
              <w:t>a území Hl. mesta SR Bratislavy; vytvorenie Katalógu adaptačných opatrení miest a obcí BSK na nepriaznivé dôsledky zmeny klímy; Vodný</w:t>
            </w:r>
            <w:r w:rsidRPr="00734E11">
              <w:rPr>
                <w:rFonts w:cs="Arial"/>
                <w:szCs w:val="20"/>
              </w:rPr>
              <w:t xml:space="preserve"> plán Slovenska</w:t>
            </w:r>
            <w:r>
              <w:rPr>
                <w:rFonts w:cs="Arial"/>
                <w:szCs w:val="20"/>
              </w:rPr>
              <w:t xml:space="preserve">; </w:t>
            </w:r>
            <w:r w:rsidRPr="00BC7028">
              <w:rPr>
                <w:rFonts w:cs="Arial"/>
                <w:color w:val="000000" w:themeColor="text1"/>
                <w:szCs w:val="20"/>
              </w:rPr>
              <w:t xml:space="preserve">Strategický plán </w:t>
            </w:r>
            <w:r>
              <w:rPr>
                <w:rFonts w:cs="Arial"/>
                <w:color w:val="000000" w:themeColor="text1"/>
                <w:szCs w:val="20"/>
              </w:rPr>
              <w:t xml:space="preserve">rozvoja dopravy SR do roku 2030; </w:t>
            </w:r>
            <w:r>
              <w:rPr>
                <w:rFonts w:cs="Arial"/>
                <w:szCs w:val="20"/>
              </w:rPr>
              <w:t>aktualizácia</w:t>
            </w:r>
            <w:r w:rsidRPr="00734E11">
              <w:rPr>
                <w:rFonts w:cs="Arial"/>
                <w:szCs w:val="20"/>
              </w:rPr>
              <w:t xml:space="preserve"> súboru indikátorov stavu a ochrany biodiverzity na</w:t>
            </w:r>
            <w:r>
              <w:rPr>
                <w:rFonts w:cs="Arial"/>
                <w:szCs w:val="20"/>
              </w:rPr>
              <w:t> </w:t>
            </w:r>
            <w:r w:rsidRPr="00734E11">
              <w:rPr>
                <w:rFonts w:cs="Arial"/>
                <w:szCs w:val="20"/>
              </w:rPr>
              <w:t>Slovensku</w:t>
            </w:r>
            <w:r>
              <w:rPr>
                <w:rFonts w:cs="Arial"/>
                <w:szCs w:val="20"/>
              </w:rPr>
              <w:t xml:space="preserve">; </w:t>
            </w:r>
            <w:r w:rsidRPr="00A125B5">
              <w:rPr>
                <w:rFonts w:eastAsia="Times New Roman" w:cs="Arial"/>
                <w:szCs w:val="20"/>
                <w:lang w:eastAsia="sk-SK"/>
              </w:rPr>
              <w:t>Národný systém dopravných informácií</w:t>
            </w:r>
            <w:r>
              <w:rPr>
                <w:rFonts w:eastAsia="Times New Roman" w:cs="Arial"/>
                <w:szCs w:val="20"/>
                <w:lang w:eastAsia="sk-SK"/>
              </w:rPr>
              <w:t>; p</w:t>
            </w:r>
            <w:r w:rsidRPr="00663BC5">
              <w:rPr>
                <w:rFonts w:cs="Arial"/>
                <w:szCs w:val="20"/>
              </w:rPr>
              <w:t>rojekt TRANSDANUBE.PEARLS</w:t>
            </w:r>
            <w:r>
              <w:rPr>
                <w:rFonts w:cs="Arial"/>
                <w:szCs w:val="20"/>
              </w:rPr>
              <w:t>, p</w:t>
            </w:r>
            <w:r w:rsidRPr="00663BC5">
              <w:rPr>
                <w:rFonts w:cs="Arial"/>
                <w:szCs w:val="20"/>
              </w:rPr>
              <w:t>rojekt FLOOD Serv</w:t>
            </w:r>
            <w:r w:rsidR="002C2E00">
              <w:rPr>
                <w:rFonts w:cs="Arial"/>
                <w:szCs w:val="20"/>
              </w:rPr>
              <w:t>; projekt C</w:t>
            </w:r>
            <w:r>
              <w:rPr>
                <w:rFonts w:cs="Arial"/>
                <w:szCs w:val="20"/>
              </w:rPr>
              <w:t>yklolávky, nárast podielu zhodnocovaného komunálneho odpadu.</w:t>
            </w:r>
          </w:p>
        </w:tc>
      </w:tr>
    </w:tbl>
    <w:p w:rsidR="00AB1F4E" w:rsidRPr="00334406" w:rsidRDefault="00AB1F4E" w:rsidP="00AB1F4E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334406">
        <w:rPr>
          <w:rFonts w:ascii="Arial" w:hAnsi="Arial" w:cs="Arial"/>
          <w:b/>
          <w:sz w:val="22"/>
          <w:szCs w:val="22"/>
        </w:rPr>
        <w:lastRenderedPageBreak/>
        <w:t>Návrhová časť - opatrenia na rok 201</w:t>
      </w:r>
      <w:r w:rsidR="00C679B8" w:rsidRPr="00334406">
        <w:rPr>
          <w:rFonts w:ascii="Arial" w:hAnsi="Arial" w:cs="Arial"/>
          <w:b/>
          <w:sz w:val="22"/>
          <w:szCs w:val="22"/>
        </w:rPr>
        <w:t>7</w:t>
      </w:r>
    </w:p>
    <w:p w:rsidR="00AB1F4E" w:rsidRPr="00334406" w:rsidRDefault="00AB1F4E" w:rsidP="00D6395E">
      <w:pPr>
        <w:pStyle w:val="Bezriadkovania"/>
        <w:rPr>
          <w:sz w:val="22"/>
        </w:rPr>
      </w:pPr>
      <w:r w:rsidRPr="00334406">
        <w:rPr>
          <w:rFonts w:cs="Arial"/>
          <w:sz w:val="22"/>
        </w:rPr>
        <w:t>Opatreni</w:t>
      </w:r>
      <w:r w:rsidR="009179A5" w:rsidRPr="00334406">
        <w:rPr>
          <w:rFonts w:cs="Arial"/>
          <w:sz w:val="22"/>
        </w:rPr>
        <w:t>a</w:t>
      </w:r>
      <w:r w:rsidRPr="00334406">
        <w:rPr>
          <w:rFonts w:cs="Arial"/>
          <w:sz w:val="22"/>
        </w:rPr>
        <w:t xml:space="preserve"> na rok 201</w:t>
      </w:r>
      <w:r w:rsidR="00C679B8" w:rsidRPr="00334406">
        <w:rPr>
          <w:rFonts w:cs="Arial"/>
          <w:sz w:val="22"/>
        </w:rPr>
        <w:t>7</w:t>
      </w:r>
      <w:r w:rsidRPr="00334406">
        <w:rPr>
          <w:rFonts w:cs="Arial"/>
          <w:sz w:val="22"/>
        </w:rPr>
        <w:t xml:space="preserve"> sa sústreďu</w:t>
      </w:r>
      <w:r w:rsidR="009179A5" w:rsidRPr="00334406">
        <w:rPr>
          <w:rFonts w:cs="Arial"/>
          <w:sz w:val="22"/>
        </w:rPr>
        <w:t>jú</w:t>
      </w:r>
      <w:r w:rsidRPr="00334406">
        <w:rPr>
          <w:rFonts w:cs="Arial"/>
          <w:sz w:val="22"/>
        </w:rPr>
        <w:t xml:space="preserve"> na vylepšenie </w:t>
      </w:r>
      <w:r w:rsidR="00C679B8" w:rsidRPr="00334406">
        <w:rPr>
          <w:sz w:val="22"/>
        </w:rPr>
        <w:t>hodnotenia rozvoja jednotlivých regiónov EÚ Eurostatom prostredníctvom využitia 2 indexov- Social Progress Indexu a Regionálneho indexu konkurencieschopnosti, nakoľko v súčasnosti využívaný hlavný ukazovateľ HDP na</w:t>
      </w:r>
      <w:r w:rsidR="00334406">
        <w:rPr>
          <w:sz w:val="22"/>
        </w:rPr>
        <w:t> </w:t>
      </w:r>
      <w:r w:rsidR="00C679B8" w:rsidRPr="00334406">
        <w:rPr>
          <w:sz w:val="22"/>
        </w:rPr>
        <w:t>obyvateľa v parite kúpnej sily dostatočne nereflektuje reálnu úroveň sociálneho pokroku a</w:t>
      </w:r>
      <w:r w:rsidR="00334406">
        <w:rPr>
          <w:sz w:val="22"/>
        </w:rPr>
        <w:t> </w:t>
      </w:r>
      <w:r w:rsidR="00C679B8" w:rsidRPr="00334406">
        <w:rPr>
          <w:sz w:val="22"/>
        </w:rPr>
        <w:t>kvality života v regiónoch. V rámci prostredia BSK navrhujeme doplnenie tohto ukazovateľa ďalšími indikátormi Social Progress Indexom a Regionálnym indexom konkurencieschopnosti, ktoré by zohľadňovali ako sociálne, tak aj demografické a</w:t>
      </w:r>
      <w:r w:rsidR="00334406">
        <w:rPr>
          <w:sz w:val="22"/>
        </w:rPr>
        <w:t> </w:t>
      </w:r>
      <w:r w:rsidR="00C679B8" w:rsidRPr="00334406">
        <w:rPr>
          <w:sz w:val="22"/>
        </w:rPr>
        <w:t xml:space="preserve">environmentálne aspekty života v regióne. Nakoľko vypracovanie týchto indexov je časovo náročné, odhadujeme jeho vypracovanie v rámci rokov 2017-2018. </w:t>
      </w:r>
    </w:p>
    <w:p w:rsidR="008B0D97" w:rsidRPr="00334406" w:rsidRDefault="008B0D97" w:rsidP="00AB1F4E">
      <w:pPr>
        <w:pStyle w:val="Bezriadkovania"/>
        <w:rPr>
          <w:b/>
          <w:sz w:val="22"/>
        </w:rPr>
      </w:pPr>
    </w:p>
    <w:p w:rsidR="00AB1F4E" w:rsidRPr="00334406" w:rsidRDefault="00C679B8" w:rsidP="00AB1F4E">
      <w:pPr>
        <w:pStyle w:val="Bezriadkovania"/>
        <w:rPr>
          <w:b/>
          <w:sz w:val="22"/>
        </w:rPr>
      </w:pPr>
      <w:r w:rsidRPr="00334406">
        <w:rPr>
          <w:b/>
          <w:sz w:val="22"/>
        </w:rPr>
        <w:t>Opatrenia na rok 2017-2018</w:t>
      </w:r>
    </w:p>
    <w:tbl>
      <w:tblPr>
        <w:tblStyle w:val="Mriekatabuky"/>
        <w:tblpPr w:leftFromText="180" w:rightFromText="180" w:vertAnchor="text" w:tblpY="1"/>
        <w:tblOverlap w:val="never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49"/>
        <w:gridCol w:w="6201"/>
        <w:gridCol w:w="1538"/>
      </w:tblGrid>
      <w:tr w:rsidR="00C679B8" w:rsidRPr="00334406" w:rsidTr="001C3A58">
        <w:tc>
          <w:tcPr>
            <w:tcW w:w="794" w:type="pct"/>
            <w:shd w:val="clear" w:color="auto" w:fill="DBE5F1" w:themeFill="accent1" w:themeFillTint="33"/>
            <w:vAlign w:val="center"/>
          </w:tcPr>
          <w:p w:rsidR="00C679B8" w:rsidRPr="00334406" w:rsidRDefault="00C679B8" w:rsidP="001C3A58">
            <w:pPr>
              <w:pStyle w:val="Bezriadkovania"/>
              <w:jc w:val="left"/>
              <w:rPr>
                <w:rFonts w:cs="Arial"/>
                <w:sz w:val="22"/>
              </w:rPr>
            </w:pPr>
            <w:r w:rsidRPr="00334406">
              <w:rPr>
                <w:sz w:val="22"/>
              </w:rPr>
              <w:t>PHSR_O17.1</w:t>
            </w:r>
          </w:p>
        </w:tc>
        <w:tc>
          <w:tcPr>
            <w:tcW w:w="3358" w:type="pct"/>
            <w:shd w:val="clear" w:color="auto" w:fill="DBE5F1" w:themeFill="accent1" w:themeFillTint="33"/>
          </w:tcPr>
          <w:p w:rsidR="00C679B8" w:rsidRPr="00334406" w:rsidRDefault="00C679B8" w:rsidP="00C679B8">
            <w:pPr>
              <w:pStyle w:val="Bezriadkovania"/>
              <w:jc w:val="left"/>
              <w:rPr>
                <w:rFonts w:cs="Arial"/>
                <w:b/>
                <w:sz w:val="22"/>
              </w:rPr>
            </w:pPr>
            <w:r w:rsidRPr="00334406">
              <w:rPr>
                <w:rFonts w:cs="Arial"/>
                <w:b/>
                <w:sz w:val="22"/>
              </w:rPr>
              <w:t>Hodnotenie prostredníctvom Social Progress Index (SPI)</w:t>
            </w:r>
          </w:p>
        </w:tc>
        <w:tc>
          <w:tcPr>
            <w:tcW w:w="848" w:type="pct"/>
            <w:shd w:val="clear" w:color="auto" w:fill="DBE5F1" w:themeFill="accent1" w:themeFillTint="33"/>
            <w:vAlign w:val="center"/>
          </w:tcPr>
          <w:p w:rsidR="00C679B8" w:rsidRPr="00334406" w:rsidRDefault="00C679B8" w:rsidP="001C3A58">
            <w:pPr>
              <w:pStyle w:val="Bezriadkovania"/>
              <w:jc w:val="center"/>
              <w:rPr>
                <w:rFonts w:cs="Arial"/>
                <w:b/>
                <w:sz w:val="22"/>
              </w:rPr>
            </w:pPr>
            <w:r w:rsidRPr="00334406">
              <w:rPr>
                <w:rFonts w:cs="Arial"/>
                <w:b/>
                <w:sz w:val="22"/>
              </w:rPr>
              <w:t>2017/2018</w:t>
            </w:r>
          </w:p>
        </w:tc>
      </w:tr>
      <w:tr w:rsidR="00C679B8" w:rsidRPr="00334406" w:rsidTr="001C3A58">
        <w:tc>
          <w:tcPr>
            <w:tcW w:w="4152" w:type="pct"/>
            <w:gridSpan w:val="2"/>
            <w:shd w:val="clear" w:color="auto" w:fill="DBE5F1" w:themeFill="accent1" w:themeFillTint="33"/>
          </w:tcPr>
          <w:p w:rsidR="00C679B8" w:rsidRPr="00334406" w:rsidRDefault="00C679B8" w:rsidP="001C3A58">
            <w:pPr>
              <w:pStyle w:val="Bezriadkovania"/>
              <w:rPr>
                <w:rFonts w:cs="Arial"/>
                <w:sz w:val="22"/>
              </w:rPr>
            </w:pPr>
            <w:r w:rsidRPr="00334406">
              <w:rPr>
                <w:rFonts w:cs="Arial"/>
                <w:b/>
                <w:sz w:val="22"/>
              </w:rPr>
              <w:t xml:space="preserve">Popis: </w:t>
            </w:r>
            <w:r w:rsidRPr="00334406">
              <w:rPr>
                <w:rFonts w:cs="Arial"/>
                <w:sz w:val="22"/>
              </w:rPr>
              <w:t>Index sociálneho pokroku</w:t>
            </w:r>
            <w:r w:rsidR="00AB0E47" w:rsidRPr="00334406">
              <w:rPr>
                <w:rFonts w:cs="Arial"/>
                <w:sz w:val="22"/>
              </w:rPr>
              <w:t xml:space="preserve"> (SPI)</w:t>
            </w:r>
            <w:r w:rsidRPr="00334406">
              <w:rPr>
                <w:rFonts w:cs="Arial"/>
                <w:sz w:val="22"/>
              </w:rPr>
              <w:t xml:space="preserve"> EÚ sa zameriava na meranie sociálneho pokroku pre každý región ako doplnok k tradičnému hodnoteniu hospodárskeho pokroku. SPI pomáha pochopiť vzťah medzi hospodárskou výkonnosťou a sociálnym pokrokom v regióne. Identifikáciou najnaliehavejších oblastí pomáha pri určovaní priorít, ktoré vedú k zlepšeniu komunikácie medzi vládou, podnikmi a spoločnosťou pre podporu spolupráce. Cieľom hodnotenia indexu SPI v rámci prostredia BSK bude hodnotenie spoločenského pokroku ako schopnosti spoločnosti spĺňať základné ľudské potreby svojich občanov v rámci kraja. SPI v rámci BSK bude hodnotený prostredníctvom vybraných sociálnych a environmentálnych ukazovateľov, ktoré zachytia tri rozmery sociálneho pokroku (základné ľudské potreby, blahobyt a príležitosť), ktoré sú ďalej rozdelené do podskupín- komponentov.</w:t>
            </w:r>
          </w:p>
          <w:p w:rsidR="00C679B8" w:rsidRPr="00334406" w:rsidRDefault="00C679B8" w:rsidP="001C3A58">
            <w:pPr>
              <w:pStyle w:val="Bezriadkovania"/>
              <w:rPr>
                <w:rFonts w:cs="Arial"/>
                <w:sz w:val="22"/>
              </w:rPr>
            </w:pPr>
          </w:p>
        </w:tc>
        <w:tc>
          <w:tcPr>
            <w:tcW w:w="848" w:type="pct"/>
            <w:shd w:val="clear" w:color="auto" w:fill="DBE5F1" w:themeFill="accent1" w:themeFillTint="33"/>
          </w:tcPr>
          <w:p w:rsidR="00C679B8" w:rsidRPr="00334406" w:rsidRDefault="00C679B8" w:rsidP="001C3A58">
            <w:pPr>
              <w:pStyle w:val="Bezriadkovania"/>
              <w:jc w:val="left"/>
              <w:rPr>
                <w:rFonts w:cs="Arial"/>
                <w:sz w:val="22"/>
              </w:rPr>
            </w:pPr>
          </w:p>
        </w:tc>
      </w:tr>
      <w:tr w:rsidR="00C679B8" w:rsidRPr="00334406" w:rsidTr="001C3A58">
        <w:tc>
          <w:tcPr>
            <w:tcW w:w="794" w:type="pct"/>
            <w:shd w:val="clear" w:color="auto" w:fill="DBE5F1" w:themeFill="accent1" w:themeFillTint="33"/>
            <w:vAlign w:val="center"/>
          </w:tcPr>
          <w:p w:rsidR="00C679B8" w:rsidRPr="00334406" w:rsidRDefault="00C679B8" w:rsidP="001C3A58">
            <w:pPr>
              <w:pStyle w:val="Bezriadkovania"/>
              <w:jc w:val="left"/>
              <w:rPr>
                <w:rFonts w:cs="Arial"/>
                <w:sz w:val="22"/>
              </w:rPr>
            </w:pPr>
            <w:r w:rsidRPr="00334406">
              <w:rPr>
                <w:sz w:val="22"/>
              </w:rPr>
              <w:t>PHSR_O17.2</w:t>
            </w:r>
          </w:p>
        </w:tc>
        <w:tc>
          <w:tcPr>
            <w:tcW w:w="3358" w:type="pct"/>
            <w:shd w:val="clear" w:color="auto" w:fill="DBE5F1" w:themeFill="accent1" w:themeFillTint="33"/>
          </w:tcPr>
          <w:p w:rsidR="00C679B8" w:rsidRPr="00334406" w:rsidRDefault="00C679B8" w:rsidP="001C3A58">
            <w:pPr>
              <w:pStyle w:val="Bezriadkovania"/>
              <w:jc w:val="left"/>
              <w:rPr>
                <w:rFonts w:cs="Arial"/>
                <w:b/>
                <w:sz w:val="22"/>
              </w:rPr>
            </w:pPr>
            <w:r w:rsidRPr="00334406">
              <w:rPr>
                <w:rFonts w:cs="Arial"/>
                <w:b/>
                <w:sz w:val="22"/>
              </w:rPr>
              <w:t>Hodnotenie prostredníctvom Regionálneho indexu konkurencieschopnosti (RIK)</w:t>
            </w:r>
          </w:p>
        </w:tc>
        <w:tc>
          <w:tcPr>
            <w:tcW w:w="848" w:type="pct"/>
            <w:shd w:val="clear" w:color="auto" w:fill="DBE5F1" w:themeFill="accent1" w:themeFillTint="33"/>
            <w:vAlign w:val="center"/>
          </w:tcPr>
          <w:p w:rsidR="00C679B8" w:rsidRPr="00334406" w:rsidRDefault="00C679B8" w:rsidP="001C3A58">
            <w:pPr>
              <w:pStyle w:val="Bezriadkovania"/>
              <w:jc w:val="center"/>
              <w:rPr>
                <w:rFonts w:cs="Arial"/>
                <w:b/>
                <w:sz w:val="22"/>
              </w:rPr>
            </w:pPr>
            <w:r w:rsidRPr="00334406">
              <w:rPr>
                <w:rFonts w:cs="Arial"/>
                <w:b/>
                <w:sz w:val="22"/>
              </w:rPr>
              <w:t>2017/2018</w:t>
            </w:r>
          </w:p>
        </w:tc>
      </w:tr>
      <w:tr w:rsidR="00C679B8" w:rsidRPr="00334406" w:rsidTr="001C3A58">
        <w:tc>
          <w:tcPr>
            <w:tcW w:w="4152" w:type="pct"/>
            <w:gridSpan w:val="2"/>
            <w:shd w:val="clear" w:color="auto" w:fill="DBE5F1" w:themeFill="accent1" w:themeFillTint="33"/>
          </w:tcPr>
          <w:p w:rsidR="00C679B8" w:rsidRPr="00334406" w:rsidRDefault="00C679B8" w:rsidP="00AB0E47">
            <w:pPr>
              <w:pStyle w:val="Bezriadkovania"/>
              <w:rPr>
                <w:rFonts w:cs="Arial"/>
                <w:sz w:val="22"/>
              </w:rPr>
            </w:pPr>
            <w:r w:rsidRPr="00334406">
              <w:rPr>
                <w:rFonts w:cs="Arial"/>
                <w:b/>
                <w:sz w:val="22"/>
              </w:rPr>
              <w:t xml:space="preserve">Popis: </w:t>
            </w:r>
            <w:r w:rsidRPr="00334406">
              <w:rPr>
                <w:rFonts w:cs="Arial"/>
                <w:sz w:val="22"/>
              </w:rPr>
              <w:t xml:space="preserve">Regionálny index konkurencieschopnosti meria, porovnáva a skúma konkurencieschopnosť regiónov EÚ, pričom tá závisí od schopnosti regiónu predvídať a úspešne sa prispôsobiť vnútorným a vonkajším hospodárskym a sociálnym výzvam, a to poskytnutím nových ekonomických príležitostí vrátane kvalitnejších pracovných miest. Cieľom spracovania hodnotenia BSK prostredníctvom RIK je detailnejšia analýza a porovnanie s jednotlivými regiónmi v rámci EÚ, pričom tento nástroj pomáha regiónu identifikovať silné aj slabé stránky a investičné priority pri príprave stratégií rozvoja. RIK bude v rámci BSK hodnotený prostredníctvom 11 pilierov, ktoré opisujú rôzne aspekty konkurencieschopnosti a sú rozdelené do troch skupín (základná, efektívna a inovačná), ktoré sú ďalej rozdelené do podskupín- pilierov. </w:t>
            </w:r>
          </w:p>
        </w:tc>
        <w:tc>
          <w:tcPr>
            <w:tcW w:w="848" w:type="pct"/>
            <w:shd w:val="clear" w:color="auto" w:fill="DBE5F1" w:themeFill="accent1" w:themeFillTint="33"/>
          </w:tcPr>
          <w:p w:rsidR="00C679B8" w:rsidRPr="00334406" w:rsidRDefault="00C679B8" w:rsidP="001C3A58">
            <w:pPr>
              <w:pStyle w:val="Bezriadkovania"/>
              <w:rPr>
                <w:rFonts w:cs="Arial"/>
                <w:sz w:val="22"/>
              </w:rPr>
            </w:pPr>
          </w:p>
        </w:tc>
      </w:tr>
    </w:tbl>
    <w:p w:rsidR="00C679B8" w:rsidRPr="00334406" w:rsidRDefault="00C679B8" w:rsidP="00AB1F4E">
      <w:pPr>
        <w:pStyle w:val="Bezriadkovania"/>
        <w:rPr>
          <w:b/>
          <w:sz w:val="22"/>
        </w:rPr>
      </w:pPr>
    </w:p>
    <w:p w:rsidR="00AB1F4E" w:rsidRPr="00334406" w:rsidRDefault="00AB1F4E" w:rsidP="00AB1F4E">
      <w:pPr>
        <w:pStyle w:val="Bezriadkovania"/>
        <w:rPr>
          <w:b/>
          <w:sz w:val="22"/>
        </w:rPr>
      </w:pPr>
      <w:r w:rsidRPr="00334406">
        <w:rPr>
          <w:b/>
          <w:sz w:val="22"/>
        </w:rPr>
        <w:t>Záver</w:t>
      </w:r>
    </w:p>
    <w:p w:rsidR="00AB1F4E" w:rsidRPr="00334406" w:rsidRDefault="00AB1F4E" w:rsidP="00AB1F4E">
      <w:pPr>
        <w:pStyle w:val="Bezriadkovania"/>
        <w:rPr>
          <w:b/>
          <w:sz w:val="22"/>
        </w:rPr>
      </w:pPr>
    </w:p>
    <w:p w:rsidR="00AB1F4E" w:rsidRPr="00334406" w:rsidRDefault="00AB1F4E" w:rsidP="00D6395E">
      <w:pPr>
        <w:pStyle w:val="Bezriadkovania"/>
        <w:rPr>
          <w:sz w:val="22"/>
        </w:rPr>
      </w:pPr>
      <w:r w:rsidRPr="00334406">
        <w:rPr>
          <w:sz w:val="22"/>
        </w:rPr>
        <w:t>Správa z hodnotenia PHSR BSK 2014-2020 za rok 201</w:t>
      </w:r>
      <w:r w:rsidR="00AB0E47" w:rsidRPr="00334406">
        <w:rPr>
          <w:sz w:val="22"/>
        </w:rPr>
        <w:t>6</w:t>
      </w:r>
      <w:r w:rsidRPr="00334406">
        <w:rPr>
          <w:sz w:val="22"/>
        </w:rPr>
        <w:t xml:space="preserve"> predstavuje širokospektrálny monitorovací nástroj, ktorý analyzoval trendy vplývajúce na</w:t>
      </w:r>
      <w:r w:rsidR="00AB0E47" w:rsidRPr="00334406">
        <w:rPr>
          <w:sz w:val="22"/>
        </w:rPr>
        <w:t> </w:t>
      </w:r>
      <w:r w:rsidRPr="00334406">
        <w:rPr>
          <w:sz w:val="22"/>
        </w:rPr>
        <w:t>napĺňanie cieľov PHSR BSK 2014-2020,</w:t>
      </w:r>
      <w:r w:rsidR="00AB0E47" w:rsidRPr="00334406">
        <w:rPr>
          <w:sz w:val="22"/>
        </w:rPr>
        <w:t xml:space="preserve"> </w:t>
      </w:r>
      <w:r w:rsidRPr="00334406">
        <w:rPr>
          <w:sz w:val="22"/>
        </w:rPr>
        <w:t>vývoj sledo</w:t>
      </w:r>
      <w:r w:rsidR="00AB0E47" w:rsidRPr="00334406">
        <w:rPr>
          <w:sz w:val="22"/>
        </w:rPr>
        <w:t>vaných merateľných ukazovateľov</w:t>
      </w:r>
      <w:r w:rsidRPr="00334406">
        <w:rPr>
          <w:sz w:val="22"/>
        </w:rPr>
        <w:t xml:space="preserve"> a zostavil opatrenia, ktoré vplývajú na napĺňanie cieľov PHSR BSK 2014-2020, predstavil stav projektov definovaných Akčným plánom BSK a definoval spätnú väzbu pre samotný program PHSR BSK 2014-2020. </w:t>
      </w:r>
    </w:p>
    <w:p w:rsidR="00AB1F4E" w:rsidRPr="00334406" w:rsidRDefault="00AB1F4E" w:rsidP="00D6395E">
      <w:pPr>
        <w:pStyle w:val="Bezriadkovania"/>
        <w:rPr>
          <w:sz w:val="22"/>
        </w:rPr>
      </w:pPr>
    </w:p>
    <w:p w:rsidR="00AB1F4E" w:rsidRPr="00334406" w:rsidRDefault="00AB1F4E" w:rsidP="00D6395E">
      <w:pPr>
        <w:pStyle w:val="Bezriadkovania"/>
        <w:rPr>
          <w:sz w:val="22"/>
        </w:rPr>
      </w:pPr>
      <w:r w:rsidRPr="00334406">
        <w:rPr>
          <w:sz w:val="22"/>
        </w:rPr>
        <w:t>Vzhľadom na to, že systém monitorovania a hodnotenia je dôležitým prvkom v procese implementácie dokumentu naviazaného na finančné zdroje určené na</w:t>
      </w:r>
      <w:r w:rsidR="00AB0E47" w:rsidRPr="00334406">
        <w:rPr>
          <w:sz w:val="22"/>
        </w:rPr>
        <w:t> </w:t>
      </w:r>
      <w:r w:rsidRPr="00334406">
        <w:rPr>
          <w:sz w:val="22"/>
        </w:rPr>
        <w:t>rozvoj, aj ďalšie Správy z hodnotenia PHSR BSK 2014-2020 budú v prvom rade upozorňovať</w:t>
      </w:r>
      <w:r w:rsidR="00AB0E47" w:rsidRPr="00334406">
        <w:rPr>
          <w:sz w:val="22"/>
        </w:rPr>
        <w:t xml:space="preserve"> </w:t>
      </w:r>
      <w:r w:rsidRPr="00334406">
        <w:rPr>
          <w:sz w:val="22"/>
        </w:rPr>
        <w:t>na</w:t>
      </w:r>
      <w:r w:rsidR="00AB0E47" w:rsidRPr="00334406">
        <w:rPr>
          <w:sz w:val="22"/>
        </w:rPr>
        <w:t> </w:t>
      </w:r>
      <w:r w:rsidRPr="00334406">
        <w:rPr>
          <w:sz w:val="22"/>
        </w:rPr>
        <w:t>nedostatočné plnenie a zavádzať opatrenia za účelom dosiahnutia pokroku plnenia.</w:t>
      </w:r>
    </w:p>
    <w:p w:rsidR="00AB1F4E" w:rsidRPr="00334406" w:rsidRDefault="00AB1F4E" w:rsidP="00D6395E">
      <w:pPr>
        <w:jc w:val="both"/>
        <w:rPr>
          <w:rFonts w:ascii="Arial" w:hAnsi="Arial" w:cs="Arial"/>
          <w:b/>
          <w:sz w:val="22"/>
          <w:szCs w:val="22"/>
        </w:rPr>
      </w:pPr>
    </w:p>
    <w:p w:rsidR="00DB4A16" w:rsidRPr="00334406" w:rsidRDefault="00AB1F4E" w:rsidP="00D6395E">
      <w:pPr>
        <w:jc w:val="both"/>
        <w:rPr>
          <w:sz w:val="22"/>
          <w:szCs w:val="22"/>
        </w:rPr>
      </w:pPr>
      <w:r w:rsidRPr="00334406">
        <w:rPr>
          <w:rFonts w:ascii="Arial" w:hAnsi="Arial" w:cs="Arial"/>
          <w:b/>
          <w:sz w:val="22"/>
          <w:szCs w:val="22"/>
        </w:rPr>
        <w:t>Príloha č. 1:</w:t>
      </w:r>
      <w:r w:rsidR="00AB0E47" w:rsidRPr="00334406">
        <w:rPr>
          <w:rFonts w:ascii="Arial" w:hAnsi="Arial" w:cs="Arial"/>
          <w:b/>
          <w:sz w:val="22"/>
          <w:szCs w:val="22"/>
        </w:rPr>
        <w:t xml:space="preserve"> </w:t>
      </w:r>
      <w:r w:rsidRPr="00334406">
        <w:rPr>
          <w:rFonts w:ascii="Arial" w:hAnsi="Arial" w:cs="Arial"/>
          <w:sz w:val="22"/>
          <w:szCs w:val="22"/>
        </w:rPr>
        <w:t>Správa z hodnotenia PHSR BSK 2014-2020 za rok 201</w:t>
      </w:r>
      <w:r w:rsidR="00AB0E47" w:rsidRPr="00334406">
        <w:rPr>
          <w:rFonts w:ascii="Arial" w:hAnsi="Arial" w:cs="Arial"/>
          <w:sz w:val="22"/>
          <w:szCs w:val="22"/>
        </w:rPr>
        <w:t>6</w:t>
      </w:r>
      <w:r w:rsidRPr="00334406">
        <w:rPr>
          <w:rFonts w:ascii="Arial" w:hAnsi="Arial" w:cs="Arial"/>
          <w:sz w:val="22"/>
          <w:szCs w:val="22"/>
        </w:rPr>
        <w:t xml:space="preserve">- </w:t>
      </w:r>
      <w:r w:rsidRPr="00334406">
        <w:rPr>
          <w:rFonts w:ascii="Arial" w:hAnsi="Arial" w:cs="Arial"/>
          <w:b/>
          <w:sz w:val="22"/>
          <w:szCs w:val="22"/>
        </w:rPr>
        <w:t>CD</w:t>
      </w:r>
    </w:p>
    <w:sectPr w:rsidR="00DB4A16" w:rsidRPr="00334406" w:rsidSect="00E979BC">
      <w:footerReference w:type="default" r:id="rId21"/>
      <w:pgSz w:w="11906" w:h="16838"/>
      <w:pgMar w:top="1417" w:right="1417" w:bottom="993" w:left="1417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23E" w:rsidRDefault="00FC323E">
      <w:r>
        <w:separator/>
      </w:r>
    </w:p>
  </w:endnote>
  <w:endnote w:type="continuationSeparator" w:id="0">
    <w:p w:rsidR="00FC323E" w:rsidRDefault="00FC3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9BC" w:rsidRDefault="00E979BC">
    <w:pPr>
      <w:pStyle w:val="Pta"/>
      <w:jc w:val="right"/>
    </w:pPr>
  </w:p>
  <w:p w:rsidR="00AB1F4E" w:rsidRDefault="00AB1F4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9029396"/>
      <w:docPartObj>
        <w:docPartGallery w:val="Page Numbers (Bottom of Page)"/>
        <w:docPartUnique/>
      </w:docPartObj>
    </w:sdtPr>
    <w:sdtEndPr/>
    <w:sdtContent>
      <w:p w:rsidR="00E979BC" w:rsidRDefault="00E979B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054">
          <w:rPr>
            <w:noProof/>
          </w:rPr>
          <w:t>3</w:t>
        </w:r>
        <w:r>
          <w:fldChar w:fldCharType="end"/>
        </w:r>
      </w:p>
    </w:sdtContent>
  </w:sdt>
  <w:p w:rsidR="00E979BC" w:rsidRDefault="00E979B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23E" w:rsidRDefault="00FC323E">
      <w:r>
        <w:separator/>
      </w:r>
    </w:p>
  </w:footnote>
  <w:footnote w:type="continuationSeparator" w:id="0">
    <w:p w:rsidR="00FC323E" w:rsidRDefault="00FC32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2741A"/>
    <w:multiLevelType w:val="hybridMultilevel"/>
    <w:tmpl w:val="A7AE573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B372E"/>
    <w:multiLevelType w:val="hybridMultilevel"/>
    <w:tmpl w:val="42C032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C1390"/>
    <w:multiLevelType w:val="hybridMultilevel"/>
    <w:tmpl w:val="527E32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034D3"/>
    <w:multiLevelType w:val="hybridMultilevel"/>
    <w:tmpl w:val="A2DA23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32CFF"/>
    <w:multiLevelType w:val="hybridMultilevel"/>
    <w:tmpl w:val="0B3EA3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612A4"/>
    <w:multiLevelType w:val="hybridMultilevel"/>
    <w:tmpl w:val="024C94D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431498"/>
    <w:multiLevelType w:val="hybridMultilevel"/>
    <w:tmpl w:val="9B104250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9BA37E5"/>
    <w:multiLevelType w:val="multilevel"/>
    <w:tmpl w:val="27A2E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B3513A"/>
    <w:multiLevelType w:val="hybridMultilevel"/>
    <w:tmpl w:val="C250E7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1C7B"/>
    <w:rsid w:val="00001E13"/>
    <w:rsid w:val="00033F6C"/>
    <w:rsid w:val="00061190"/>
    <w:rsid w:val="000704FA"/>
    <w:rsid w:val="00080CBE"/>
    <w:rsid w:val="000952DF"/>
    <w:rsid w:val="00096F10"/>
    <w:rsid w:val="00097B4A"/>
    <w:rsid w:val="000A17C6"/>
    <w:rsid w:val="000A24FC"/>
    <w:rsid w:val="000D0885"/>
    <w:rsid w:val="00100C52"/>
    <w:rsid w:val="00106712"/>
    <w:rsid w:val="001139C7"/>
    <w:rsid w:val="00115DDE"/>
    <w:rsid w:val="00122829"/>
    <w:rsid w:val="00154862"/>
    <w:rsid w:val="00184968"/>
    <w:rsid w:val="00192DE1"/>
    <w:rsid w:val="001A1DB1"/>
    <w:rsid w:val="002108FF"/>
    <w:rsid w:val="00243D06"/>
    <w:rsid w:val="002556DA"/>
    <w:rsid w:val="00271C7B"/>
    <w:rsid w:val="00276F27"/>
    <w:rsid w:val="002C2E00"/>
    <w:rsid w:val="002D0210"/>
    <w:rsid w:val="002D55FA"/>
    <w:rsid w:val="002F1EEF"/>
    <w:rsid w:val="002F2C6C"/>
    <w:rsid w:val="00334406"/>
    <w:rsid w:val="0035661F"/>
    <w:rsid w:val="003A2672"/>
    <w:rsid w:val="003A713D"/>
    <w:rsid w:val="003F727F"/>
    <w:rsid w:val="004047EE"/>
    <w:rsid w:val="00434A0E"/>
    <w:rsid w:val="00444EE6"/>
    <w:rsid w:val="00454756"/>
    <w:rsid w:val="0047130F"/>
    <w:rsid w:val="004A1ED7"/>
    <w:rsid w:val="004B7D33"/>
    <w:rsid w:val="004C49A8"/>
    <w:rsid w:val="004F47D5"/>
    <w:rsid w:val="00500127"/>
    <w:rsid w:val="005665F8"/>
    <w:rsid w:val="005760D5"/>
    <w:rsid w:val="005C442E"/>
    <w:rsid w:val="005F3E55"/>
    <w:rsid w:val="006030FD"/>
    <w:rsid w:val="0061185B"/>
    <w:rsid w:val="006435EB"/>
    <w:rsid w:val="00655373"/>
    <w:rsid w:val="00661650"/>
    <w:rsid w:val="00663BC5"/>
    <w:rsid w:val="0069524D"/>
    <w:rsid w:val="006B0D6D"/>
    <w:rsid w:val="006B30CF"/>
    <w:rsid w:val="006D51E9"/>
    <w:rsid w:val="006F24A6"/>
    <w:rsid w:val="007419A2"/>
    <w:rsid w:val="0076023C"/>
    <w:rsid w:val="007A35C4"/>
    <w:rsid w:val="007E17B4"/>
    <w:rsid w:val="0081355C"/>
    <w:rsid w:val="00866417"/>
    <w:rsid w:val="00876BEC"/>
    <w:rsid w:val="00886138"/>
    <w:rsid w:val="008B0D97"/>
    <w:rsid w:val="008C3DEF"/>
    <w:rsid w:val="00903EFB"/>
    <w:rsid w:val="00914DA5"/>
    <w:rsid w:val="009179A5"/>
    <w:rsid w:val="009827A9"/>
    <w:rsid w:val="00983E46"/>
    <w:rsid w:val="00990DB0"/>
    <w:rsid w:val="00996F33"/>
    <w:rsid w:val="009B14AD"/>
    <w:rsid w:val="009B39E4"/>
    <w:rsid w:val="009C3848"/>
    <w:rsid w:val="009D59B7"/>
    <w:rsid w:val="00A70076"/>
    <w:rsid w:val="00AA6B29"/>
    <w:rsid w:val="00AB0E47"/>
    <w:rsid w:val="00AB1CE3"/>
    <w:rsid w:val="00AB1F4E"/>
    <w:rsid w:val="00AB6054"/>
    <w:rsid w:val="00AF1CDA"/>
    <w:rsid w:val="00AF2FC5"/>
    <w:rsid w:val="00B145AD"/>
    <w:rsid w:val="00B35965"/>
    <w:rsid w:val="00B629CF"/>
    <w:rsid w:val="00B66706"/>
    <w:rsid w:val="00B7520A"/>
    <w:rsid w:val="00BA1257"/>
    <w:rsid w:val="00BC1EA2"/>
    <w:rsid w:val="00BC4379"/>
    <w:rsid w:val="00BF1926"/>
    <w:rsid w:val="00C24664"/>
    <w:rsid w:val="00C62C63"/>
    <w:rsid w:val="00C679B8"/>
    <w:rsid w:val="00C86A5F"/>
    <w:rsid w:val="00C96A0D"/>
    <w:rsid w:val="00CC0CCE"/>
    <w:rsid w:val="00CD771A"/>
    <w:rsid w:val="00D07D36"/>
    <w:rsid w:val="00D16181"/>
    <w:rsid w:val="00D20941"/>
    <w:rsid w:val="00D25189"/>
    <w:rsid w:val="00D40410"/>
    <w:rsid w:val="00D44039"/>
    <w:rsid w:val="00D44D7E"/>
    <w:rsid w:val="00D6395E"/>
    <w:rsid w:val="00D85196"/>
    <w:rsid w:val="00DA42DE"/>
    <w:rsid w:val="00DB13DE"/>
    <w:rsid w:val="00DB4A16"/>
    <w:rsid w:val="00DC1A8A"/>
    <w:rsid w:val="00DE4705"/>
    <w:rsid w:val="00E62F9D"/>
    <w:rsid w:val="00E73C94"/>
    <w:rsid w:val="00E979BC"/>
    <w:rsid w:val="00EA3CFA"/>
    <w:rsid w:val="00EA528F"/>
    <w:rsid w:val="00EB43D3"/>
    <w:rsid w:val="00ED41A6"/>
    <w:rsid w:val="00ED42F8"/>
    <w:rsid w:val="00F067A9"/>
    <w:rsid w:val="00F34217"/>
    <w:rsid w:val="00F43DCB"/>
    <w:rsid w:val="00F448A2"/>
    <w:rsid w:val="00F562E5"/>
    <w:rsid w:val="00F736F7"/>
    <w:rsid w:val="00FC323E"/>
    <w:rsid w:val="00FD0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714EC9"/>
  <w15:docId w15:val="{6E3A9DC2-07D5-458C-B9DD-2B37403FD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7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271C7B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271C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1C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2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2DF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2D5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ednstnovn21">
    <w:name w:val="Střední stínování 21"/>
    <w:basedOn w:val="Normlnatabuka"/>
    <w:uiPriority w:val="64"/>
    <w:rsid w:val="002D55F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2zvraznenie1">
    <w:name w:val="Medium List 2 Accent 1"/>
    <w:basedOn w:val="Normlnatabuka"/>
    <w:uiPriority w:val="66"/>
    <w:rsid w:val="002D55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914D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4DA5"/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Stednseznam21">
    <w:name w:val="Střední seznam 21"/>
    <w:basedOn w:val="Normlnatabuka"/>
    <w:uiPriority w:val="66"/>
    <w:rsid w:val="004713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D1618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1618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161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1618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1618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Normlnywebov">
    <w:name w:val="Normal (Web)"/>
    <w:basedOn w:val="Normlny"/>
    <w:semiHidden/>
    <w:unhideWhenUsed/>
    <w:rsid w:val="00B35965"/>
    <w:pPr>
      <w:spacing w:before="100" w:beforeAutospacing="1" w:after="100" w:afterAutospacing="1"/>
    </w:pPr>
  </w:style>
  <w:style w:type="paragraph" w:styleId="Bezriadkovania">
    <w:name w:val="No Spacing"/>
    <w:uiPriority w:val="1"/>
    <w:qFormat/>
    <w:rsid w:val="00AB1F4E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2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diagramDrawing" Target="diagrams/drawing1.xml"/><Relationship Id="rId18" Type="http://schemas.openxmlformats.org/officeDocument/2006/relationships/chart" Target="charts/chart4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20" Type="http://schemas.openxmlformats.org/officeDocument/2006/relationships/chart" Target="charts/chart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openxmlformats.org/officeDocument/2006/relationships/theme" Target="theme/theme1.xml"/><Relationship Id="rId10" Type="http://schemas.openxmlformats.org/officeDocument/2006/relationships/diagramLayout" Target="diagrams/layout1.xml"/><Relationship Id="rId19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chart" Target="charts/chart1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_rok_programu_Microsoft_Excel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H_rok_programu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_rok_programu_Microsoft_Excel2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H_rok_programu_Microsoft_Excel3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H_rok_programu_Microsoft_Excel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docserver\SHARE\Odbor%20strat&#233;gie%20a%20riadenia%20projektov\Oddelenie%20strat&#233;gie%20a%20&#250;zemn&#233;ho%20rozvoja\2013+\BSK%20PROJEKTY\Linda%20M\Zo&#353;it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1030936668374948"/>
          <c:y val="0.16769549170053499"/>
          <c:w val="0.33261063556646647"/>
          <c:h val="0.72877103417693179"/>
        </c:manualLayout>
      </c:layout>
      <c:radarChart>
        <c:radarStyle val="marker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2014</c:v>
                </c:pt>
              </c:strCache>
            </c:strRef>
          </c:tx>
          <c:spPr>
            <a:ln w="15875" cap="rnd">
              <a:solidFill>
                <a:schemeClr val="accent1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Hárok1!$A$2:$A$8</c:f>
              <c:strCache>
                <c:ptCount val="7"/>
                <c:pt idx="0">
                  <c:v>Podiel výdavkov na vedu a výskum </c:v>
                </c:pt>
                <c:pt idx="1">
                  <c:v>Celkové výdavky na vedu a výskum</c:v>
                </c:pt>
                <c:pt idx="2">
                  <c:v>High-tech export</c:v>
                </c:pt>
                <c:pt idx="3">
                  <c:v>Počet výskumných pracovníkov</c:v>
                </c:pt>
                <c:pt idx="4">
                  <c:v>Miera vysokoškolsky vzdelanej p. (30-34)</c:v>
                </c:pt>
                <c:pt idx="5">
                  <c:v>Index deklarovanej rozvinutosti e-služieb</c:v>
                </c:pt>
                <c:pt idx="6">
                  <c:v>Podiel domácností pripojených k širok. Int.</c:v>
                </c:pt>
              </c:strCache>
            </c:strRef>
          </c:cat>
          <c:val>
            <c:numRef>
              <c:f>Hárok1!$B$2:$B$8</c:f>
              <c:numCache>
                <c:formatCode>General</c:formatCode>
                <c:ptCount val="7"/>
                <c:pt idx="0">
                  <c:v>8.5</c:v>
                </c:pt>
                <c:pt idx="1">
                  <c:v>3.1</c:v>
                </c:pt>
                <c:pt idx="2">
                  <c:v>9.7000000000000011</c:v>
                </c:pt>
                <c:pt idx="3">
                  <c:v>8.8690000000000104</c:v>
                </c:pt>
                <c:pt idx="4">
                  <c:v>4.18</c:v>
                </c:pt>
                <c:pt idx="5">
                  <c:v>5.0999999999999996</c:v>
                </c:pt>
                <c:pt idx="6">
                  <c:v>7.6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6BF-4075-941E-E1BA2E15517E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2020</c:v>
                </c:pt>
              </c:strCache>
            </c:strRef>
          </c:tx>
          <c:spPr>
            <a:ln w="15875" cap="rnd">
              <a:solidFill>
                <a:schemeClr val="accent2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Hárok1!$A$2:$A$8</c:f>
              <c:strCache>
                <c:ptCount val="7"/>
                <c:pt idx="0">
                  <c:v>Podiel výdavkov na vedu a výskum </c:v>
                </c:pt>
                <c:pt idx="1">
                  <c:v>Celkové výdavky na vedu a výskum</c:v>
                </c:pt>
                <c:pt idx="2">
                  <c:v>High-tech export</c:v>
                </c:pt>
                <c:pt idx="3">
                  <c:v>Počet výskumných pracovníkov</c:v>
                </c:pt>
                <c:pt idx="4">
                  <c:v>Miera vysokoškolsky vzdelanej p. (30-34)</c:v>
                </c:pt>
                <c:pt idx="5">
                  <c:v>Index deklarovanej rozvinutosti e-služieb</c:v>
                </c:pt>
                <c:pt idx="6">
                  <c:v>Podiel domácností pripojených k širok. Int.</c:v>
                </c:pt>
              </c:strCache>
            </c:strRef>
          </c:cat>
          <c:val>
            <c:numRef>
              <c:f>Hárok1!$C$2:$C$8</c:f>
              <c:numCache>
                <c:formatCode>General</c:formatCode>
                <c:ptCount val="7"/>
                <c:pt idx="0">
                  <c:v>10</c:v>
                </c:pt>
                <c:pt idx="1">
                  <c:v>8.1</c:v>
                </c:pt>
                <c:pt idx="2">
                  <c:v>14</c:v>
                </c:pt>
                <c:pt idx="3">
                  <c:v>15</c:v>
                </c:pt>
                <c:pt idx="4">
                  <c:v>4.5</c:v>
                </c:pt>
                <c:pt idx="5">
                  <c:v>9</c:v>
                </c:pt>
                <c:pt idx="6">
                  <c:v>6.5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6BF-4075-941E-E1BA2E15517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8808192"/>
        <c:axId val="78809728"/>
      </c:radarChart>
      <c:catAx>
        <c:axId val="78808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78809728"/>
        <c:crosses val="autoZero"/>
        <c:auto val="1"/>
        <c:lblAlgn val="ctr"/>
        <c:lblOffset val="100"/>
        <c:noMultiLvlLbl val="0"/>
      </c:catAx>
      <c:valAx>
        <c:axId val="78809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788081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2877334400996533"/>
          <c:y val="0.13394497043231227"/>
          <c:w val="0.35005115885937993"/>
          <c:h val="0.71348520403167004"/>
        </c:manualLayout>
      </c:layout>
      <c:radarChart>
        <c:radarStyle val="marker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2014</c:v>
                </c:pt>
              </c:strCache>
            </c:strRef>
          </c:tx>
          <c:spPr>
            <a:ln w="15875" cap="rnd">
              <a:solidFill>
                <a:schemeClr val="accent1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Hárok1!$A$2:$A$8</c:f>
              <c:strCache>
                <c:ptCount val="7"/>
                <c:pt idx="0">
                  <c:v>Priemerná hrubá nominálna mesačná mzda</c:v>
                </c:pt>
                <c:pt idx="1">
                  <c:v>Prirodzený prírastok obyvateľstva </c:v>
                </c:pt>
                <c:pt idx="2">
                  <c:v>Saldo sťahovania </c:v>
                </c:pt>
                <c:pt idx="3">
                  <c:v>Celkový prírastok</c:v>
                </c:pt>
                <c:pt idx="4">
                  <c:v>Počet návštevníkov na výstavách</c:v>
                </c:pt>
                <c:pt idx="5">
                  <c:v>Počet ľudí ohrozených chudobou</c:v>
                </c:pt>
                <c:pt idx="6">
                  <c:v>Miera korupcie</c:v>
                </c:pt>
              </c:strCache>
            </c:strRef>
          </c:cat>
          <c:val>
            <c:numRef>
              <c:f>Hárok1!$B$2:$B$8</c:f>
              <c:numCache>
                <c:formatCode>General</c:formatCode>
                <c:ptCount val="7"/>
                <c:pt idx="0">
                  <c:v>10.98</c:v>
                </c:pt>
                <c:pt idx="1">
                  <c:v>3.2600000000000002</c:v>
                </c:pt>
                <c:pt idx="2">
                  <c:v>7.6499999999999977</c:v>
                </c:pt>
                <c:pt idx="3">
                  <c:v>10.92</c:v>
                </c:pt>
                <c:pt idx="4">
                  <c:v>7.2454400000000003</c:v>
                </c:pt>
                <c:pt idx="5">
                  <c:v>16.5</c:v>
                </c:pt>
                <c:pt idx="6">
                  <c:v>4.68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6EF-4456-82B0-A36B7D636CD4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2020</c:v>
                </c:pt>
              </c:strCache>
            </c:strRef>
          </c:tx>
          <c:spPr>
            <a:ln w="15875" cap="rnd">
              <a:solidFill>
                <a:schemeClr val="accent2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Hárok1!$A$2:$A$8</c:f>
              <c:strCache>
                <c:ptCount val="7"/>
                <c:pt idx="0">
                  <c:v>Priemerná hrubá nominálna mesačná mzda</c:v>
                </c:pt>
                <c:pt idx="1">
                  <c:v>Prirodzený prírastok obyvateľstva </c:v>
                </c:pt>
                <c:pt idx="2">
                  <c:v>Saldo sťahovania </c:v>
                </c:pt>
                <c:pt idx="3">
                  <c:v>Celkový prírastok</c:v>
                </c:pt>
                <c:pt idx="4">
                  <c:v>Počet návštevníkov na výstavách</c:v>
                </c:pt>
                <c:pt idx="5">
                  <c:v>Počet ľudí ohrozených chudobou</c:v>
                </c:pt>
                <c:pt idx="6">
                  <c:v>Miera korupcie</c:v>
                </c:pt>
              </c:strCache>
            </c:strRef>
          </c:cat>
          <c:val>
            <c:numRef>
              <c:f>Hárok1!$C$2:$C$8</c:f>
              <c:numCache>
                <c:formatCode>General</c:formatCode>
                <c:ptCount val="7"/>
                <c:pt idx="0">
                  <c:v>14</c:v>
                </c:pt>
                <c:pt idx="1">
                  <c:v>4</c:v>
                </c:pt>
                <c:pt idx="2">
                  <c:v>8</c:v>
                </c:pt>
                <c:pt idx="3">
                  <c:v>12</c:v>
                </c:pt>
                <c:pt idx="4">
                  <c:v>8</c:v>
                </c:pt>
                <c:pt idx="5">
                  <c:v>10</c:v>
                </c:pt>
                <c:pt idx="6">
                  <c:v>7.6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6EF-4456-82B0-A36B7D636C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8719232"/>
        <c:axId val="78737408"/>
      </c:radarChart>
      <c:catAx>
        <c:axId val="787192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78737408"/>
        <c:crosses val="autoZero"/>
        <c:auto val="1"/>
        <c:lblAlgn val="ctr"/>
        <c:lblOffset val="100"/>
        <c:noMultiLvlLbl val="0"/>
      </c:catAx>
      <c:valAx>
        <c:axId val="787374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787192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4941203360432033"/>
          <c:y val="0.13277498195001897"/>
          <c:w val="0.35662700085847898"/>
          <c:h val="0.73993372580675121"/>
        </c:manualLayout>
      </c:layout>
      <c:radarChart>
        <c:radarStyle val="marker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2014</c:v>
                </c:pt>
              </c:strCache>
            </c:strRef>
          </c:tx>
          <c:spPr>
            <a:ln w="15875" cap="rnd">
              <a:solidFill>
                <a:schemeClr val="accent1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Hárok1!$A$2:$A$5</c:f>
              <c:strCache>
                <c:ptCount val="4"/>
                <c:pt idx="0">
                  <c:v>Miera zamestnanosti 20-64</c:v>
                </c:pt>
                <c:pt idx="1">
                  <c:v>Miera nezamestnanosti</c:v>
                </c:pt>
                <c:pt idx="2">
                  <c:v>Miera dlhodobej nezamestnanosti</c:v>
                </c:pt>
                <c:pt idx="3">
                  <c:v>Miera rizika chudoby</c:v>
                </c:pt>
              </c:strCache>
            </c:strRef>
          </c:cat>
          <c:val>
            <c:numRef>
              <c:f>Hárok1!$B$2:$B$5</c:f>
              <c:numCache>
                <c:formatCode>General</c:formatCode>
                <c:ptCount val="4"/>
                <c:pt idx="0">
                  <c:v>7.09</c:v>
                </c:pt>
                <c:pt idx="1">
                  <c:v>6</c:v>
                </c:pt>
                <c:pt idx="2">
                  <c:v>7.4</c:v>
                </c:pt>
                <c:pt idx="3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762-49D4-8075-DB4C54B8B2F2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2020</c:v>
                </c:pt>
              </c:strCache>
            </c:strRef>
          </c:tx>
          <c:spPr>
            <a:ln w="15875" cap="rnd">
              <a:solidFill>
                <a:schemeClr val="accent2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Hárok1!$A$2:$A$5</c:f>
              <c:strCache>
                <c:ptCount val="4"/>
                <c:pt idx="0">
                  <c:v>Miera zamestnanosti 20-64</c:v>
                </c:pt>
                <c:pt idx="1">
                  <c:v>Miera nezamestnanosti</c:v>
                </c:pt>
                <c:pt idx="2">
                  <c:v>Miera dlhodobej nezamestnanosti</c:v>
                </c:pt>
                <c:pt idx="3">
                  <c:v>Miera rizika chudoby</c:v>
                </c:pt>
              </c:strCache>
            </c:strRef>
          </c:cat>
          <c:val>
            <c:numRef>
              <c:f>Hárok1!$C$2:$C$5</c:f>
              <c:numCache>
                <c:formatCode>General</c:formatCode>
                <c:ptCount val="4"/>
                <c:pt idx="0">
                  <c:v>7.8</c:v>
                </c:pt>
                <c:pt idx="1">
                  <c:v>4</c:v>
                </c:pt>
                <c:pt idx="2">
                  <c:v>1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762-49D4-8075-DB4C54B8B2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9077376"/>
        <c:axId val="79078912"/>
      </c:radarChart>
      <c:catAx>
        <c:axId val="790773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79078912"/>
        <c:crosses val="autoZero"/>
        <c:auto val="1"/>
        <c:lblAlgn val="ctr"/>
        <c:lblOffset val="100"/>
        <c:noMultiLvlLbl val="0"/>
      </c:catAx>
      <c:valAx>
        <c:axId val="79078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790773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4941197717258055"/>
          <c:y val="0.112311853523291"/>
          <c:w val="0.32590843877143333"/>
          <c:h val="0.74197274924088863"/>
        </c:manualLayout>
      </c:layout>
      <c:radarChart>
        <c:radarStyle val="marker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2014</c:v>
                </c:pt>
              </c:strCache>
            </c:strRef>
          </c:tx>
          <c:spPr>
            <a:ln w="15875" cap="rnd">
              <a:solidFill>
                <a:schemeClr val="accent1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Hárok1!$A$2:$A$5</c:f>
              <c:strCache>
                <c:ptCount val="4"/>
                <c:pt idx="0">
                  <c:v>PZI na obyvateľa</c:v>
                </c:pt>
                <c:pt idx="1">
                  <c:v>HDP na obyvateľa</c:v>
                </c:pt>
                <c:pt idx="2">
                  <c:v>Podiel poľnohospodárskej pôdy</c:v>
                </c:pt>
                <c:pt idx="3">
                  <c:v>Počet podnikateľských subjektov</c:v>
                </c:pt>
              </c:strCache>
            </c:strRef>
          </c:cat>
          <c:val>
            <c:numRef>
              <c:f>Hárok1!$B$2:$B$5</c:f>
              <c:numCache>
                <c:formatCode>General</c:formatCode>
                <c:ptCount val="4"/>
                <c:pt idx="0">
                  <c:v>4.3199999999999976</c:v>
                </c:pt>
                <c:pt idx="1">
                  <c:v>4.8947999999999965</c:v>
                </c:pt>
                <c:pt idx="2">
                  <c:v>4.4400000000000004</c:v>
                </c:pt>
                <c:pt idx="3">
                  <c:v>13.66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032-47A0-A562-AF258D770D19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2020</c:v>
                </c:pt>
              </c:strCache>
            </c:strRef>
          </c:tx>
          <c:spPr>
            <a:ln w="15875" cap="rnd">
              <a:solidFill>
                <a:schemeClr val="accent2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Hárok1!$A$2:$A$5</c:f>
              <c:strCache>
                <c:ptCount val="4"/>
                <c:pt idx="0">
                  <c:v>PZI na obyvateľa</c:v>
                </c:pt>
                <c:pt idx="1">
                  <c:v>HDP na obyvateľa</c:v>
                </c:pt>
                <c:pt idx="2">
                  <c:v>Podiel poľnohospodárskej pôdy</c:v>
                </c:pt>
                <c:pt idx="3">
                  <c:v>Počet podnikateľských subjektov</c:v>
                </c:pt>
              </c:strCache>
            </c:strRef>
          </c:cat>
          <c:val>
            <c:numRef>
              <c:f>Hárok1!$C$2:$C$5</c:f>
              <c:numCache>
                <c:formatCode>General</c:formatCode>
                <c:ptCount val="4"/>
                <c:pt idx="0">
                  <c:v>4.8</c:v>
                </c:pt>
                <c:pt idx="1">
                  <c:v>4.5</c:v>
                </c:pt>
                <c:pt idx="2">
                  <c:v>4.3</c:v>
                </c:pt>
                <c:pt idx="3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032-47A0-A562-AF258D770D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9099008"/>
        <c:axId val="79100544"/>
      </c:radarChart>
      <c:catAx>
        <c:axId val="79099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79100544"/>
        <c:crosses val="autoZero"/>
        <c:auto val="1"/>
        <c:lblAlgn val="ctr"/>
        <c:lblOffset val="100"/>
        <c:noMultiLvlLbl val="0"/>
      </c:catAx>
      <c:valAx>
        <c:axId val="79100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790990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2747322225207054"/>
          <c:y val="0.17931650044252423"/>
          <c:w val="0.32686515727203547"/>
          <c:h val="0.61841362162077462"/>
        </c:manualLayout>
      </c:layout>
      <c:radarChart>
        <c:radarStyle val="marker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2014</c:v>
                </c:pt>
              </c:strCache>
            </c:strRef>
          </c:tx>
          <c:spPr>
            <a:ln w="15875" cap="rnd">
              <a:solidFill>
                <a:schemeClr val="accent1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Hárok1!$A$2:$A$7</c:f>
              <c:strCache>
                <c:ptCount val="6"/>
                <c:pt idx="0">
                  <c:v>Množstvo komunálneho odpadu</c:v>
                </c:pt>
                <c:pt idx="1">
                  <c:v>Podiel vydaných energ. Certifikátov (C-G)</c:v>
                </c:pt>
                <c:pt idx="2">
                  <c:v>Podiel OZE na konečnej spotrebe</c:v>
                </c:pt>
                <c:pt idx="3">
                  <c:v>Produkcia tuhých emisií</c:v>
                </c:pt>
                <c:pt idx="4">
                  <c:v>Produkcia oxidu uhoľnatého</c:v>
                </c:pt>
                <c:pt idx="5">
                  <c:v>Podiel zhodnocovaného komunálneho odpadu</c:v>
                </c:pt>
              </c:strCache>
            </c:strRef>
          </c:cat>
          <c:val>
            <c:numRef>
              <c:f>Hárok1!$B$2:$B$7</c:f>
              <c:numCache>
                <c:formatCode>General</c:formatCode>
                <c:ptCount val="6"/>
                <c:pt idx="0">
                  <c:v>4.46</c:v>
                </c:pt>
                <c:pt idx="1">
                  <c:v>12.97</c:v>
                </c:pt>
                <c:pt idx="2">
                  <c:v>11.6</c:v>
                </c:pt>
                <c:pt idx="3">
                  <c:v>7.3199999999999976</c:v>
                </c:pt>
                <c:pt idx="4">
                  <c:v>2.8509999999999978</c:v>
                </c:pt>
                <c:pt idx="5">
                  <c:v>6.68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D94-4061-B266-B2D23EECA3FB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2020</c:v>
                </c:pt>
              </c:strCache>
            </c:strRef>
          </c:tx>
          <c:spPr>
            <a:ln w="15875" cap="rnd">
              <a:solidFill>
                <a:schemeClr val="accent2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Hárok1!$A$2:$A$7</c:f>
              <c:strCache>
                <c:ptCount val="6"/>
                <c:pt idx="0">
                  <c:v>Množstvo komunálneho odpadu</c:v>
                </c:pt>
                <c:pt idx="1">
                  <c:v>Podiel vydaných energ. Certifikátov (C-G)</c:v>
                </c:pt>
                <c:pt idx="2">
                  <c:v>Podiel OZE na konečnej spotrebe</c:v>
                </c:pt>
                <c:pt idx="3">
                  <c:v>Produkcia tuhých emisií</c:v>
                </c:pt>
                <c:pt idx="4">
                  <c:v>Produkcia oxidu uhoľnatého</c:v>
                </c:pt>
                <c:pt idx="5">
                  <c:v>Podiel zhodnocovaného komunálneho odpadu</c:v>
                </c:pt>
              </c:strCache>
            </c:strRef>
          </c:cat>
          <c:val>
            <c:numRef>
              <c:f>Hárok1!$C$2:$C$7</c:f>
              <c:numCache>
                <c:formatCode>General</c:formatCode>
                <c:ptCount val="6"/>
                <c:pt idx="0">
                  <c:v>4</c:v>
                </c:pt>
                <c:pt idx="1">
                  <c:v>13</c:v>
                </c:pt>
                <c:pt idx="2">
                  <c:v>14</c:v>
                </c:pt>
                <c:pt idx="3">
                  <c:v>7</c:v>
                </c:pt>
                <c:pt idx="4">
                  <c:v>3</c:v>
                </c:pt>
                <c:pt idx="5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D94-4061-B266-B2D23EECA3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9186560"/>
        <c:axId val="79188352"/>
      </c:radarChart>
      <c:catAx>
        <c:axId val="79186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79188352"/>
        <c:crosses val="autoZero"/>
        <c:auto val="1"/>
        <c:lblAlgn val="ctr"/>
        <c:lblOffset val="100"/>
        <c:noMultiLvlLbl val="0"/>
      </c:catAx>
      <c:valAx>
        <c:axId val="791883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791865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2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Hárok1!$B$2:$B$12</c:f>
              <c:strCache>
                <c:ptCount val="11"/>
                <c:pt idx="0">
                  <c:v>Opatrenie 1</c:v>
                </c:pt>
                <c:pt idx="1">
                  <c:v>Opatrenie 2</c:v>
                </c:pt>
                <c:pt idx="2">
                  <c:v>Opatrenie 3</c:v>
                </c:pt>
                <c:pt idx="3">
                  <c:v>Opatrenie 4</c:v>
                </c:pt>
                <c:pt idx="4">
                  <c:v>Opatrenie 5</c:v>
                </c:pt>
                <c:pt idx="5">
                  <c:v>Opatrenie 6</c:v>
                </c:pt>
                <c:pt idx="6">
                  <c:v>Opatrenie 7</c:v>
                </c:pt>
                <c:pt idx="7">
                  <c:v>Opatrenie 8</c:v>
                </c:pt>
                <c:pt idx="8">
                  <c:v>Opatrenie 9</c:v>
                </c:pt>
                <c:pt idx="9">
                  <c:v>Opatrenie 10</c:v>
                </c:pt>
                <c:pt idx="10">
                  <c:v>Opatrenie 11</c:v>
                </c:pt>
              </c:strCache>
            </c:strRef>
          </c:cat>
          <c:val>
            <c:numRef>
              <c:f>Hárok1!$C$2:$C$12</c:f>
              <c:numCache>
                <c:formatCode>General</c:formatCode>
                <c:ptCount val="1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30</c:v>
                </c:pt>
                <c:pt idx="6">
                  <c:v>13</c:v>
                </c:pt>
                <c:pt idx="7">
                  <c:v>2</c:v>
                </c:pt>
                <c:pt idx="8">
                  <c:v>14</c:v>
                </c:pt>
                <c:pt idx="9">
                  <c:v>14</c:v>
                </c:pt>
                <c:pt idx="10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4A0-4F91-9F32-4B63A95ED7A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3"/>
        <c:axId val="79222272"/>
        <c:axId val="79224192"/>
      </c:barChart>
      <c:catAx>
        <c:axId val="7922227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sk-SK"/>
                  <a:t>Opatrenie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79224192"/>
        <c:crosses val="autoZero"/>
        <c:auto val="1"/>
        <c:lblAlgn val="ctr"/>
        <c:lblOffset val="100"/>
        <c:noMultiLvlLbl val="0"/>
      </c:catAx>
      <c:valAx>
        <c:axId val="792241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Počet projektov</a:t>
                </a:r>
              </a:p>
            </c:rich>
          </c:tx>
          <c:layout>
            <c:manualLayout>
              <c:xMode val="edge"/>
              <c:yMode val="edge"/>
              <c:x val="0.43633422376377068"/>
              <c:y val="0.88834977023220951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792222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6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AEAE0E-CBFB-4B4F-A4BD-1961A7D570A3}" type="doc">
      <dgm:prSet loTypeId="urn:microsoft.com/office/officeart/2005/8/layout/vList5" loCatId="list" qsTypeId="urn:microsoft.com/office/officeart/2005/8/quickstyle/simple2" qsCatId="simple" csTypeId="urn:microsoft.com/office/officeart/2005/8/colors/colorful1#6" csCatId="colorful" phldr="1"/>
      <dgm:spPr/>
      <dgm:t>
        <a:bodyPr/>
        <a:lstStyle/>
        <a:p>
          <a:endParaRPr lang="sk-SK"/>
        </a:p>
      </dgm:t>
    </dgm:pt>
    <dgm:pt modelId="{CE33401E-44FD-4325-AC5E-C9C944CE461E}">
      <dgm:prSet phldrT="[Text]" custT="1">
        <dgm:style>
          <a:lnRef idx="3">
            <a:schemeClr val="lt1"/>
          </a:lnRef>
          <a:fillRef idx="1">
            <a:schemeClr val="accent4"/>
          </a:fillRef>
          <a:effectRef idx="1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sk-SK" sz="1000" b="1" dirty="0" smtClean="0"/>
            <a:t>PO 1: Veda, výskum a inovácie</a:t>
          </a:r>
          <a:endParaRPr lang="sk-SK" sz="1000" b="1" dirty="0"/>
        </a:p>
      </dgm:t>
    </dgm:pt>
    <dgm:pt modelId="{607F807C-711C-401C-9184-B71868E517E7}" type="parTrans" cxnId="{1CA30BDF-7D44-457A-8271-0E7CAAB1ABE1}">
      <dgm:prSet/>
      <dgm:spPr/>
      <dgm:t>
        <a:bodyPr/>
        <a:lstStyle/>
        <a:p>
          <a:endParaRPr lang="sk-SK"/>
        </a:p>
      </dgm:t>
    </dgm:pt>
    <dgm:pt modelId="{DA895FB7-C437-4AAF-96CD-EA5650FEE2E6}" type="sibTrans" cxnId="{1CA30BDF-7D44-457A-8271-0E7CAAB1ABE1}">
      <dgm:prSet/>
      <dgm:spPr/>
      <dgm:t>
        <a:bodyPr/>
        <a:lstStyle/>
        <a:p>
          <a:endParaRPr lang="sk-SK"/>
        </a:p>
      </dgm:t>
    </dgm:pt>
    <dgm:pt modelId="{CED00458-C073-4163-8B6F-1E90674B2BD4}">
      <dgm:prSet phldrT="[Text]" custT="1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1. Posilnenie výskumu, technologického rozvoja a inovácií</a:t>
          </a:r>
          <a:endParaRPr lang="sk-SK" sz="900" b="0" dirty="0"/>
        </a:p>
      </dgm:t>
    </dgm:pt>
    <dgm:pt modelId="{38659E9F-B508-413F-B529-7DB329468070}" type="parTrans" cxnId="{0985B717-1493-4981-A07C-563B1224045A}">
      <dgm:prSet/>
      <dgm:spPr/>
      <dgm:t>
        <a:bodyPr/>
        <a:lstStyle/>
        <a:p>
          <a:endParaRPr lang="sk-SK"/>
        </a:p>
      </dgm:t>
    </dgm:pt>
    <dgm:pt modelId="{A1227949-FB17-4661-BE0D-3526A96FC5FA}" type="sibTrans" cxnId="{0985B717-1493-4981-A07C-563B1224045A}">
      <dgm:prSet/>
      <dgm:spPr/>
      <dgm:t>
        <a:bodyPr/>
        <a:lstStyle/>
        <a:p>
          <a:endParaRPr lang="sk-SK"/>
        </a:p>
      </dgm:t>
    </dgm:pt>
    <dgm:pt modelId="{592F1C7B-3DEA-45D8-BFAC-74C1DCFD1D94}">
      <dgm:prSet phldrT="[Text]" custT="1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2. Zlepšenie prístupu k informačno-komunikačným technológiám, ako aj využívanie ich kvality</a:t>
          </a:r>
          <a:endParaRPr lang="sk-SK" sz="900" b="0" dirty="0"/>
        </a:p>
      </dgm:t>
    </dgm:pt>
    <dgm:pt modelId="{3379BDE5-7FA6-45DE-BAE3-027838F2A9B9}" type="parTrans" cxnId="{0E1A3F93-6346-4109-B93B-A7320D9D8A6C}">
      <dgm:prSet/>
      <dgm:spPr/>
      <dgm:t>
        <a:bodyPr/>
        <a:lstStyle/>
        <a:p>
          <a:endParaRPr lang="sk-SK"/>
        </a:p>
      </dgm:t>
    </dgm:pt>
    <dgm:pt modelId="{3DA7B67C-886B-4B5D-B787-DD7D73995FC9}" type="sibTrans" cxnId="{0E1A3F93-6346-4109-B93B-A7320D9D8A6C}">
      <dgm:prSet/>
      <dgm:spPr/>
      <dgm:t>
        <a:bodyPr/>
        <a:lstStyle/>
        <a:p>
          <a:endParaRPr lang="sk-SK"/>
        </a:p>
      </dgm:t>
    </dgm:pt>
    <dgm:pt modelId="{C9EB87B6-7392-40C7-A1B6-DF36B7346E97}">
      <dgm:prSet phldrT="[Text]" custT="1">
        <dgm:style>
          <a:lnRef idx="3">
            <a:schemeClr val="lt1"/>
          </a:lnRef>
          <a:fillRef idx="1">
            <a:schemeClr val="accent2"/>
          </a:fillRef>
          <a:effectRef idx="1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sk-SK" sz="1000" b="1" dirty="0" smtClean="0"/>
            <a:t>PO 2: Ľudské zdroje</a:t>
          </a:r>
          <a:endParaRPr lang="sk-SK" sz="1000" b="1" dirty="0"/>
        </a:p>
      </dgm:t>
    </dgm:pt>
    <dgm:pt modelId="{D5AEB993-E69B-403B-8EA9-E6FF44C4B847}" type="parTrans" cxnId="{154F978C-34C8-4447-AEC9-14D8B342CA74}">
      <dgm:prSet/>
      <dgm:spPr/>
      <dgm:t>
        <a:bodyPr/>
        <a:lstStyle/>
        <a:p>
          <a:endParaRPr lang="sk-SK"/>
        </a:p>
      </dgm:t>
    </dgm:pt>
    <dgm:pt modelId="{16886F88-BF08-4113-A954-DC6FEF0F421E}" type="sibTrans" cxnId="{154F978C-34C8-4447-AEC9-14D8B342CA74}">
      <dgm:prSet/>
      <dgm:spPr/>
      <dgm:t>
        <a:bodyPr/>
        <a:lstStyle/>
        <a:p>
          <a:endParaRPr lang="sk-SK"/>
        </a:p>
      </dgm:t>
    </dgm:pt>
    <dgm:pt modelId="{B387CDD6-3F8E-4ACC-A800-0E6BDC3D941E}">
      <dgm:prSet phldrT="[Text]" custT="1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10. Investovanie do vzdelávania, zručností a celoživotného vzdelávania</a:t>
          </a:r>
          <a:endParaRPr lang="sk-SK" sz="900" b="0" dirty="0"/>
        </a:p>
      </dgm:t>
    </dgm:pt>
    <dgm:pt modelId="{3E6BD5DA-05BF-4B62-AF1C-6C40B4B39FD4}" type="parTrans" cxnId="{93F4E618-8DCE-4BCE-9546-6ED5772DED38}">
      <dgm:prSet/>
      <dgm:spPr/>
      <dgm:t>
        <a:bodyPr/>
        <a:lstStyle/>
        <a:p>
          <a:endParaRPr lang="sk-SK"/>
        </a:p>
      </dgm:t>
    </dgm:pt>
    <dgm:pt modelId="{B78A9FF0-D784-49D2-8BCC-F12F1CF96FEA}" type="sibTrans" cxnId="{93F4E618-8DCE-4BCE-9546-6ED5772DED38}">
      <dgm:prSet/>
      <dgm:spPr/>
      <dgm:t>
        <a:bodyPr/>
        <a:lstStyle/>
        <a:p>
          <a:endParaRPr lang="sk-SK"/>
        </a:p>
      </dgm:t>
    </dgm:pt>
    <dgm:pt modelId="{CE99A8C5-AA2E-427E-BC65-82104FDE624B}">
      <dgm:prSet phldrT="[Text]" custT="1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11. Zvyšovanie inštitucionálnych kapacít a zabezpečovanie efektivity verejnej správy,</a:t>
          </a:r>
          <a:endParaRPr lang="sk-SK" sz="900" b="0" dirty="0"/>
        </a:p>
      </dgm:t>
    </dgm:pt>
    <dgm:pt modelId="{7551975F-10AC-422D-BDB9-D5508A37C06D}" type="parTrans" cxnId="{3A99FB73-38F5-45E7-B5FE-65BB7254A9BA}">
      <dgm:prSet/>
      <dgm:spPr/>
      <dgm:t>
        <a:bodyPr/>
        <a:lstStyle/>
        <a:p>
          <a:endParaRPr lang="sk-SK"/>
        </a:p>
      </dgm:t>
    </dgm:pt>
    <dgm:pt modelId="{7AF5B791-73B6-4A59-8393-DC5C5D26D819}" type="sibTrans" cxnId="{3A99FB73-38F5-45E7-B5FE-65BB7254A9BA}">
      <dgm:prSet/>
      <dgm:spPr/>
      <dgm:t>
        <a:bodyPr/>
        <a:lstStyle/>
        <a:p>
          <a:endParaRPr lang="sk-SK"/>
        </a:p>
      </dgm:t>
    </dgm:pt>
    <dgm:pt modelId="{EA5D8E57-7B7F-4EE9-BACA-92CB8F4184E2}">
      <dgm:prSet phldrT="[Text]" custT="1">
        <dgm:style>
          <a:lnRef idx="3">
            <a:schemeClr val="lt1"/>
          </a:lnRef>
          <a:fillRef idx="1">
            <a:schemeClr val="accent1"/>
          </a:fillRef>
          <a:effectRef idx="1">
            <a:schemeClr val="accent1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sk-SK" sz="1000" b="1" dirty="0" smtClean="0"/>
            <a:t>PO 3: Zamestnanosť </a:t>
          </a:r>
          <a:endParaRPr lang="sk-SK" sz="1000" b="1" dirty="0"/>
        </a:p>
      </dgm:t>
    </dgm:pt>
    <dgm:pt modelId="{6C67068D-DC24-4B9B-85DD-D974AF73FBEE}" type="parTrans" cxnId="{57C33E02-E068-49DC-B4E3-6605B8B8A62D}">
      <dgm:prSet/>
      <dgm:spPr/>
      <dgm:t>
        <a:bodyPr/>
        <a:lstStyle/>
        <a:p>
          <a:endParaRPr lang="sk-SK"/>
        </a:p>
      </dgm:t>
    </dgm:pt>
    <dgm:pt modelId="{4411F26D-9ECE-4F65-B727-A191BA00085A}" type="sibTrans" cxnId="{57C33E02-E068-49DC-B4E3-6605B8B8A62D}">
      <dgm:prSet/>
      <dgm:spPr/>
      <dgm:t>
        <a:bodyPr/>
        <a:lstStyle/>
        <a:p>
          <a:endParaRPr lang="sk-SK"/>
        </a:p>
      </dgm:t>
    </dgm:pt>
    <dgm:pt modelId="{715067ED-8E94-4C54-A155-910E3E3CC042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1. Posilnenie výskumu, technologického rozvoja a inovácií</a:t>
          </a:r>
          <a:endParaRPr lang="sk-SK" sz="900" b="0" dirty="0"/>
        </a:p>
      </dgm:t>
    </dgm:pt>
    <dgm:pt modelId="{DDEE45A0-CFAF-4A97-B50E-A8C20F53E577}" type="parTrans" cxnId="{45A286CF-3494-4202-B401-037FDC40BFB6}">
      <dgm:prSet/>
      <dgm:spPr/>
      <dgm:t>
        <a:bodyPr/>
        <a:lstStyle/>
        <a:p>
          <a:endParaRPr lang="sk-SK"/>
        </a:p>
      </dgm:t>
    </dgm:pt>
    <dgm:pt modelId="{8376BEB2-B47A-42D2-91D7-1C05B5F7DD7E}" type="sibTrans" cxnId="{45A286CF-3494-4202-B401-037FDC40BFB6}">
      <dgm:prSet/>
      <dgm:spPr/>
      <dgm:t>
        <a:bodyPr/>
        <a:lstStyle/>
        <a:p>
          <a:endParaRPr lang="sk-SK"/>
        </a:p>
      </dgm:t>
    </dgm:pt>
    <dgm:pt modelId="{941E7087-85B8-4D87-A954-37B21187FE92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8. Podpora zamestnanosti a podporovanie mobility pracovnej sily</a:t>
          </a:r>
          <a:endParaRPr lang="sk-SK" sz="900" b="0" dirty="0"/>
        </a:p>
      </dgm:t>
    </dgm:pt>
    <dgm:pt modelId="{4BD07C3D-0521-4DEA-BD3A-53F377F60DB0}" type="parTrans" cxnId="{DFEBB138-D47A-48E9-8797-5DF355F90210}">
      <dgm:prSet/>
      <dgm:spPr/>
      <dgm:t>
        <a:bodyPr/>
        <a:lstStyle/>
        <a:p>
          <a:endParaRPr lang="sk-SK"/>
        </a:p>
      </dgm:t>
    </dgm:pt>
    <dgm:pt modelId="{B24D06FA-1E32-4774-BFD0-4D1C65D78C3D}" type="sibTrans" cxnId="{DFEBB138-D47A-48E9-8797-5DF355F90210}">
      <dgm:prSet/>
      <dgm:spPr/>
      <dgm:t>
        <a:bodyPr/>
        <a:lstStyle/>
        <a:p>
          <a:endParaRPr lang="sk-SK"/>
        </a:p>
      </dgm:t>
    </dgm:pt>
    <dgm:pt modelId="{CA6213B4-9E17-4C17-A315-F560C3668EA0}">
      <dgm:prSet phldrT="[Text]" custT="1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9. Podpora sociálneho začleňovania a boj proti chudobe</a:t>
          </a:r>
          <a:endParaRPr lang="sk-SK" sz="900" b="0" dirty="0"/>
        </a:p>
      </dgm:t>
    </dgm:pt>
    <dgm:pt modelId="{68C3CB51-5D38-4E0C-BD4E-BF603A821C78}" type="parTrans" cxnId="{9B6049BF-6B8D-4A07-81A6-3318D9944290}">
      <dgm:prSet/>
      <dgm:spPr/>
      <dgm:t>
        <a:bodyPr/>
        <a:lstStyle/>
        <a:p>
          <a:endParaRPr lang="sk-SK"/>
        </a:p>
      </dgm:t>
    </dgm:pt>
    <dgm:pt modelId="{7F3BC83B-8A12-48DD-B341-51BF24D6EEA7}" type="sibTrans" cxnId="{9B6049BF-6B8D-4A07-81A6-3318D9944290}">
      <dgm:prSet/>
      <dgm:spPr/>
      <dgm:t>
        <a:bodyPr/>
        <a:lstStyle/>
        <a:p>
          <a:endParaRPr lang="sk-SK"/>
        </a:p>
      </dgm:t>
    </dgm:pt>
    <dgm:pt modelId="{95CC72FA-AC6A-4F42-B09B-4C0493AB9728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11. Zvyšovanie inštitucionálnych kapacít a zabezpečovanie efektivity verejnej správy</a:t>
          </a:r>
          <a:endParaRPr lang="sk-SK" sz="900" b="0" dirty="0"/>
        </a:p>
      </dgm:t>
    </dgm:pt>
    <dgm:pt modelId="{8561C348-971D-47FB-866A-257A65DA668C}" type="parTrans" cxnId="{A4918B34-EF0B-4D9F-96AE-8E90F5217511}">
      <dgm:prSet/>
      <dgm:spPr/>
      <dgm:t>
        <a:bodyPr/>
        <a:lstStyle/>
        <a:p>
          <a:endParaRPr lang="sk-SK"/>
        </a:p>
      </dgm:t>
    </dgm:pt>
    <dgm:pt modelId="{ECCDF80F-8F4F-45B3-AEC3-B44916471374}" type="sibTrans" cxnId="{A4918B34-EF0B-4D9F-96AE-8E90F5217511}">
      <dgm:prSet/>
      <dgm:spPr/>
      <dgm:t>
        <a:bodyPr/>
        <a:lstStyle/>
        <a:p>
          <a:endParaRPr lang="sk-SK"/>
        </a:p>
      </dgm:t>
    </dgm:pt>
    <dgm:pt modelId="{FFFE0EB7-C797-4181-B22E-66A90B892B56}">
      <dgm:prSet custT="1">
        <dgm:style>
          <a:lnRef idx="3">
            <a:schemeClr val="lt1"/>
          </a:lnRef>
          <a:fillRef idx="1">
            <a:schemeClr val="accent3"/>
          </a:fillRef>
          <a:effectRef idx="1">
            <a:schemeClr val="accent3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sk-SK" sz="1000" b="1" dirty="0" smtClean="0"/>
            <a:t>PO 5: Životné prostredie, zmeny klímy a obnoviteľné zdroje energie</a:t>
          </a:r>
          <a:endParaRPr lang="sk-SK" sz="1000" b="1" dirty="0"/>
        </a:p>
      </dgm:t>
    </dgm:pt>
    <dgm:pt modelId="{2FEAC91E-4750-498D-BE75-45A214BD5691}" type="parTrans" cxnId="{8F862E42-0E25-42F6-B095-D59B74E361F4}">
      <dgm:prSet/>
      <dgm:spPr/>
      <dgm:t>
        <a:bodyPr/>
        <a:lstStyle/>
        <a:p>
          <a:endParaRPr lang="sk-SK"/>
        </a:p>
      </dgm:t>
    </dgm:pt>
    <dgm:pt modelId="{8196F56D-FC1A-4B7A-B405-B8B7667C595A}" type="sibTrans" cxnId="{8F862E42-0E25-42F6-B095-D59B74E361F4}">
      <dgm:prSet/>
      <dgm:spPr/>
      <dgm:t>
        <a:bodyPr/>
        <a:lstStyle/>
        <a:p>
          <a:endParaRPr lang="sk-SK"/>
        </a:p>
      </dgm:t>
    </dgm:pt>
    <dgm:pt modelId="{C3C5B8C8-B5D3-4197-828B-7330FD77F940}">
      <dgm:prSet custT="1">
        <dgm:style>
          <a:lnRef idx="3">
            <a:schemeClr val="lt1"/>
          </a:lnRef>
          <a:fillRef idx="1">
            <a:schemeClr val="accent6"/>
          </a:fillRef>
          <a:effectRef idx="1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sk-SK" sz="1000" b="1" dirty="0" smtClean="0"/>
            <a:t>PO 4: Konkurencieschopnosť, rast a podnikateľské prostredie</a:t>
          </a:r>
          <a:endParaRPr lang="sk-SK" sz="1000" b="1" dirty="0"/>
        </a:p>
      </dgm:t>
    </dgm:pt>
    <dgm:pt modelId="{99CB240F-F57F-4B59-BB9B-5BE90B24FBED}" type="parTrans" cxnId="{189F8EFD-8B86-4A1B-BAE1-408AB6FA1CC3}">
      <dgm:prSet/>
      <dgm:spPr/>
      <dgm:t>
        <a:bodyPr/>
        <a:lstStyle/>
        <a:p>
          <a:endParaRPr lang="sk-SK"/>
        </a:p>
      </dgm:t>
    </dgm:pt>
    <dgm:pt modelId="{90C25EA7-2A00-4AD4-BCCE-BFAEA6AF23B0}" type="sibTrans" cxnId="{189F8EFD-8B86-4A1B-BAE1-408AB6FA1CC3}">
      <dgm:prSet/>
      <dgm:spPr/>
      <dgm:t>
        <a:bodyPr/>
        <a:lstStyle/>
        <a:p>
          <a:endParaRPr lang="sk-SK"/>
        </a:p>
      </dgm:t>
    </dgm:pt>
    <dgm:pt modelId="{72014D75-7797-4602-85C7-1A2EC6B2097D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3. Zvýšenie konkurencieschopnosti malých a stredných podnikov, odvetvia poľnohospodárstva a rybného hospodárstva</a:t>
          </a:r>
          <a:endParaRPr lang="sk-SK" sz="900" b="0" dirty="0"/>
        </a:p>
      </dgm:t>
    </dgm:pt>
    <dgm:pt modelId="{A2EC39C8-53E1-4FB2-A72B-050ED80DCE68}" type="parTrans" cxnId="{4CE10915-4900-4EC4-914F-9F1188DF3B53}">
      <dgm:prSet/>
      <dgm:spPr/>
      <dgm:t>
        <a:bodyPr/>
        <a:lstStyle/>
        <a:p>
          <a:endParaRPr lang="sk-SK"/>
        </a:p>
      </dgm:t>
    </dgm:pt>
    <dgm:pt modelId="{0973095F-6383-4F38-B45C-BDBA76ED41F0}" type="sibTrans" cxnId="{4CE10915-4900-4EC4-914F-9F1188DF3B53}">
      <dgm:prSet/>
      <dgm:spPr/>
      <dgm:t>
        <a:bodyPr/>
        <a:lstStyle/>
        <a:p>
          <a:endParaRPr lang="sk-SK"/>
        </a:p>
      </dgm:t>
    </dgm:pt>
    <dgm:pt modelId="{A6CB253F-5863-45BA-A5A5-D62D4C2D45E1}">
      <dgm:prSet custT="1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4. Podpora prechodu na </a:t>
          </a:r>
          <a:r>
            <a:rPr lang="sk-SK" sz="900" b="0" dirty="0" err="1" smtClean="0"/>
            <a:t>nízkouhlíkové</a:t>
          </a:r>
          <a:r>
            <a:rPr lang="sk-SK" sz="900" b="0" dirty="0" smtClean="0"/>
            <a:t> hospodárstvo vo všetkých sektoroch</a:t>
          </a:r>
          <a:endParaRPr lang="sk-SK" sz="900" b="0" dirty="0"/>
        </a:p>
      </dgm:t>
    </dgm:pt>
    <dgm:pt modelId="{6F150937-54DE-472D-904E-AC3A5D491E76}" type="parTrans" cxnId="{6DEF7756-B25E-4CA7-92E3-F72E4E5DCD68}">
      <dgm:prSet/>
      <dgm:spPr/>
      <dgm:t>
        <a:bodyPr/>
        <a:lstStyle/>
        <a:p>
          <a:endParaRPr lang="sk-SK"/>
        </a:p>
      </dgm:t>
    </dgm:pt>
    <dgm:pt modelId="{89F4B697-C26F-4A7E-9804-1838FA8A7E37}" type="sibTrans" cxnId="{6DEF7756-B25E-4CA7-92E3-F72E4E5DCD68}">
      <dgm:prSet/>
      <dgm:spPr/>
      <dgm:t>
        <a:bodyPr/>
        <a:lstStyle/>
        <a:p>
          <a:endParaRPr lang="sk-SK"/>
        </a:p>
      </dgm:t>
    </dgm:pt>
    <dgm:pt modelId="{001485CC-5A2D-46C0-9665-B5E1D31CF197}">
      <dgm:prSet custT="1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5. Podpora prispôsobenia sa zmenám klímy a predchádzania rizikám a ich riadenia</a:t>
          </a:r>
          <a:endParaRPr lang="sk-SK" sz="900" b="0" dirty="0"/>
        </a:p>
      </dgm:t>
    </dgm:pt>
    <dgm:pt modelId="{37B6D2A1-DC20-4A1B-96E5-334B027083CA}" type="parTrans" cxnId="{25299E02-068B-4409-8E9F-E9F67501B84F}">
      <dgm:prSet/>
      <dgm:spPr/>
      <dgm:t>
        <a:bodyPr/>
        <a:lstStyle/>
        <a:p>
          <a:endParaRPr lang="sk-SK"/>
        </a:p>
      </dgm:t>
    </dgm:pt>
    <dgm:pt modelId="{090E84F1-E964-413B-AD9B-EFF354E8808C}" type="sibTrans" cxnId="{25299E02-068B-4409-8E9F-E9F67501B84F}">
      <dgm:prSet/>
      <dgm:spPr/>
      <dgm:t>
        <a:bodyPr/>
        <a:lstStyle/>
        <a:p>
          <a:endParaRPr lang="sk-SK"/>
        </a:p>
      </dgm:t>
    </dgm:pt>
    <dgm:pt modelId="{E89A0F6C-8D50-4A33-A163-4881D5EFDFF1}">
      <dgm:prSet custT="1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6. Ochrana ŽP a presadzovanie udržateľného využívania zdrojov</a:t>
          </a:r>
          <a:endParaRPr lang="sk-SK" sz="900" b="0" dirty="0"/>
        </a:p>
      </dgm:t>
    </dgm:pt>
    <dgm:pt modelId="{CE65796F-2D48-438D-BC02-5FF17D2CE028}" type="parTrans" cxnId="{5A904995-A88B-4A60-AE2C-A8F71C76D192}">
      <dgm:prSet/>
      <dgm:spPr/>
      <dgm:t>
        <a:bodyPr/>
        <a:lstStyle/>
        <a:p>
          <a:endParaRPr lang="sk-SK"/>
        </a:p>
      </dgm:t>
    </dgm:pt>
    <dgm:pt modelId="{EED77AF0-6546-4921-AC6D-F68EEF7B2BAE}" type="sibTrans" cxnId="{5A904995-A88B-4A60-AE2C-A8F71C76D192}">
      <dgm:prSet/>
      <dgm:spPr/>
      <dgm:t>
        <a:bodyPr/>
        <a:lstStyle/>
        <a:p>
          <a:endParaRPr lang="sk-SK"/>
        </a:p>
      </dgm:t>
    </dgm:pt>
    <dgm:pt modelId="{9D2D5F32-6B73-407D-B707-F150F363962A}">
      <dgm:prSet custT="1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7. Podpora udržateľnej dopravy a odstraňovanie prekážok v kľúčových sieťových infraštruktúrach</a:t>
          </a:r>
          <a:endParaRPr lang="sk-SK" sz="900" b="0" dirty="0"/>
        </a:p>
      </dgm:t>
    </dgm:pt>
    <dgm:pt modelId="{EC419376-A208-482B-A79F-647B13E76604}" type="sibTrans" cxnId="{2683301D-378B-476A-A2B8-2B8909F5D414}">
      <dgm:prSet/>
      <dgm:spPr/>
      <dgm:t>
        <a:bodyPr/>
        <a:lstStyle/>
        <a:p>
          <a:endParaRPr lang="sk-SK"/>
        </a:p>
      </dgm:t>
    </dgm:pt>
    <dgm:pt modelId="{F63967D6-8DB2-4EF3-91EA-C7B7DF56F553}" type="parTrans" cxnId="{2683301D-378B-476A-A2B8-2B8909F5D414}">
      <dgm:prSet/>
      <dgm:spPr/>
      <dgm:t>
        <a:bodyPr/>
        <a:lstStyle/>
        <a:p>
          <a:endParaRPr lang="sk-SK"/>
        </a:p>
      </dgm:t>
    </dgm:pt>
    <dgm:pt modelId="{AC76CA7C-8E13-4A2D-8A32-E72F20E0A857}" type="pres">
      <dgm:prSet presAssocID="{16AEAE0E-CBFB-4B4F-A4BD-1961A7D570A3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64F2D3C8-CD25-4E1D-83B8-B450EBAE3AE0}" type="pres">
      <dgm:prSet presAssocID="{CE33401E-44FD-4325-AC5E-C9C944CE461E}" presName="linNode" presStyleCnt="0"/>
      <dgm:spPr/>
    </dgm:pt>
    <dgm:pt modelId="{4AB4BFBF-5FB4-4797-8AF5-975295914743}" type="pres">
      <dgm:prSet presAssocID="{CE33401E-44FD-4325-AC5E-C9C944CE461E}" presName="parentText" presStyleLbl="node1" presStyleIdx="0" presStyleCnt="5" custScaleX="87995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B9DE856F-6425-4C29-816E-E3C1F57472A7}" type="pres">
      <dgm:prSet presAssocID="{CE33401E-44FD-4325-AC5E-C9C944CE461E}" presName="descendantText" presStyleLbl="alignAccFollowNode1" presStyleIdx="0" presStyleCnt="5" custScaleX="140838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2C062CD3-9E0B-4F7C-A418-929D533A8ECF}" type="pres">
      <dgm:prSet presAssocID="{DA895FB7-C437-4AAF-96CD-EA5650FEE2E6}" presName="sp" presStyleCnt="0"/>
      <dgm:spPr/>
    </dgm:pt>
    <dgm:pt modelId="{CE2FB8CC-3915-4A4C-A81B-DDFA4E50575B}" type="pres">
      <dgm:prSet presAssocID="{C9EB87B6-7392-40C7-A1B6-DF36B7346E97}" presName="linNode" presStyleCnt="0"/>
      <dgm:spPr/>
    </dgm:pt>
    <dgm:pt modelId="{C997F499-3C46-453E-8039-0EFBE09DCE62}" type="pres">
      <dgm:prSet presAssocID="{C9EB87B6-7392-40C7-A1B6-DF36B7346E97}" presName="parentText" presStyleLbl="node1" presStyleIdx="1" presStyleCnt="5" custScaleX="82703" custLinFactNeighborX="-12" custLinFactNeighborY="32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1AFCB851-70E7-40AA-B422-042C59CEEAA6}" type="pres">
      <dgm:prSet presAssocID="{C9EB87B6-7392-40C7-A1B6-DF36B7346E97}" presName="descendantText" presStyleLbl="alignAccFollowNode1" presStyleIdx="1" presStyleCnt="5" custScaleX="135234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05E7CD4C-2664-4DE4-A3C6-B890F35634F7}" type="pres">
      <dgm:prSet presAssocID="{16886F88-BF08-4113-A954-DC6FEF0F421E}" presName="sp" presStyleCnt="0"/>
      <dgm:spPr/>
    </dgm:pt>
    <dgm:pt modelId="{B2274DE9-1D7F-49BB-9660-CADAE316EC2D}" type="pres">
      <dgm:prSet presAssocID="{EA5D8E57-7B7F-4EE9-BACA-92CB8F4184E2}" presName="linNode" presStyleCnt="0"/>
      <dgm:spPr/>
    </dgm:pt>
    <dgm:pt modelId="{B51E1390-1D74-4D3B-82B2-7D86FA300D32}" type="pres">
      <dgm:prSet presAssocID="{EA5D8E57-7B7F-4EE9-BACA-92CB8F4184E2}" presName="parentText" presStyleLbl="node1" presStyleIdx="2" presStyleCnt="5" custScaleX="83859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C2C66D52-62E9-4C68-8CD2-F24578FAB035}" type="pres">
      <dgm:prSet presAssocID="{EA5D8E57-7B7F-4EE9-BACA-92CB8F4184E2}" presName="descendantText" presStyleLbl="alignAccFollowNode1" presStyleIdx="2" presStyleCnt="5" custScaleX="137014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13005350-E7BD-49F2-8FD1-756E15CD2B1C}" type="pres">
      <dgm:prSet presAssocID="{4411F26D-9ECE-4F65-B727-A191BA00085A}" presName="sp" presStyleCnt="0"/>
      <dgm:spPr/>
    </dgm:pt>
    <dgm:pt modelId="{2496AC1F-0F6A-4DF6-A19C-E94CB8FDF020}" type="pres">
      <dgm:prSet presAssocID="{C3C5B8C8-B5D3-4197-828B-7330FD77F940}" presName="linNode" presStyleCnt="0"/>
      <dgm:spPr/>
    </dgm:pt>
    <dgm:pt modelId="{7D5F49E0-9618-4439-8449-C5B505D305E6}" type="pres">
      <dgm:prSet presAssocID="{C3C5B8C8-B5D3-4197-828B-7330FD77F940}" presName="parentText" presStyleLbl="node1" presStyleIdx="3" presStyleCnt="5" custScaleX="104644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67FDCBF2-BD84-45DE-B08A-7792BA27C8B5}" type="pres">
      <dgm:prSet presAssocID="{C3C5B8C8-B5D3-4197-828B-7330FD77F940}" presName="descendantText" presStyleLbl="alignAccFollowNode1" presStyleIdx="3" presStyleCnt="5" custScaleX="171169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F8D1EC25-F8A9-466E-B66C-7C1BEFA38B41}" type="pres">
      <dgm:prSet presAssocID="{90C25EA7-2A00-4AD4-BCCE-BFAEA6AF23B0}" presName="sp" presStyleCnt="0"/>
      <dgm:spPr/>
    </dgm:pt>
    <dgm:pt modelId="{EC9A32AC-ABE8-4411-B9D1-3AAD9759CD9F}" type="pres">
      <dgm:prSet presAssocID="{FFFE0EB7-C797-4181-B22E-66A90B892B56}" presName="linNode" presStyleCnt="0"/>
      <dgm:spPr/>
    </dgm:pt>
    <dgm:pt modelId="{3AF6ABCE-C716-4B9D-A04C-ACD89C0A89E1}" type="pres">
      <dgm:prSet presAssocID="{FFFE0EB7-C797-4181-B22E-66A90B892B56}" presName="parentText" presStyleLbl="node1" presStyleIdx="4" presStyleCnt="5" custScaleX="83722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9B30AFCD-0276-482F-A808-A54DE709CC20}" type="pres">
      <dgm:prSet presAssocID="{FFFE0EB7-C797-4181-B22E-66A90B892B56}" presName="descendantText" presStyleLbl="alignAccFollowNode1" presStyleIdx="4" presStyleCnt="5" custScaleX="133363" custScaleY="133081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</dgm:ptLst>
  <dgm:cxnLst>
    <dgm:cxn modelId="{A4918B34-EF0B-4D9F-96AE-8E90F5217511}" srcId="{EA5D8E57-7B7F-4EE9-BACA-92CB8F4184E2}" destId="{95CC72FA-AC6A-4F42-B09B-4C0493AB9728}" srcOrd="2" destOrd="0" parTransId="{8561C348-971D-47FB-866A-257A65DA668C}" sibTransId="{ECCDF80F-8F4F-45B3-AEC3-B44916471374}"/>
    <dgm:cxn modelId="{93F4E618-8DCE-4BCE-9546-6ED5772DED38}" srcId="{C9EB87B6-7392-40C7-A1B6-DF36B7346E97}" destId="{B387CDD6-3F8E-4ACC-A800-0E6BDC3D941E}" srcOrd="0" destOrd="0" parTransId="{3E6BD5DA-05BF-4B62-AF1C-6C40B4B39FD4}" sibTransId="{B78A9FF0-D784-49D2-8BCC-F12F1CF96FEA}"/>
    <dgm:cxn modelId="{0BE29AE6-07B3-4E3E-A2F0-E180E8CE1121}" type="presOf" srcId="{9D2D5F32-6B73-407D-B707-F150F363962A}" destId="{9B30AFCD-0276-482F-A808-A54DE709CC20}" srcOrd="0" destOrd="0" presId="urn:microsoft.com/office/officeart/2005/8/layout/vList5"/>
    <dgm:cxn modelId="{2683301D-378B-476A-A2B8-2B8909F5D414}" srcId="{FFFE0EB7-C797-4181-B22E-66A90B892B56}" destId="{9D2D5F32-6B73-407D-B707-F150F363962A}" srcOrd="0" destOrd="0" parTransId="{F63967D6-8DB2-4EF3-91EA-C7B7DF56F553}" sibTransId="{EC419376-A208-482B-A79F-647B13E76604}"/>
    <dgm:cxn modelId="{DFEBB138-D47A-48E9-8797-5DF355F90210}" srcId="{EA5D8E57-7B7F-4EE9-BACA-92CB8F4184E2}" destId="{941E7087-85B8-4D87-A954-37B21187FE92}" srcOrd="1" destOrd="0" parTransId="{4BD07C3D-0521-4DEA-BD3A-53F377F60DB0}" sibTransId="{B24D06FA-1E32-4774-BFD0-4D1C65D78C3D}"/>
    <dgm:cxn modelId="{0985B717-1493-4981-A07C-563B1224045A}" srcId="{CE33401E-44FD-4325-AC5E-C9C944CE461E}" destId="{CED00458-C073-4163-8B6F-1E90674B2BD4}" srcOrd="0" destOrd="0" parTransId="{38659E9F-B508-413F-B529-7DB329468070}" sibTransId="{A1227949-FB17-4661-BE0D-3526A96FC5FA}"/>
    <dgm:cxn modelId="{5DE57D3B-7987-4348-81F0-0E14387ADD4C}" type="presOf" srcId="{CE99A8C5-AA2E-427E-BC65-82104FDE624B}" destId="{1AFCB851-70E7-40AA-B422-042C59CEEAA6}" srcOrd="0" destOrd="1" presId="urn:microsoft.com/office/officeart/2005/8/layout/vList5"/>
    <dgm:cxn modelId="{A56D18E8-CBF0-46A6-A11C-FE92589692C6}" type="presOf" srcId="{EA5D8E57-7B7F-4EE9-BACA-92CB8F4184E2}" destId="{B51E1390-1D74-4D3B-82B2-7D86FA300D32}" srcOrd="0" destOrd="0" presId="urn:microsoft.com/office/officeart/2005/8/layout/vList5"/>
    <dgm:cxn modelId="{429088CA-1D3C-412F-942F-6DD2A6C6D2AA}" type="presOf" srcId="{592F1C7B-3DEA-45D8-BFAC-74C1DCFD1D94}" destId="{B9DE856F-6425-4C29-816E-E3C1F57472A7}" srcOrd="0" destOrd="1" presId="urn:microsoft.com/office/officeart/2005/8/layout/vList5"/>
    <dgm:cxn modelId="{41FD8B59-0F09-4446-949E-2C61423BBFF5}" type="presOf" srcId="{715067ED-8E94-4C54-A155-910E3E3CC042}" destId="{C2C66D52-62E9-4C68-8CD2-F24578FAB035}" srcOrd="0" destOrd="0" presId="urn:microsoft.com/office/officeart/2005/8/layout/vList5"/>
    <dgm:cxn modelId="{A72317AA-5AC7-4041-9B40-BECBE3F76A7A}" type="presOf" srcId="{A6CB253F-5863-45BA-A5A5-D62D4C2D45E1}" destId="{9B30AFCD-0276-482F-A808-A54DE709CC20}" srcOrd="0" destOrd="1" presId="urn:microsoft.com/office/officeart/2005/8/layout/vList5"/>
    <dgm:cxn modelId="{237A9983-25E2-477E-9C96-49B8265275F9}" type="presOf" srcId="{CED00458-C073-4163-8B6F-1E90674B2BD4}" destId="{B9DE856F-6425-4C29-816E-E3C1F57472A7}" srcOrd="0" destOrd="0" presId="urn:microsoft.com/office/officeart/2005/8/layout/vList5"/>
    <dgm:cxn modelId="{8F862E42-0E25-42F6-B095-D59B74E361F4}" srcId="{16AEAE0E-CBFB-4B4F-A4BD-1961A7D570A3}" destId="{FFFE0EB7-C797-4181-B22E-66A90B892B56}" srcOrd="4" destOrd="0" parTransId="{2FEAC91E-4750-498D-BE75-45A214BD5691}" sibTransId="{8196F56D-FC1A-4B7A-B405-B8B7667C595A}"/>
    <dgm:cxn modelId="{45A286CF-3494-4202-B401-037FDC40BFB6}" srcId="{EA5D8E57-7B7F-4EE9-BACA-92CB8F4184E2}" destId="{715067ED-8E94-4C54-A155-910E3E3CC042}" srcOrd="0" destOrd="0" parTransId="{DDEE45A0-CFAF-4A97-B50E-A8C20F53E577}" sibTransId="{8376BEB2-B47A-42D2-91D7-1C05B5F7DD7E}"/>
    <dgm:cxn modelId="{9E97FBCB-2F57-4E6A-B354-68B3385DCADD}" type="presOf" srcId="{B387CDD6-3F8E-4ACC-A800-0E6BDC3D941E}" destId="{1AFCB851-70E7-40AA-B422-042C59CEEAA6}" srcOrd="0" destOrd="0" presId="urn:microsoft.com/office/officeart/2005/8/layout/vList5"/>
    <dgm:cxn modelId="{4CE10915-4900-4EC4-914F-9F1188DF3B53}" srcId="{C3C5B8C8-B5D3-4197-828B-7330FD77F940}" destId="{72014D75-7797-4602-85C7-1A2EC6B2097D}" srcOrd="0" destOrd="0" parTransId="{A2EC39C8-53E1-4FB2-A72B-050ED80DCE68}" sibTransId="{0973095F-6383-4F38-B45C-BDBA76ED41F0}"/>
    <dgm:cxn modelId="{C8C38A52-2ED1-4304-8343-790580F541A8}" type="presOf" srcId="{72014D75-7797-4602-85C7-1A2EC6B2097D}" destId="{67FDCBF2-BD84-45DE-B08A-7792BA27C8B5}" srcOrd="0" destOrd="0" presId="urn:microsoft.com/office/officeart/2005/8/layout/vList5"/>
    <dgm:cxn modelId="{8704A80B-83AA-4E3E-AF46-CD7F78656CF0}" type="presOf" srcId="{FFFE0EB7-C797-4181-B22E-66A90B892B56}" destId="{3AF6ABCE-C716-4B9D-A04C-ACD89C0A89E1}" srcOrd="0" destOrd="0" presId="urn:microsoft.com/office/officeart/2005/8/layout/vList5"/>
    <dgm:cxn modelId="{EDB9EBB9-62F1-4DF1-ABF1-E8907E9CA2E1}" type="presOf" srcId="{CA6213B4-9E17-4C17-A315-F560C3668EA0}" destId="{1AFCB851-70E7-40AA-B422-042C59CEEAA6}" srcOrd="0" destOrd="2" presId="urn:microsoft.com/office/officeart/2005/8/layout/vList5"/>
    <dgm:cxn modelId="{19D2887B-05E2-4909-815D-140FF670498C}" type="presOf" srcId="{C3C5B8C8-B5D3-4197-828B-7330FD77F940}" destId="{7D5F49E0-9618-4439-8449-C5B505D305E6}" srcOrd="0" destOrd="0" presId="urn:microsoft.com/office/officeart/2005/8/layout/vList5"/>
    <dgm:cxn modelId="{6DEF7756-B25E-4CA7-92E3-F72E4E5DCD68}" srcId="{FFFE0EB7-C797-4181-B22E-66A90B892B56}" destId="{A6CB253F-5863-45BA-A5A5-D62D4C2D45E1}" srcOrd="1" destOrd="0" parTransId="{6F150937-54DE-472D-904E-AC3A5D491E76}" sibTransId="{89F4B697-C26F-4A7E-9804-1838FA8A7E37}"/>
    <dgm:cxn modelId="{3A99FB73-38F5-45E7-B5FE-65BB7254A9BA}" srcId="{C9EB87B6-7392-40C7-A1B6-DF36B7346E97}" destId="{CE99A8C5-AA2E-427E-BC65-82104FDE624B}" srcOrd="1" destOrd="0" parTransId="{7551975F-10AC-422D-BDB9-D5508A37C06D}" sibTransId="{7AF5B791-73B6-4A59-8393-DC5C5D26D819}"/>
    <dgm:cxn modelId="{3E843F4E-D009-4FD1-8D00-08B4AED69A37}" type="presOf" srcId="{16AEAE0E-CBFB-4B4F-A4BD-1961A7D570A3}" destId="{AC76CA7C-8E13-4A2D-8A32-E72F20E0A857}" srcOrd="0" destOrd="0" presId="urn:microsoft.com/office/officeart/2005/8/layout/vList5"/>
    <dgm:cxn modelId="{81151640-B3A3-4092-BEEA-597A1DCB7ECF}" type="presOf" srcId="{95CC72FA-AC6A-4F42-B09B-4C0493AB9728}" destId="{C2C66D52-62E9-4C68-8CD2-F24578FAB035}" srcOrd="0" destOrd="2" presId="urn:microsoft.com/office/officeart/2005/8/layout/vList5"/>
    <dgm:cxn modelId="{FD442719-149D-4C97-BDAF-557127245F3D}" type="presOf" srcId="{941E7087-85B8-4D87-A954-37B21187FE92}" destId="{C2C66D52-62E9-4C68-8CD2-F24578FAB035}" srcOrd="0" destOrd="1" presId="urn:microsoft.com/office/officeart/2005/8/layout/vList5"/>
    <dgm:cxn modelId="{1CA30BDF-7D44-457A-8271-0E7CAAB1ABE1}" srcId="{16AEAE0E-CBFB-4B4F-A4BD-1961A7D570A3}" destId="{CE33401E-44FD-4325-AC5E-C9C944CE461E}" srcOrd="0" destOrd="0" parTransId="{607F807C-711C-401C-9184-B71868E517E7}" sibTransId="{DA895FB7-C437-4AAF-96CD-EA5650FEE2E6}"/>
    <dgm:cxn modelId="{9B6049BF-6B8D-4A07-81A6-3318D9944290}" srcId="{C9EB87B6-7392-40C7-A1B6-DF36B7346E97}" destId="{CA6213B4-9E17-4C17-A315-F560C3668EA0}" srcOrd="2" destOrd="0" parTransId="{68C3CB51-5D38-4E0C-BD4E-BF603A821C78}" sibTransId="{7F3BC83B-8A12-48DD-B341-51BF24D6EEA7}"/>
    <dgm:cxn modelId="{25299E02-068B-4409-8E9F-E9F67501B84F}" srcId="{FFFE0EB7-C797-4181-B22E-66A90B892B56}" destId="{001485CC-5A2D-46C0-9665-B5E1D31CF197}" srcOrd="2" destOrd="0" parTransId="{37B6D2A1-DC20-4A1B-96E5-334B027083CA}" sibTransId="{090E84F1-E964-413B-AD9B-EFF354E8808C}"/>
    <dgm:cxn modelId="{C2C8236F-D108-4B68-BC72-D66B30281343}" type="presOf" srcId="{E89A0F6C-8D50-4A33-A163-4881D5EFDFF1}" destId="{9B30AFCD-0276-482F-A808-A54DE709CC20}" srcOrd="0" destOrd="3" presId="urn:microsoft.com/office/officeart/2005/8/layout/vList5"/>
    <dgm:cxn modelId="{0E1A3F93-6346-4109-B93B-A7320D9D8A6C}" srcId="{CE33401E-44FD-4325-AC5E-C9C944CE461E}" destId="{592F1C7B-3DEA-45D8-BFAC-74C1DCFD1D94}" srcOrd="1" destOrd="0" parTransId="{3379BDE5-7FA6-45DE-BAE3-027838F2A9B9}" sibTransId="{3DA7B67C-886B-4B5D-B787-DD7D73995FC9}"/>
    <dgm:cxn modelId="{EF2694A8-72ED-4CC0-947A-A6645C28B42A}" type="presOf" srcId="{001485CC-5A2D-46C0-9665-B5E1D31CF197}" destId="{9B30AFCD-0276-482F-A808-A54DE709CC20}" srcOrd="0" destOrd="2" presId="urn:microsoft.com/office/officeart/2005/8/layout/vList5"/>
    <dgm:cxn modelId="{57C33E02-E068-49DC-B4E3-6605B8B8A62D}" srcId="{16AEAE0E-CBFB-4B4F-A4BD-1961A7D570A3}" destId="{EA5D8E57-7B7F-4EE9-BACA-92CB8F4184E2}" srcOrd="2" destOrd="0" parTransId="{6C67068D-DC24-4B9B-85DD-D974AF73FBEE}" sibTransId="{4411F26D-9ECE-4F65-B727-A191BA00085A}"/>
    <dgm:cxn modelId="{189F8EFD-8B86-4A1B-BAE1-408AB6FA1CC3}" srcId="{16AEAE0E-CBFB-4B4F-A4BD-1961A7D570A3}" destId="{C3C5B8C8-B5D3-4197-828B-7330FD77F940}" srcOrd="3" destOrd="0" parTransId="{99CB240F-F57F-4B59-BB9B-5BE90B24FBED}" sibTransId="{90C25EA7-2A00-4AD4-BCCE-BFAEA6AF23B0}"/>
    <dgm:cxn modelId="{350075C3-1173-48E5-8DB8-329C9937B9DE}" type="presOf" srcId="{CE33401E-44FD-4325-AC5E-C9C944CE461E}" destId="{4AB4BFBF-5FB4-4797-8AF5-975295914743}" srcOrd="0" destOrd="0" presId="urn:microsoft.com/office/officeart/2005/8/layout/vList5"/>
    <dgm:cxn modelId="{154F978C-34C8-4447-AEC9-14D8B342CA74}" srcId="{16AEAE0E-CBFB-4B4F-A4BD-1961A7D570A3}" destId="{C9EB87B6-7392-40C7-A1B6-DF36B7346E97}" srcOrd="1" destOrd="0" parTransId="{D5AEB993-E69B-403B-8EA9-E6FF44C4B847}" sibTransId="{16886F88-BF08-4113-A954-DC6FEF0F421E}"/>
    <dgm:cxn modelId="{5A904995-A88B-4A60-AE2C-A8F71C76D192}" srcId="{FFFE0EB7-C797-4181-B22E-66A90B892B56}" destId="{E89A0F6C-8D50-4A33-A163-4881D5EFDFF1}" srcOrd="3" destOrd="0" parTransId="{CE65796F-2D48-438D-BC02-5FF17D2CE028}" sibTransId="{EED77AF0-6546-4921-AC6D-F68EEF7B2BAE}"/>
    <dgm:cxn modelId="{9B0BEF97-DC4B-4D4A-9911-6F6AD22A2D0E}" type="presOf" srcId="{C9EB87B6-7392-40C7-A1B6-DF36B7346E97}" destId="{C997F499-3C46-453E-8039-0EFBE09DCE62}" srcOrd="0" destOrd="0" presId="urn:microsoft.com/office/officeart/2005/8/layout/vList5"/>
    <dgm:cxn modelId="{BF3FEEA0-017D-4F21-ABD1-D51079CB7ECD}" type="presParOf" srcId="{AC76CA7C-8E13-4A2D-8A32-E72F20E0A857}" destId="{64F2D3C8-CD25-4E1D-83B8-B450EBAE3AE0}" srcOrd="0" destOrd="0" presId="urn:microsoft.com/office/officeart/2005/8/layout/vList5"/>
    <dgm:cxn modelId="{F02CC63F-AFDA-4A88-8084-41C11C887983}" type="presParOf" srcId="{64F2D3C8-CD25-4E1D-83B8-B450EBAE3AE0}" destId="{4AB4BFBF-5FB4-4797-8AF5-975295914743}" srcOrd="0" destOrd="0" presId="urn:microsoft.com/office/officeart/2005/8/layout/vList5"/>
    <dgm:cxn modelId="{95F39DD0-DF10-437A-B3BE-00B51D4FDEEE}" type="presParOf" srcId="{64F2D3C8-CD25-4E1D-83B8-B450EBAE3AE0}" destId="{B9DE856F-6425-4C29-816E-E3C1F57472A7}" srcOrd="1" destOrd="0" presId="urn:microsoft.com/office/officeart/2005/8/layout/vList5"/>
    <dgm:cxn modelId="{FAF3258E-4126-4FE0-B87C-22649660628F}" type="presParOf" srcId="{AC76CA7C-8E13-4A2D-8A32-E72F20E0A857}" destId="{2C062CD3-9E0B-4F7C-A418-929D533A8ECF}" srcOrd="1" destOrd="0" presId="urn:microsoft.com/office/officeart/2005/8/layout/vList5"/>
    <dgm:cxn modelId="{06F6EEA9-C7D7-412B-86EC-E680DB5B3498}" type="presParOf" srcId="{AC76CA7C-8E13-4A2D-8A32-E72F20E0A857}" destId="{CE2FB8CC-3915-4A4C-A81B-DDFA4E50575B}" srcOrd="2" destOrd="0" presId="urn:microsoft.com/office/officeart/2005/8/layout/vList5"/>
    <dgm:cxn modelId="{8D3FF134-D445-4DA3-9124-F40FE2014C65}" type="presParOf" srcId="{CE2FB8CC-3915-4A4C-A81B-DDFA4E50575B}" destId="{C997F499-3C46-453E-8039-0EFBE09DCE62}" srcOrd="0" destOrd="0" presId="urn:microsoft.com/office/officeart/2005/8/layout/vList5"/>
    <dgm:cxn modelId="{4BD9E9DE-2AC8-4FE8-A724-26F775036D25}" type="presParOf" srcId="{CE2FB8CC-3915-4A4C-A81B-DDFA4E50575B}" destId="{1AFCB851-70E7-40AA-B422-042C59CEEAA6}" srcOrd="1" destOrd="0" presId="urn:microsoft.com/office/officeart/2005/8/layout/vList5"/>
    <dgm:cxn modelId="{47A75D4E-27FB-45F0-82EF-17F038BD0EA7}" type="presParOf" srcId="{AC76CA7C-8E13-4A2D-8A32-E72F20E0A857}" destId="{05E7CD4C-2664-4DE4-A3C6-B890F35634F7}" srcOrd="3" destOrd="0" presId="urn:microsoft.com/office/officeart/2005/8/layout/vList5"/>
    <dgm:cxn modelId="{5F6DDF44-67E4-4960-A1BE-1995FC8796DD}" type="presParOf" srcId="{AC76CA7C-8E13-4A2D-8A32-E72F20E0A857}" destId="{B2274DE9-1D7F-49BB-9660-CADAE316EC2D}" srcOrd="4" destOrd="0" presId="urn:microsoft.com/office/officeart/2005/8/layout/vList5"/>
    <dgm:cxn modelId="{23407436-CD42-4165-B3DC-14589AD2475A}" type="presParOf" srcId="{B2274DE9-1D7F-49BB-9660-CADAE316EC2D}" destId="{B51E1390-1D74-4D3B-82B2-7D86FA300D32}" srcOrd="0" destOrd="0" presId="urn:microsoft.com/office/officeart/2005/8/layout/vList5"/>
    <dgm:cxn modelId="{8E080265-F3B4-44DD-A260-640B922E4551}" type="presParOf" srcId="{B2274DE9-1D7F-49BB-9660-CADAE316EC2D}" destId="{C2C66D52-62E9-4C68-8CD2-F24578FAB035}" srcOrd="1" destOrd="0" presId="urn:microsoft.com/office/officeart/2005/8/layout/vList5"/>
    <dgm:cxn modelId="{45A61EC6-2229-4CC6-9CF3-0BA5509A72EB}" type="presParOf" srcId="{AC76CA7C-8E13-4A2D-8A32-E72F20E0A857}" destId="{13005350-E7BD-49F2-8FD1-756E15CD2B1C}" srcOrd="5" destOrd="0" presId="urn:microsoft.com/office/officeart/2005/8/layout/vList5"/>
    <dgm:cxn modelId="{F7130BA0-33C4-4129-9283-AF92F228E06C}" type="presParOf" srcId="{AC76CA7C-8E13-4A2D-8A32-E72F20E0A857}" destId="{2496AC1F-0F6A-4DF6-A19C-E94CB8FDF020}" srcOrd="6" destOrd="0" presId="urn:microsoft.com/office/officeart/2005/8/layout/vList5"/>
    <dgm:cxn modelId="{279115D1-50CD-499A-9B02-5EE4C4E57D36}" type="presParOf" srcId="{2496AC1F-0F6A-4DF6-A19C-E94CB8FDF020}" destId="{7D5F49E0-9618-4439-8449-C5B505D305E6}" srcOrd="0" destOrd="0" presId="urn:microsoft.com/office/officeart/2005/8/layout/vList5"/>
    <dgm:cxn modelId="{FCE27E7E-9466-4E81-9A06-9A2E5D6D17EF}" type="presParOf" srcId="{2496AC1F-0F6A-4DF6-A19C-E94CB8FDF020}" destId="{67FDCBF2-BD84-45DE-B08A-7792BA27C8B5}" srcOrd="1" destOrd="0" presId="urn:microsoft.com/office/officeart/2005/8/layout/vList5"/>
    <dgm:cxn modelId="{064C6490-ED91-4B46-A8A2-331E522B74DF}" type="presParOf" srcId="{AC76CA7C-8E13-4A2D-8A32-E72F20E0A857}" destId="{F8D1EC25-F8A9-466E-B66C-7C1BEFA38B41}" srcOrd="7" destOrd="0" presId="urn:microsoft.com/office/officeart/2005/8/layout/vList5"/>
    <dgm:cxn modelId="{A4E608BC-1A85-44FB-940D-C16B248436B7}" type="presParOf" srcId="{AC76CA7C-8E13-4A2D-8A32-E72F20E0A857}" destId="{EC9A32AC-ABE8-4411-B9D1-3AAD9759CD9F}" srcOrd="8" destOrd="0" presId="urn:microsoft.com/office/officeart/2005/8/layout/vList5"/>
    <dgm:cxn modelId="{264DB37E-BE99-486E-AEB4-00704D020C3B}" type="presParOf" srcId="{EC9A32AC-ABE8-4411-B9D1-3AAD9759CD9F}" destId="{3AF6ABCE-C716-4B9D-A04C-ACD89C0A89E1}" srcOrd="0" destOrd="0" presId="urn:microsoft.com/office/officeart/2005/8/layout/vList5"/>
    <dgm:cxn modelId="{F4E0DB5B-C585-44D2-A34A-2552E5B1D3E6}" type="presParOf" srcId="{EC9A32AC-ABE8-4411-B9D1-3AAD9759CD9F}" destId="{9B30AFCD-0276-482F-A808-A54DE709CC20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9DE856F-6425-4C29-816E-E3C1F57472A7}">
      <dsp:nvSpPr>
        <dsp:cNvPr id="0" name=""/>
        <dsp:cNvSpPr/>
      </dsp:nvSpPr>
      <dsp:spPr>
        <a:xfrm rot="5400000">
          <a:off x="3250215" y="-1657781"/>
          <a:ext cx="755026" cy="4259473"/>
        </a:xfrm>
        <a:prstGeom prst="round2SameRect">
          <a:avLst/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1. Posilnenie výskumu, technologického rozvoja a inovácií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2. Zlepšenie prístupu k informačno-komunikačným technológiám, ako aj využívanie ich kvality</a:t>
          </a:r>
          <a:endParaRPr lang="sk-SK" sz="900" b="0" kern="1200" dirty="0"/>
        </a:p>
      </dsp:txBody>
      <dsp:txXfrm rot="-5400000">
        <a:off x="1497992" y="131299"/>
        <a:ext cx="4222616" cy="681312"/>
      </dsp:txXfrm>
    </dsp:sp>
    <dsp:sp modelId="{4AB4BFBF-5FB4-4797-8AF5-975295914743}">
      <dsp:nvSpPr>
        <dsp:cNvPr id="0" name=""/>
        <dsp:cNvSpPr/>
      </dsp:nvSpPr>
      <dsp:spPr>
        <a:xfrm>
          <a:off x="1009" y="62"/>
          <a:ext cx="1496982" cy="943783"/>
        </a:xfrm>
        <a:prstGeom prst="roundRect">
          <a:avLst/>
        </a:prstGeom>
        <a:solidFill>
          <a:schemeClr val="accent4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4"/>
        </a:fillRef>
        <a:effectRef idx="1">
          <a:schemeClr val="accent4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 dirty="0" smtClean="0"/>
            <a:t>PO 1: Veda, výskum a inovácie</a:t>
          </a:r>
          <a:endParaRPr lang="sk-SK" sz="1000" b="1" kern="1200" dirty="0"/>
        </a:p>
      </dsp:txBody>
      <dsp:txXfrm>
        <a:off x="47081" y="46134"/>
        <a:ext cx="1404838" cy="851639"/>
      </dsp:txXfrm>
    </dsp:sp>
    <dsp:sp modelId="{1AFCB851-70E7-40AA-B422-042C59CEEAA6}">
      <dsp:nvSpPr>
        <dsp:cNvPr id="0" name=""/>
        <dsp:cNvSpPr/>
      </dsp:nvSpPr>
      <dsp:spPr>
        <a:xfrm rot="5400000">
          <a:off x="3239822" y="-679446"/>
          <a:ext cx="755026" cy="4284748"/>
        </a:xfrm>
        <a:prstGeom prst="round2SameRect">
          <a:avLst/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10. Investovanie do vzdelávania, zručností a celoživotného vzdelávania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11. Zvyšovanie inštitucionálnych kapacít a zabezpečovanie efektivity verejnej správy,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9. Podpora sociálneho začleňovania a boj proti chudobe</a:t>
          </a:r>
          <a:endParaRPr lang="sk-SK" sz="900" b="0" kern="1200" dirty="0"/>
        </a:p>
      </dsp:txBody>
      <dsp:txXfrm rot="-5400000">
        <a:off x="1474962" y="1122271"/>
        <a:ext cx="4247891" cy="681312"/>
      </dsp:txXfrm>
    </dsp:sp>
    <dsp:sp modelId="{C997F499-3C46-453E-8039-0EFBE09DCE62}">
      <dsp:nvSpPr>
        <dsp:cNvPr id="0" name=""/>
        <dsp:cNvSpPr/>
      </dsp:nvSpPr>
      <dsp:spPr>
        <a:xfrm>
          <a:off x="629" y="991337"/>
          <a:ext cx="1473951" cy="943783"/>
        </a:xfrm>
        <a:prstGeom prst="roundRect">
          <a:avLst/>
        </a:prstGeom>
        <a:solidFill>
          <a:schemeClr val="accent2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2"/>
        </a:fillRef>
        <a:effectRef idx="1">
          <a:schemeClr val="accent2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 dirty="0" smtClean="0"/>
            <a:t>PO 2: Ľudské zdroje</a:t>
          </a:r>
          <a:endParaRPr lang="sk-SK" sz="1000" b="1" kern="1200" dirty="0"/>
        </a:p>
      </dsp:txBody>
      <dsp:txXfrm>
        <a:off x="46701" y="1037409"/>
        <a:ext cx="1381807" cy="851639"/>
      </dsp:txXfrm>
    </dsp:sp>
    <dsp:sp modelId="{C2C66D52-62E9-4C68-8CD2-F24578FAB035}">
      <dsp:nvSpPr>
        <dsp:cNvPr id="0" name=""/>
        <dsp:cNvSpPr/>
      </dsp:nvSpPr>
      <dsp:spPr>
        <a:xfrm rot="5400000">
          <a:off x="3238644" y="312926"/>
          <a:ext cx="755026" cy="4281948"/>
        </a:xfrm>
        <a:prstGeom prst="round2SameRect">
          <a:avLst/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1. Posilnenie výskumu, technologického rozvoja a inovácií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8. Podpora zamestnanosti a podporovanie mobility pracovnej sily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11. Zvyšovanie inštitucionálnych kapacít a zabezpečovanie efektivity verejnej správy</a:t>
          </a:r>
          <a:endParaRPr lang="sk-SK" sz="900" b="0" kern="1200" dirty="0"/>
        </a:p>
      </dsp:txBody>
      <dsp:txXfrm rot="-5400000">
        <a:off x="1475184" y="2113244"/>
        <a:ext cx="4245091" cy="681312"/>
      </dsp:txXfrm>
    </dsp:sp>
    <dsp:sp modelId="{B51E1390-1D74-4D3B-82B2-7D86FA300D32}">
      <dsp:nvSpPr>
        <dsp:cNvPr id="0" name=""/>
        <dsp:cNvSpPr/>
      </dsp:nvSpPr>
      <dsp:spPr>
        <a:xfrm>
          <a:off x="1009" y="1982008"/>
          <a:ext cx="1474173" cy="943783"/>
        </a:xfrm>
        <a:prstGeom prst="roundRect">
          <a:avLst/>
        </a:prstGeom>
        <a:solidFill>
          <a:schemeClr val="accent1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1"/>
        </a:fillRef>
        <a:effectRef idx="1">
          <a:schemeClr val="accent1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 dirty="0" smtClean="0"/>
            <a:t>PO 3: Zamestnanosť </a:t>
          </a:r>
          <a:endParaRPr lang="sk-SK" sz="1000" b="1" kern="1200" dirty="0"/>
        </a:p>
      </dsp:txBody>
      <dsp:txXfrm>
        <a:off x="47081" y="2028080"/>
        <a:ext cx="1382029" cy="851639"/>
      </dsp:txXfrm>
    </dsp:sp>
    <dsp:sp modelId="{67FDCBF2-BD84-45DE-B08A-7792BA27C8B5}">
      <dsp:nvSpPr>
        <dsp:cNvPr id="0" name=""/>
        <dsp:cNvSpPr/>
      </dsp:nvSpPr>
      <dsp:spPr>
        <a:xfrm rot="5400000">
          <a:off x="3238005" y="1303281"/>
          <a:ext cx="755026" cy="4283183"/>
        </a:xfrm>
        <a:prstGeom prst="round2Same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3. Zvýšenie konkurencieschopnosti malých a stredných podnikov, odvetvia poľnohospodárstva a rybného hospodárstva</a:t>
          </a:r>
          <a:endParaRPr lang="sk-SK" sz="900" b="0" kern="1200" dirty="0"/>
        </a:p>
      </dsp:txBody>
      <dsp:txXfrm rot="-5400000">
        <a:off x="1473927" y="3104217"/>
        <a:ext cx="4246326" cy="681312"/>
      </dsp:txXfrm>
    </dsp:sp>
    <dsp:sp modelId="{7D5F49E0-9618-4439-8449-C5B505D305E6}">
      <dsp:nvSpPr>
        <dsp:cNvPr id="0" name=""/>
        <dsp:cNvSpPr/>
      </dsp:nvSpPr>
      <dsp:spPr>
        <a:xfrm>
          <a:off x="1009" y="2972981"/>
          <a:ext cx="1472917" cy="943783"/>
        </a:xfrm>
        <a:prstGeom prst="roundRect">
          <a:avLst/>
        </a:prstGeom>
        <a:solidFill>
          <a:schemeClr val="accent6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6"/>
        </a:fillRef>
        <a:effectRef idx="1">
          <a:schemeClr val="accent6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 dirty="0" smtClean="0"/>
            <a:t>PO 4: Konkurencieschopnosť, rast a podnikateľské prostredie</a:t>
          </a:r>
          <a:endParaRPr lang="sk-SK" sz="1000" b="1" kern="1200" dirty="0"/>
        </a:p>
      </dsp:txBody>
      <dsp:txXfrm>
        <a:off x="47081" y="3019053"/>
        <a:ext cx="1380773" cy="851639"/>
      </dsp:txXfrm>
    </dsp:sp>
    <dsp:sp modelId="{9B30AFCD-0276-482F-A808-A54DE709CC20}">
      <dsp:nvSpPr>
        <dsp:cNvPr id="0" name=""/>
        <dsp:cNvSpPr/>
      </dsp:nvSpPr>
      <dsp:spPr>
        <a:xfrm rot="5400000">
          <a:off x="3128036" y="2339214"/>
          <a:ext cx="1004797" cy="4254277"/>
        </a:xfrm>
        <a:prstGeom prst="round2SameRect">
          <a:avLst/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7. Podpora udržateľnej dopravy a odstraňovanie prekážok v kľúčových sieťových infraštruktúrach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4. Podpora prechodu na </a:t>
          </a:r>
          <a:r>
            <a:rPr lang="sk-SK" sz="900" b="0" kern="1200" dirty="0" err="1" smtClean="0"/>
            <a:t>nízkouhlíkové</a:t>
          </a:r>
          <a:r>
            <a:rPr lang="sk-SK" sz="900" b="0" kern="1200" dirty="0" smtClean="0"/>
            <a:t> hospodárstvo vo všetkých sektoroch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5. Podpora prispôsobenia sa zmenám klímy a predchádzania rizikám a ich riadenia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6. Ochrana ŽP a presadzovanie udržateľného využívania zdrojov</a:t>
          </a:r>
          <a:endParaRPr lang="sk-SK" sz="900" b="0" kern="1200" dirty="0"/>
        </a:p>
      </dsp:txBody>
      <dsp:txXfrm rot="-5400000">
        <a:off x="1503296" y="4013004"/>
        <a:ext cx="4205227" cy="906697"/>
      </dsp:txXfrm>
    </dsp:sp>
    <dsp:sp modelId="{3AF6ABCE-C716-4B9D-A04C-ACD89C0A89E1}">
      <dsp:nvSpPr>
        <dsp:cNvPr id="0" name=""/>
        <dsp:cNvSpPr/>
      </dsp:nvSpPr>
      <dsp:spPr>
        <a:xfrm>
          <a:off x="1009" y="3994461"/>
          <a:ext cx="1502286" cy="943783"/>
        </a:xfrm>
        <a:prstGeom prst="roundRect">
          <a:avLst/>
        </a:prstGeom>
        <a:solidFill>
          <a:schemeClr val="accent3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3"/>
        </a:fillRef>
        <a:effectRef idx="1">
          <a:schemeClr val="accent3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 dirty="0" smtClean="0"/>
            <a:t>PO 5: Životné prostredie, zmeny klímy a obnoviteľné zdroje energie</a:t>
          </a:r>
          <a:endParaRPr lang="sk-SK" sz="1000" b="1" kern="1200" dirty="0"/>
        </a:p>
      </dsp:txBody>
      <dsp:txXfrm>
        <a:off x="47081" y="4040533"/>
        <a:ext cx="1410142" cy="8516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_rels/drawing3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0.01817</cdr:x>
      <cdr:y>0.06484</cdr:y>
    </cdr:from>
    <cdr:to>
      <cdr:x>0.28155</cdr:x>
      <cdr:y>0.20324</cdr:y>
    </cdr:to>
    <cdr:pic>
      <cdr:nvPicPr>
        <cdr:cNvPr id="2" name="Obrázok 1"/>
        <cdr:cNvPicPr/>
      </cdr:nvPicPr>
      <cdr:blipFill>
        <a:blip xmlns:a="http://schemas.openxmlformats.org/drawingml/2006/main" xmlns:r="http://schemas.openxmlformats.org/officeDocument/2006/relationships" r:embed="rId1"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06871" y="167771"/>
          <a:ext cx="1549400" cy="3581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</cdr:pic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0.02538</cdr:x>
      <cdr:y>0.08522</cdr:y>
    </cdr:from>
    <cdr:to>
      <cdr:x>0.29348</cdr:x>
      <cdr:y>0.23298</cdr:y>
    </cdr:to>
    <cdr:pic>
      <cdr:nvPicPr>
        <cdr:cNvPr id="2" name="Obrázok 1"/>
        <cdr:cNvPicPr/>
      </cdr:nvPicPr>
      <cdr:blipFill>
        <a:blip xmlns:a="http://schemas.openxmlformats.org/drawingml/2006/main" xmlns:r="http://schemas.openxmlformats.org/officeDocument/2006/relationships" r:embed="rId1"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46649" y="206555"/>
          <a:ext cx="1549400" cy="3581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</cdr:pic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0.02596</cdr:x>
      <cdr:y>0.02984</cdr:y>
    </cdr:from>
    <cdr:to>
      <cdr:x>0.29406</cdr:x>
      <cdr:y>0.17011</cdr:y>
    </cdr:to>
    <cdr:pic>
      <cdr:nvPicPr>
        <cdr:cNvPr id="2" name="Obrázok 1"/>
        <cdr:cNvPicPr/>
      </cdr:nvPicPr>
      <cdr:blipFill>
        <a:blip xmlns:a="http://schemas.openxmlformats.org/drawingml/2006/main" xmlns:r="http://schemas.openxmlformats.org/officeDocument/2006/relationships" r:embed="rId1"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50004" y="76200"/>
          <a:ext cx="1549400" cy="3581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</cdr:pic>
  </cdr:relSizeAnchor>
</c:userShape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74A6B-53B8-42F5-AA50-ACB541D13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10</Pages>
  <Words>2411</Words>
  <Characters>13744</Characters>
  <Application>Microsoft Office Word</Application>
  <DocSecurity>0</DocSecurity>
  <Lines>114</Lines>
  <Paragraphs>32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BSK</Company>
  <LinksUpToDate>false</LinksUpToDate>
  <CharactersWithSpaces>16123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Bezek</dc:creator>
  <cp:lastModifiedBy>Linda Moravcikova</cp:lastModifiedBy>
  <cp:revision>25</cp:revision>
  <cp:lastPrinted>2017-06-07T09:14:00Z</cp:lastPrinted>
  <dcterms:created xsi:type="dcterms:W3CDTF">2016-05-23T06:12:00Z</dcterms:created>
  <dcterms:modified xsi:type="dcterms:W3CDTF">2017-06-07T14:48:00Z</dcterms:modified>
</cp:coreProperties>
</file>