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2E" w:rsidRPr="00D8322E" w:rsidRDefault="00D8322E" w:rsidP="00573820">
      <w:pPr>
        <w:jc w:val="both"/>
        <w:rPr>
          <w:b/>
        </w:rPr>
      </w:pPr>
      <w:r w:rsidRPr="00D8322E">
        <w:rPr>
          <w:b/>
        </w:rPr>
        <w:t>Príloha č. 9</w:t>
      </w:r>
    </w:p>
    <w:p w:rsidR="00BC15B5" w:rsidRDefault="00932B05" w:rsidP="00573820">
      <w:pPr>
        <w:jc w:val="both"/>
      </w:pPr>
      <w:r>
        <w:t xml:space="preserve">Finančný plán nového zriaďovateľa Duálna akadémia, </w:t>
      </w:r>
      <w:proofErr w:type="spellStart"/>
      <w:r>
        <w:t>z.z.p.o</w:t>
      </w:r>
      <w:proofErr w:type="spellEnd"/>
      <w:r>
        <w:t>. vrátane SOŠA</w:t>
      </w:r>
      <w:r w:rsidR="005136CC">
        <w:t xml:space="preserve"> pre roky 2016 - 2025</w:t>
      </w:r>
      <w:r w:rsidR="00BC15B5">
        <w:t>.</w:t>
      </w:r>
      <w:r w:rsidR="005136CC">
        <w:t xml:space="preserve"> </w:t>
      </w:r>
      <w:r w:rsidR="00BC15B5">
        <w:t xml:space="preserve">(Stav: </w:t>
      </w:r>
      <w:proofErr w:type="spellStart"/>
      <w:r w:rsidR="007C38AA">
        <w:t>Jan</w:t>
      </w:r>
      <w:proofErr w:type="spellEnd"/>
      <w:r w:rsidR="00A84BF3">
        <w:t>.</w:t>
      </w:r>
      <w:r w:rsidR="00C61B83">
        <w:t xml:space="preserve"> 201</w:t>
      </w:r>
      <w:r w:rsidR="007C38AA">
        <w:t>6</w:t>
      </w:r>
      <w:r w:rsidR="00BC15B5">
        <w:t>)</w:t>
      </w:r>
    </w:p>
    <w:p w:rsidR="00646DDA" w:rsidRDefault="00471C1D" w:rsidP="00471C1D">
      <w:pPr>
        <w:jc w:val="both"/>
      </w:pPr>
      <w:r>
        <w:t xml:space="preserve">1) </w:t>
      </w:r>
      <w:r w:rsidR="007C38AA">
        <w:t>V prvej časti finančného plánu je znázornené hospodárenie SOŠA, ktorá bude po zmene zriaďovateľa transformovaná na súkromnú školu (ďalej len škola).</w:t>
      </w:r>
    </w:p>
    <w:p w:rsidR="00D52CC8" w:rsidRDefault="00D52CC8" w:rsidP="00471C1D">
      <w:pPr>
        <w:jc w:val="both"/>
      </w:pPr>
      <w:r>
        <w:t>Finančný plán škola</w:t>
      </w:r>
    </w:p>
    <w:p w:rsidR="007C38AA" w:rsidRDefault="00265AFA" w:rsidP="00573820">
      <w:pPr>
        <w:jc w:val="both"/>
      </w:pPr>
      <w:r w:rsidRPr="003163EE">
        <w:rPr>
          <w:noProof/>
          <w:sz w:val="32"/>
          <w:szCs w:val="32"/>
          <w:lang w:eastAsia="sk-SK"/>
        </w:rPr>
        <w:drawing>
          <wp:inline distT="0" distB="0" distL="0" distR="0" wp14:anchorId="0A627A45" wp14:editId="7EF967A1">
            <wp:extent cx="6435306" cy="3761117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380" cy="375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B5" w:rsidRDefault="007C38AA" w:rsidP="00573820">
      <w:pPr>
        <w:jc w:val="both"/>
      </w:pPr>
      <w:r>
        <w:t>Zdroje financovania školy predstavujú hlavne normatívne príspevky</w:t>
      </w:r>
      <w:r w:rsidR="00471C1D">
        <w:t xml:space="preserve"> (viď. </w:t>
      </w:r>
      <w:r w:rsidR="00FC11D4">
        <w:t>Fin. plán škola</w:t>
      </w:r>
      <w:r w:rsidR="00471C1D">
        <w:t xml:space="preserve"> k1)</w:t>
      </w:r>
      <w:r>
        <w:t>, tržby z prenájmu nevyužitých priestorov</w:t>
      </w:r>
      <w:r w:rsidR="00471C1D">
        <w:t xml:space="preserve"> </w:t>
      </w:r>
      <w:r>
        <w:t>ako aj z malej časti výnosy z</w:t>
      </w:r>
      <w:r w:rsidR="001045E3">
        <w:t xml:space="preserve"> externého </w:t>
      </w:r>
      <w:r>
        <w:t>predaja vyrobených produktov</w:t>
      </w:r>
      <w:r w:rsidR="00471C1D">
        <w:t xml:space="preserve"> (</w:t>
      </w:r>
      <w:r w:rsidR="00FF2050">
        <w:t xml:space="preserve">viď </w:t>
      </w:r>
      <w:r w:rsidR="00471C1D">
        <w:t>k2)</w:t>
      </w:r>
      <w:r>
        <w:t xml:space="preserve"> v rámci </w:t>
      </w:r>
      <w:r w:rsidR="006661F6">
        <w:t>praktickej časti duálneho vzdelávania žiakov. V</w:t>
      </w:r>
      <w:r w:rsidR="00E6467D">
        <w:t> </w:t>
      </w:r>
      <w:r w:rsidR="006661F6">
        <w:t>prípade</w:t>
      </w:r>
      <w:r w:rsidR="00E6467D">
        <w:t>,</w:t>
      </w:r>
      <w:r w:rsidR="006661F6">
        <w:t xml:space="preserve"> ak škola v hospodárskom roku dosiahne stratu, </w:t>
      </w:r>
      <w:proofErr w:type="spellStart"/>
      <w:r w:rsidR="006661F6">
        <w:t>t.z</w:t>
      </w:r>
      <w:proofErr w:type="spellEnd"/>
      <w:r w:rsidR="006661F6">
        <w:t xml:space="preserve">. že personálne, prevádzkové a ďalšie náklady školy prevýšia jej výnosy, poskytne nový zriaďovateľ </w:t>
      </w:r>
      <w:r w:rsidR="00E6467D">
        <w:t xml:space="preserve">škole </w:t>
      </w:r>
      <w:r w:rsidR="006661F6">
        <w:t xml:space="preserve">príspevok na </w:t>
      </w:r>
      <w:r w:rsidR="00E6467D">
        <w:t>dorovnanie vzniknutej straty</w:t>
      </w:r>
      <w:r w:rsidR="00471C1D">
        <w:t xml:space="preserve"> (</w:t>
      </w:r>
      <w:r w:rsidR="00FF2050">
        <w:t xml:space="preserve">viď </w:t>
      </w:r>
      <w:r w:rsidR="00471C1D">
        <w:t>k3)</w:t>
      </w:r>
      <w:r w:rsidR="00E6467D">
        <w:t xml:space="preserve">. </w:t>
      </w:r>
      <w:r w:rsidR="001045E3">
        <w:t>Plánované úvery potrebné na rekonštrukciu školy s cieľom skvalitniť poskytovanú výučbu v duálnom vzdelávaní budú čerpané novým zriaďovateľom a</w:t>
      </w:r>
      <w:r w:rsidR="00E13255">
        <w:t xml:space="preserve"> zriaďovateľ </w:t>
      </w:r>
      <w:r w:rsidR="005136CC">
        <w:t xml:space="preserve">za ne </w:t>
      </w:r>
      <w:r w:rsidR="00E13255">
        <w:t xml:space="preserve">nebude </w:t>
      </w:r>
      <w:r w:rsidR="005136CC">
        <w:t>ručiť</w:t>
      </w:r>
      <w:r w:rsidR="001045E3">
        <w:t xml:space="preserve"> majetkom školy.</w:t>
      </w:r>
      <w:r w:rsidR="00950D4E">
        <w:t xml:space="preserve"> </w:t>
      </w:r>
    </w:p>
    <w:p w:rsidR="0039510D" w:rsidRDefault="00471C1D" w:rsidP="00573820">
      <w:pPr>
        <w:jc w:val="both"/>
      </w:pPr>
      <w:r>
        <w:t xml:space="preserve">2) </w:t>
      </w:r>
      <w:r w:rsidR="005136CC">
        <w:t xml:space="preserve">Druhá časť finančného plánu </w:t>
      </w:r>
      <w:r w:rsidR="00932B05">
        <w:t xml:space="preserve">znázorňuje očakávané výnosy a náklady </w:t>
      </w:r>
      <w:r w:rsidR="005136CC">
        <w:t xml:space="preserve">nového zriaďovateľa </w:t>
      </w:r>
      <w:r w:rsidR="00932B05">
        <w:t xml:space="preserve">Duálnej akadémie, </w:t>
      </w:r>
      <w:proofErr w:type="spellStart"/>
      <w:r w:rsidR="00932B05">
        <w:t>z.z.p.o</w:t>
      </w:r>
      <w:proofErr w:type="spellEnd"/>
      <w:r w:rsidR="00932B05">
        <w:t>.</w:t>
      </w:r>
      <w:r w:rsidR="005136CC">
        <w:t xml:space="preserve"> (ďalej len zriaďovateľ)</w:t>
      </w:r>
      <w:r w:rsidR="00932B05">
        <w:t xml:space="preserve">. </w:t>
      </w:r>
      <w:r w:rsidR="001B2A5F">
        <w:t>Plánované v</w:t>
      </w:r>
      <w:r w:rsidR="00F42453">
        <w:t>ýnosy pozostávajú predovšetkým z platieb partnerov</w:t>
      </w:r>
      <w:r>
        <w:t xml:space="preserve"> (</w:t>
      </w:r>
      <w:r w:rsidR="00646DDA">
        <w:t xml:space="preserve">viď </w:t>
      </w:r>
      <w:r w:rsidR="00FC11D4">
        <w:t>fin. plán zriaďovateľ</w:t>
      </w:r>
      <w:r w:rsidR="00646DDA">
        <w:t xml:space="preserve"> a</w:t>
      </w:r>
      <w:r>
        <w:t>1)</w:t>
      </w:r>
      <w:r w:rsidR="00F42453">
        <w:t xml:space="preserve">, pre ktorých zabezpečuje </w:t>
      </w:r>
      <w:r w:rsidR="005136CC">
        <w:t>zriaďovateľ</w:t>
      </w:r>
      <w:r w:rsidR="00F42453">
        <w:t xml:space="preserve"> vzdelávanie žiakov a </w:t>
      </w:r>
      <w:proofErr w:type="spellStart"/>
      <w:r w:rsidR="001B2A5F">
        <w:t>preškolovanie</w:t>
      </w:r>
      <w:proofErr w:type="spellEnd"/>
      <w:r w:rsidR="00F42453">
        <w:t>/rekvalifik</w:t>
      </w:r>
      <w:r w:rsidR="001B2A5F">
        <w:t xml:space="preserve">áciu zamestnancov pre </w:t>
      </w:r>
      <w:r w:rsidR="00A0286D">
        <w:t xml:space="preserve">budúci </w:t>
      </w:r>
      <w:r w:rsidR="001B2A5F">
        <w:t xml:space="preserve">výkon požadovaných činností v podniku. </w:t>
      </w:r>
      <w:r w:rsidR="0039510D">
        <w:t xml:space="preserve">Zriaďovateľ bude prostredníctvom svojich školiteľov poskytovať </w:t>
      </w:r>
      <w:r w:rsidR="00B63843">
        <w:t xml:space="preserve">partnerom ako aj iným subjektom </w:t>
      </w:r>
      <w:r w:rsidR="0039510D">
        <w:t>externé školenia</w:t>
      </w:r>
      <w:r>
        <w:t xml:space="preserve"> (</w:t>
      </w:r>
      <w:r w:rsidR="00FF2050">
        <w:t xml:space="preserve">viď </w:t>
      </w:r>
      <w:r>
        <w:t>a2)</w:t>
      </w:r>
      <w:r w:rsidR="0039510D">
        <w:t xml:space="preserve"> a kurzy v oblasti </w:t>
      </w:r>
      <w:r w:rsidR="00B63843">
        <w:t>rozvoja S</w:t>
      </w:r>
      <w:r w:rsidR="0039510D">
        <w:t xml:space="preserve">oft </w:t>
      </w:r>
      <w:proofErr w:type="spellStart"/>
      <w:r w:rsidR="0039510D">
        <w:t>skills</w:t>
      </w:r>
      <w:proofErr w:type="spellEnd"/>
      <w:r w:rsidR="00B63843">
        <w:t>, odborných a </w:t>
      </w:r>
      <w:proofErr w:type="spellStart"/>
      <w:r w:rsidR="00B63843">
        <w:t>nadodborných</w:t>
      </w:r>
      <w:proofErr w:type="spellEnd"/>
      <w:r w:rsidR="00B63843">
        <w:t xml:space="preserve"> </w:t>
      </w:r>
      <w:r w:rsidR="00094EE8">
        <w:t>zručností. (</w:t>
      </w:r>
      <w:r w:rsidR="00326E73">
        <w:t xml:space="preserve">napr. </w:t>
      </w:r>
      <w:r w:rsidR="009F0C8E">
        <w:t>Riadenie a údržba priemyselných robotov KUKA, atď.</w:t>
      </w:r>
      <w:r w:rsidR="00094EE8">
        <w:t>)</w:t>
      </w:r>
      <w:r w:rsidR="0039510D">
        <w:t xml:space="preserve"> </w:t>
      </w:r>
    </w:p>
    <w:p w:rsidR="00A04F7F" w:rsidRDefault="001B2A5F" w:rsidP="00573820">
      <w:pPr>
        <w:jc w:val="both"/>
      </w:pPr>
      <w:r>
        <w:lastRenderedPageBreak/>
        <w:t>Plánované náklady</w:t>
      </w:r>
      <w:r w:rsidR="00FF2050">
        <w:t xml:space="preserve"> (viď. b)</w:t>
      </w:r>
      <w:r>
        <w:t xml:space="preserve"> obsahujú mzdové, prevádzkové ako aj ďalšie náklady spojené so zabezpečením </w:t>
      </w:r>
      <w:r w:rsidR="00A04F7F">
        <w:t>prevádzky</w:t>
      </w:r>
      <w:r>
        <w:t xml:space="preserve"> zriaďovateľa a</w:t>
      </w:r>
      <w:r w:rsidR="000614F0">
        <w:t xml:space="preserve"> kvalifikovanej výučby na </w:t>
      </w:r>
      <w:r>
        <w:t>SO</w:t>
      </w:r>
      <w:r w:rsidR="000614F0">
        <w:t>ŠA.</w:t>
      </w:r>
      <w:r w:rsidR="00A0286D">
        <w:t xml:space="preserve"> </w:t>
      </w:r>
    </w:p>
    <w:p w:rsidR="00015F40" w:rsidRDefault="00932B05" w:rsidP="00573820">
      <w:pPr>
        <w:jc w:val="both"/>
      </w:pPr>
      <w:r>
        <w:t>Investičn</w:t>
      </w:r>
      <w:r w:rsidR="00C61B83">
        <w:t>é</w:t>
      </w:r>
      <w:r>
        <w:t xml:space="preserve"> výdaje</w:t>
      </w:r>
      <w:r w:rsidR="00FF2050">
        <w:t xml:space="preserve"> (viď g)</w:t>
      </w:r>
      <w:r>
        <w:t xml:space="preserve"> spojené s rekonštrukciou budovy školy a</w:t>
      </w:r>
      <w:r w:rsidR="00B523C1">
        <w:t> </w:t>
      </w:r>
      <w:r>
        <w:t>zakúpením</w:t>
      </w:r>
      <w:r w:rsidR="00B523C1">
        <w:t xml:space="preserve"> nového vybavenia pre učebné účely v predpokladanej v</w:t>
      </w:r>
      <w:r w:rsidR="00264A40">
        <w:t>ý</w:t>
      </w:r>
      <w:r w:rsidR="00B523C1">
        <w:t xml:space="preserve">ške </w:t>
      </w:r>
      <w:r w:rsidR="00A04F7F">
        <w:t>9</w:t>
      </w:r>
      <w:r w:rsidR="00B523C1">
        <w:t>,</w:t>
      </w:r>
      <w:r w:rsidR="00A04F7F">
        <w:t>7</w:t>
      </w:r>
      <w:r w:rsidR="00B523C1">
        <w:t xml:space="preserve"> mil. </w:t>
      </w:r>
      <w:r w:rsidR="00573820">
        <w:t>euro</w:t>
      </w:r>
      <w:r w:rsidR="00573820" w:rsidRPr="00573820">
        <w:t xml:space="preserve"> budú </w:t>
      </w:r>
      <w:proofErr w:type="spellStart"/>
      <w:r w:rsidR="00573820" w:rsidRPr="00573820">
        <w:t>financované</w:t>
      </w:r>
      <w:r w:rsidR="00B523C1">
        <w:t>€</w:t>
      </w:r>
      <w:r w:rsidR="0009694F">
        <w:t>z</w:t>
      </w:r>
      <w:proofErr w:type="spellEnd"/>
      <w:r w:rsidR="0009694F">
        <w:t xml:space="preserve"> v</w:t>
      </w:r>
      <w:r w:rsidR="0009694F">
        <w:rPr>
          <w:rFonts w:ascii="Japanese Gothic" w:eastAsia="Japanese Gothic" w:hAnsi="Japanese Gothic" w:cs="Japanese Gothic" w:hint="eastAsia"/>
        </w:rPr>
        <w:t>ä</w:t>
      </w:r>
      <w:r w:rsidR="0009694F">
        <w:t>čšej časti prostredníctvom</w:t>
      </w:r>
      <w:r w:rsidR="00573820">
        <w:t xml:space="preserve"> dlhodobého úveru</w:t>
      </w:r>
      <w:r w:rsidR="00FF2050">
        <w:t xml:space="preserve"> (viď. h)</w:t>
      </w:r>
      <w:r w:rsidR="00573820">
        <w:t xml:space="preserve"> </w:t>
      </w:r>
      <w:r w:rsidR="00A04F7F">
        <w:t xml:space="preserve">(predpokladaná doba splácania 12 rokov) </w:t>
      </w:r>
      <w:r w:rsidR="00573820">
        <w:t xml:space="preserve">vo výške </w:t>
      </w:r>
      <w:r w:rsidR="00A04F7F">
        <w:t>5</w:t>
      </w:r>
      <w:r w:rsidR="00573820">
        <w:t>,</w:t>
      </w:r>
      <w:r w:rsidR="00A04F7F">
        <w:t>8</w:t>
      </w:r>
      <w:r w:rsidR="00573820">
        <w:t xml:space="preserve"> mil. euro</w:t>
      </w:r>
      <w:r w:rsidR="0009694F">
        <w:t>.</w:t>
      </w:r>
      <w:r w:rsidR="005C1557">
        <w:t xml:space="preserve"> </w:t>
      </w:r>
      <w:r w:rsidR="00015F40">
        <w:t>Ručenie za uvedený úver preberú partneri, ktorí sú členmi zriaďovateľa, pričom BSK nebude zaťažený garanciou za poskytnutý úver zriaďovateľovi. Zriaďovateľ plánuje čerpať prostriedky z programu IROP</w:t>
      </w:r>
      <w:r w:rsidR="00FF2050">
        <w:t xml:space="preserve"> (viď a3)</w:t>
      </w:r>
      <w:r w:rsidR="00015F40">
        <w:t xml:space="preserve"> (2017-2020), ktoré budú použité výlučne na ďalší rozvoj duálneho vzdelávania a ďalšie etapy rekonštrukcie školy.</w:t>
      </w:r>
    </w:p>
    <w:p w:rsidR="00D52CC8" w:rsidRDefault="00D52CC8" w:rsidP="00573820">
      <w:pPr>
        <w:jc w:val="both"/>
      </w:pPr>
      <w:r>
        <w:t>Finančný plán zriaďovateľ</w:t>
      </w:r>
    </w:p>
    <w:p w:rsidR="00015F40" w:rsidRDefault="00265AFA" w:rsidP="00573820">
      <w:pPr>
        <w:jc w:val="both"/>
      </w:pPr>
      <w:r w:rsidRPr="003163EE">
        <w:rPr>
          <w:noProof/>
          <w:sz w:val="32"/>
          <w:szCs w:val="32"/>
          <w:lang w:eastAsia="sk-SK"/>
        </w:rPr>
        <w:drawing>
          <wp:inline distT="0" distB="0" distL="0" distR="0" wp14:anchorId="3C249A3B" wp14:editId="633D9CC1">
            <wp:extent cx="6495691" cy="4563374"/>
            <wp:effectExtent l="0" t="0" r="635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481" cy="456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36" w:rsidRDefault="005C1557" w:rsidP="00573820">
      <w:pPr>
        <w:jc w:val="both"/>
        <w:rPr>
          <w:noProof/>
          <w:lang w:val="de-DE" w:eastAsia="de-DE"/>
        </w:rPr>
      </w:pPr>
      <w:bookmarkStart w:id="0" w:name="_GoBack"/>
      <w:bookmarkEnd w:id="0"/>
      <w:r>
        <w:t xml:space="preserve">Predložený finančný plán </w:t>
      </w:r>
      <w:r w:rsidR="00BC15B5">
        <w:t>je</w:t>
      </w:r>
      <w:r>
        <w:t xml:space="preserve"> priebežne aktualiz</w:t>
      </w:r>
      <w:r w:rsidR="00BC15B5">
        <w:t>ovaný</w:t>
      </w:r>
      <w:r>
        <w:t xml:space="preserve"> podľa</w:t>
      </w:r>
      <w:r w:rsidR="00264A40">
        <w:t xml:space="preserve"> dostupných informácii zriaďovateľovi o realizovanom projekte duálneho vzdelávania.</w:t>
      </w:r>
    </w:p>
    <w:p w:rsidR="00A04F7F" w:rsidRDefault="00A04F7F" w:rsidP="00573820">
      <w:pPr>
        <w:jc w:val="both"/>
        <w:rPr>
          <w:noProof/>
          <w:lang w:val="de-DE" w:eastAsia="de-DE"/>
        </w:rPr>
      </w:pPr>
      <w:r>
        <w:rPr>
          <w:noProof/>
          <w:lang w:val="de-DE" w:eastAsia="de-DE"/>
        </w:rPr>
        <w:t>Hospodárenie obidvoch subjektov</w:t>
      </w:r>
      <w:r w:rsidR="00326E73">
        <w:rPr>
          <w:noProof/>
          <w:lang w:val="de-DE" w:eastAsia="de-DE"/>
        </w:rPr>
        <w:t xml:space="preserve"> </w:t>
      </w:r>
      <w:r>
        <w:rPr>
          <w:noProof/>
          <w:lang w:val="de-DE" w:eastAsia="de-DE"/>
        </w:rPr>
        <w:t>zriaďovateľa a školy bude počas poskytovania duálneho vzdelávania každoročne prehodnocovan</w:t>
      </w:r>
      <w:r w:rsidR="001C4188">
        <w:rPr>
          <w:noProof/>
          <w:lang w:val="de-DE" w:eastAsia="de-DE"/>
        </w:rPr>
        <w:t>é s cieľom dosiahnutia vyrovnaného rozpočtu a eventuálne straty školy budú dorovnávané zo strany zriaďovateľa .</w:t>
      </w:r>
    </w:p>
    <w:sectPr w:rsidR="00A04F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5F5" w:rsidRDefault="005855F5" w:rsidP="006E1A6C">
      <w:pPr>
        <w:spacing w:after="0" w:line="240" w:lineRule="auto"/>
      </w:pPr>
      <w:r>
        <w:separator/>
      </w:r>
    </w:p>
  </w:endnote>
  <w:endnote w:type="continuationSeparator" w:id="0">
    <w:p w:rsidR="005855F5" w:rsidRDefault="005855F5" w:rsidP="006E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W Text Office">
    <w:altName w:val="Arial"/>
    <w:charset w:val="EE"/>
    <w:family w:val="swiss"/>
    <w:pitch w:val="variable"/>
    <w:sig w:usb0="00000001" w:usb1="5000203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panese Gothic">
    <w:altName w:val="Arial Unicode MS"/>
    <w:charset w:val="80"/>
    <w:family w:val="auto"/>
    <w:pitch w:val="variable"/>
    <w:sig w:usb0="00000000" w:usb1="6987FC7B" w:usb2="00000036" w:usb3="00000000" w:csb0="002A01BF" w:csb1="00000000"/>
  </w:font>
  <w:font w:name="VW Head Office">
    <w:altName w:val="Arial"/>
    <w:charset w:val="EE"/>
    <w:family w:val="swiss"/>
    <w:pitch w:val="variable"/>
    <w:sig w:usb0="00000001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A6C" w:rsidRPr="006E1A6C" w:rsidRDefault="006E1A6C">
    <w:pPr>
      <w:pStyle w:val="Pta"/>
      <w:rPr>
        <w:lang w:val="de-DE"/>
      </w:rPr>
    </w:pPr>
    <w:r w:rsidRPr="006E1A6C">
      <w:rPr>
        <w:lang w:val="de-DE"/>
      </w:rPr>
      <w:t xml:space="preserve">Seite </w:t>
    </w:r>
    <w:r w:rsidRPr="006E1A6C">
      <w:rPr>
        <w:lang w:val="de-DE"/>
      </w:rPr>
      <w:fldChar w:fldCharType="begin"/>
    </w:r>
    <w:r w:rsidRPr="006E1A6C">
      <w:rPr>
        <w:lang w:val="de-DE"/>
      </w:rPr>
      <w:instrText>PAGE   \* MERGEFORMAT</w:instrText>
    </w:r>
    <w:r w:rsidRPr="006E1A6C">
      <w:rPr>
        <w:lang w:val="de-DE"/>
      </w:rPr>
      <w:fldChar w:fldCharType="separate"/>
    </w:r>
    <w:r w:rsidR="003163EE">
      <w:rPr>
        <w:noProof/>
        <w:lang w:val="de-DE"/>
      </w:rPr>
      <w:t>2</w:t>
    </w:r>
    <w:r w:rsidRPr="006E1A6C"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5F5" w:rsidRDefault="005855F5" w:rsidP="006E1A6C">
      <w:pPr>
        <w:spacing w:after="0" w:line="240" w:lineRule="auto"/>
      </w:pPr>
      <w:r>
        <w:separator/>
      </w:r>
    </w:p>
  </w:footnote>
  <w:footnote w:type="continuationSeparator" w:id="0">
    <w:p w:rsidR="005855F5" w:rsidRDefault="005855F5" w:rsidP="006E1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2C6C"/>
    <w:multiLevelType w:val="hybridMultilevel"/>
    <w:tmpl w:val="EB9E90FA"/>
    <w:lvl w:ilvl="0" w:tplc="057CA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05"/>
    <w:rsid w:val="00015F40"/>
    <w:rsid w:val="0003281A"/>
    <w:rsid w:val="00046DDE"/>
    <w:rsid w:val="000614F0"/>
    <w:rsid w:val="00094EE8"/>
    <w:rsid w:val="0009694F"/>
    <w:rsid w:val="001045E3"/>
    <w:rsid w:val="00124550"/>
    <w:rsid w:val="00185665"/>
    <w:rsid w:val="001B2A5F"/>
    <w:rsid w:val="001C4188"/>
    <w:rsid w:val="00264A40"/>
    <w:rsid w:val="00265AFA"/>
    <w:rsid w:val="002709DB"/>
    <w:rsid w:val="003163EE"/>
    <w:rsid w:val="00326E73"/>
    <w:rsid w:val="003858B4"/>
    <w:rsid w:val="0039510D"/>
    <w:rsid w:val="00471C1D"/>
    <w:rsid w:val="00475AE0"/>
    <w:rsid w:val="005136CC"/>
    <w:rsid w:val="00573820"/>
    <w:rsid w:val="005855F5"/>
    <w:rsid w:val="005C1557"/>
    <w:rsid w:val="005C759E"/>
    <w:rsid w:val="00646DDA"/>
    <w:rsid w:val="006661F6"/>
    <w:rsid w:val="006E1A6C"/>
    <w:rsid w:val="007C38AA"/>
    <w:rsid w:val="00932B05"/>
    <w:rsid w:val="00950D4E"/>
    <w:rsid w:val="009F0C8E"/>
    <w:rsid w:val="00A0286D"/>
    <w:rsid w:val="00A04F7F"/>
    <w:rsid w:val="00A84BF3"/>
    <w:rsid w:val="00B523C1"/>
    <w:rsid w:val="00B63843"/>
    <w:rsid w:val="00B94016"/>
    <w:rsid w:val="00BC15B5"/>
    <w:rsid w:val="00C61B83"/>
    <w:rsid w:val="00C7763E"/>
    <w:rsid w:val="00CB6B91"/>
    <w:rsid w:val="00D15D95"/>
    <w:rsid w:val="00D31DE6"/>
    <w:rsid w:val="00D52CC8"/>
    <w:rsid w:val="00D8322E"/>
    <w:rsid w:val="00E0195D"/>
    <w:rsid w:val="00E13255"/>
    <w:rsid w:val="00E32821"/>
    <w:rsid w:val="00E6467D"/>
    <w:rsid w:val="00E70536"/>
    <w:rsid w:val="00E961A1"/>
    <w:rsid w:val="00F42453"/>
    <w:rsid w:val="00FC11D4"/>
    <w:rsid w:val="00F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E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1A6C"/>
  </w:style>
  <w:style w:type="paragraph" w:styleId="Pta">
    <w:name w:val="footer"/>
    <w:basedOn w:val="Normlny"/>
    <w:link w:val="PtaChar"/>
    <w:uiPriority w:val="99"/>
    <w:unhideWhenUsed/>
    <w:rsid w:val="006E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1A6C"/>
  </w:style>
  <w:style w:type="paragraph" w:styleId="Textbubliny">
    <w:name w:val="Balloon Text"/>
    <w:basedOn w:val="Normlny"/>
    <w:link w:val="TextbublinyChar"/>
    <w:uiPriority w:val="99"/>
    <w:semiHidden/>
    <w:unhideWhenUsed/>
    <w:rsid w:val="00932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2B0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71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E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1A6C"/>
  </w:style>
  <w:style w:type="paragraph" w:styleId="Pta">
    <w:name w:val="footer"/>
    <w:basedOn w:val="Normlny"/>
    <w:link w:val="PtaChar"/>
    <w:uiPriority w:val="99"/>
    <w:unhideWhenUsed/>
    <w:rsid w:val="006E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1A6C"/>
  </w:style>
  <w:style w:type="paragraph" w:styleId="Textbubliny">
    <w:name w:val="Balloon Text"/>
    <w:basedOn w:val="Normlny"/>
    <w:link w:val="TextbublinyChar"/>
    <w:uiPriority w:val="99"/>
    <w:semiHidden/>
    <w:unhideWhenUsed/>
    <w:rsid w:val="00932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2B0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71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VW SK: Corporate Identity Farben 2015">
      <a:dk1>
        <a:srgbClr val="33434C"/>
      </a:dk1>
      <a:lt1>
        <a:srgbClr val="FFFFFF"/>
      </a:lt1>
      <a:dk2>
        <a:srgbClr val="73B1DD"/>
      </a:dk2>
      <a:lt2>
        <a:srgbClr val="CFD7D9"/>
      </a:lt2>
      <a:accent1>
        <a:srgbClr val="003C65"/>
      </a:accent1>
      <a:accent2>
        <a:srgbClr val="2274AC"/>
      </a:accent2>
      <a:accent3>
        <a:srgbClr val="8994A0"/>
      </a:accent3>
      <a:accent4>
        <a:srgbClr val="005D4D"/>
      </a:accent4>
      <a:accent5>
        <a:srgbClr val="730019"/>
      </a:accent5>
      <a:accent6>
        <a:srgbClr val="FF871F"/>
      </a:accent6>
      <a:hlink>
        <a:srgbClr val="33434C"/>
      </a:hlink>
      <a:folHlink>
        <a:srgbClr val="8994A0"/>
      </a:folHlink>
    </a:clrScheme>
    <a:fontScheme name="VW SK: Corporate Identity Schriftarten 2015">
      <a:majorFont>
        <a:latin typeface="VW Head Office"/>
        <a:ea typeface=""/>
        <a:cs typeface=""/>
      </a:majorFont>
      <a:minorFont>
        <a:latin typeface="VW Text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7AD9-7DFA-40BF-B21B-D0810644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Volkswagen Slovakia a.s.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Bartik</dc:creator>
  <cp:lastModifiedBy>Jana Zápalová</cp:lastModifiedBy>
  <cp:revision>4</cp:revision>
  <cp:lastPrinted>2016-01-22T07:28:00Z</cp:lastPrinted>
  <dcterms:created xsi:type="dcterms:W3CDTF">2016-01-22T07:13:00Z</dcterms:created>
  <dcterms:modified xsi:type="dcterms:W3CDTF">2016-01-22T07:29:00Z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