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 xml:space="preserve">Bod č.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413C8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</w:t>
      </w:r>
      <w:r w:rsidR="00792960" w:rsidRPr="00826D24">
        <w:rPr>
          <w:rFonts w:ascii="Arial" w:hAnsi="Arial" w:cs="Arial"/>
          <w:sz w:val="22"/>
          <w:szCs w:val="22"/>
        </w:rPr>
        <w:t>.</w:t>
      </w:r>
      <w:r w:rsidR="00373B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apríl</w:t>
      </w:r>
      <w:r w:rsidR="00373B90">
        <w:rPr>
          <w:rFonts w:ascii="Arial" w:hAnsi="Arial" w:cs="Arial"/>
          <w:sz w:val="22"/>
          <w:szCs w:val="22"/>
        </w:rPr>
        <w:t>a</w:t>
      </w:r>
      <w:r w:rsidR="00792960" w:rsidRPr="00826D24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AB28B7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 w:rsidRPr="00826D24">
        <w:rPr>
          <w:rFonts w:ascii="Arial" w:hAnsi="Arial" w:cs="Arial"/>
          <w:b/>
          <w:sz w:val="32"/>
          <w:szCs w:val="32"/>
        </w:rPr>
        <w:t xml:space="preserve"> 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AB28B7" w:rsidRDefault="00AB28B7" w:rsidP="00EC6829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zámere zmeny</w:t>
      </w:r>
      <w:r w:rsidR="00795503">
        <w:rPr>
          <w:rFonts w:ascii="Arial" w:hAnsi="Arial" w:cs="Arial"/>
          <w:b/>
        </w:rPr>
        <w:t xml:space="preserve"> časovej platnosti 30 min. cestovného lístka</w:t>
      </w:r>
      <w:r w:rsidR="00A330F9">
        <w:rPr>
          <w:rFonts w:ascii="Arial" w:hAnsi="Arial" w:cs="Arial"/>
          <w:b/>
        </w:rPr>
        <w:t xml:space="preserve"> IDS BK</w:t>
      </w:r>
      <w:r w:rsidR="00795503">
        <w:rPr>
          <w:rFonts w:ascii="Arial" w:hAnsi="Arial" w:cs="Arial"/>
          <w:b/>
        </w:rPr>
        <w:t xml:space="preserve"> </w:t>
      </w:r>
    </w:p>
    <w:p w:rsidR="00792960" w:rsidRPr="00826D24" w:rsidRDefault="00795503" w:rsidP="00EC6829">
      <w:pPr>
        <w:pBdr>
          <w:bottom w:val="single" w:sz="4" w:space="1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na 40 minút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826D24">
        <w:rPr>
          <w:rFonts w:ascii="Arial" w:hAnsi="Arial" w:cs="Arial"/>
          <w:sz w:val="22"/>
          <w:szCs w:val="22"/>
        </w:rPr>
        <w:t>Berta</w:t>
      </w:r>
      <w:proofErr w:type="spellEnd"/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1. Návrh uznesenia</w:t>
      </w:r>
    </w:p>
    <w:p w:rsidR="00792960" w:rsidRPr="00373B90" w:rsidRDefault="000C3516" w:rsidP="00792960">
      <w:pPr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podpredseda BSK</w:t>
      </w:r>
      <w:r w:rsidRPr="00373B90">
        <w:rPr>
          <w:rFonts w:ascii="Arial" w:hAnsi="Arial" w:cs="Arial"/>
          <w:sz w:val="22"/>
          <w:szCs w:val="22"/>
        </w:rPr>
        <w:tab/>
        <w:t xml:space="preserve"> </w:t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Pr="00373B90">
        <w:rPr>
          <w:rFonts w:ascii="Arial" w:hAnsi="Arial" w:cs="Arial"/>
          <w:sz w:val="22"/>
          <w:szCs w:val="22"/>
        </w:rPr>
        <w:tab/>
      </w:r>
      <w:r w:rsidR="00792960" w:rsidRPr="00373B90">
        <w:rPr>
          <w:rFonts w:ascii="Arial" w:hAnsi="Arial" w:cs="Arial"/>
          <w:sz w:val="22"/>
          <w:szCs w:val="22"/>
        </w:rPr>
        <w:t>2. Dôvodová správa</w:t>
      </w:r>
    </w:p>
    <w:p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:rsidR="006E125E" w:rsidRDefault="006E125E" w:rsidP="00792960">
      <w:pPr>
        <w:ind w:left="5940" w:hanging="276"/>
        <w:rPr>
          <w:rFonts w:ascii="Arial" w:hAnsi="Arial" w:cs="Arial"/>
          <w:sz w:val="22"/>
          <w:szCs w:val="22"/>
        </w:rPr>
      </w:pPr>
    </w:p>
    <w:p w:rsidR="006E125E" w:rsidRPr="00373B90" w:rsidRDefault="006E125E" w:rsidP="00792960">
      <w:pPr>
        <w:ind w:left="5940" w:hanging="276"/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</w:p>
    <w:p w:rsidR="00792960" w:rsidRPr="00826D24" w:rsidRDefault="00373B90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riaditeľa Úradu BSK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373B90" w:rsidRPr="00826D24" w:rsidRDefault="00373B9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</w:p>
    <w:p w:rsidR="000C3516" w:rsidRPr="00826D24" w:rsidRDefault="006A19AA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generálna </w:t>
      </w:r>
      <w:r w:rsidR="000C3516" w:rsidRPr="00826D24">
        <w:rPr>
          <w:rFonts w:ascii="Arial" w:hAnsi="Arial" w:cs="Arial"/>
          <w:sz w:val="22"/>
          <w:szCs w:val="22"/>
        </w:rPr>
        <w:t xml:space="preserve">riaditeľka 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proofErr w:type="spellStart"/>
      <w:r w:rsidRPr="00826D24">
        <w:rPr>
          <w:rFonts w:ascii="Arial" w:hAnsi="Arial" w:cs="Arial"/>
          <w:sz w:val="22"/>
          <w:szCs w:val="22"/>
        </w:rPr>
        <w:t>a.s</w:t>
      </w:r>
      <w:proofErr w:type="spellEnd"/>
      <w:r w:rsidRPr="00826D24">
        <w:rPr>
          <w:rFonts w:ascii="Arial" w:hAnsi="Arial" w:cs="Arial"/>
          <w:sz w:val="22"/>
          <w:szCs w:val="22"/>
        </w:rPr>
        <w:t>.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413C8F" w:rsidRDefault="00413C8F" w:rsidP="00792960">
      <w:pPr>
        <w:jc w:val="center"/>
        <w:rPr>
          <w:rFonts w:ascii="Arial" w:hAnsi="Arial" w:cs="Arial"/>
          <w:sz w:val="22"/>
          <w:szCs w:val="22"/>
        </w:rPr>
      </w:pPr>
    </w:p>
    <w:p w:rsidR="00413C8F" w:rsidRPr="00826D24" w:rsidRDefault="00413C8F" w:rsidP="00792960">
      <w:pPr>
        <w:jc w:val="center"/>
        <w:rPr>
          <w:rFonts w:ascii="Arial" w:hAnsi="Arial" w:cs="Arial"/>
          <w:sz w:val="22"/>
          <w:szCs w:val="22"/>
        </w:rPr>
      </w:pPr>
    </w:p>
    <w:p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:rsidR="00792960" w:rsidRDefault="00413C8F" w:rsidP="000C351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2016</w:t>
      </w:r>
    </w:p>
    <w:p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826D24" w:rsidRPr="00826D24" w:rsidRDefault="00826D24" w:rsidP="000C3516">
      <w:pPr>
        <w:jc w:val="center"/>
        <w:rPr>
          <w:rFonts w:ascii="Arial" w:hAnsi="Arial" w:cs="Arial"/>
          <w:spacing w:val="70"/>
          <w:sz w:val="22"/>
          <w:szCs w:val="22"/>
        </w:rPr>
      </w:pPr>
    </w:p>
    <w:p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t>Návrh uznesenia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č. ........... / </w:t>
      </w:r>
      <w:r w:rsidR="006E125E">
        <w:rPr>
          <w:rFonts w:ascii="Arial" w:hAnsi="Arial" w:cs="Arial"/>
          <w:b/>
        </w:rPr>
        <w:t>2016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6E125E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. </w:t>
      </w:r>
      <w:r w:rsidR="006E125E">
        <w:rPr>
          <w:rFonts w:ascii="Arial" w:hAnsi="Arial" w:cs="Arial"/>
          <w:sz w:val="22"/>
          <w:szCs w:val="22"/>
        </w:rPr>
        <w:t>04</w:t>
      </w:r>
      <w:r>
        <w:rPr>
          <w:rFonts w:ascii="Arial" w:hAnsi="Arial" w:cs="Arial"/>
          <w:sz w:val="22"/>
          <w:szCs w:val="22"/>
        </w:rPr>
        <w:t xml:space="preserve">. </w:t>
      </w:r>
      <w:r w:rsidR="006E125E">
        <w:rPr>
          <w:rFonts w:ascii="Arial" w:hAnsi="Arial" w:cs="Arial"/>
          <w:sz w:val="22"/>
          <w:szCs w:val="22"/>
        </w:rPr>
        <w:t>2016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AB28B7" w:rsidRDefault="00AB28B7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 xml:space="preserve">. </w:t>
      </w:r>
      <w:r w:rsidR="00AB28B7">
        <w:rPr>
          <w:rFonts w:ascii="Arial" w:hAnsi="Arial" w:cs="Arial"/>
          <w:b/>
          <w:spacing w:val="70"/>
        </w:rPr>
        <w:t>berie na vedomie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:rsidR="00373B90" w:rsidRPr="00413C8F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3C8F">
        <w:rPr>
          <w:rFonts w:ascii="Arial" w:hAnsi="Arial" w:cs="Arial"/>
          <w:sz w:val="22"/>
          <w:szCs w:val="22"/>
        </w:rPr>
        <w:t xml:space="preserve"> </w:t>
      </w:r>
      <w:r w:rsidR="00AB28B7">
        <w:rPr>
          <w:rFonts w:ascii="Arial" w:hAnsi="Arial" w:cs="Arial"/>
          <w:sz w:val="22"/>
          <w:szCs w:val="22"/>
        </w:rPr>
        <w:t xml:space="preserve">informáciu o zámere </w:t>
      </w:r>
      <w:r w:rsidR="00795503">
        <w:rPr>
          <w:rFonts w:ascii="Arial" w:hAnsi="Arial" w:cs="Arial"/>
          <w:sz w:val="22"/>
          <w:szCs w:val="22"/>
        </w:rPr>
        <w:t>zmen</w:t>
      </w:r>
      <w:r w:rsidR="00AB28B7">
        <w:rPr>
          <w:rFonts w:ascii="Arial" w:hAnsi="Arial" w:cs="Arial"/>
          <w:sz w:val="22"/>
          <w:szCs w:val="22"/>
        </w:rPr>
        <w:t>y</w:t>
      </w:r>
      <w:r w:rsidR="00795503">
        <w:rPr>
          <w:rFonts w:ascii="Arial" w:hAnsi="Arial" w:cs="Arial"/>
          <w:sz w:val="22"/>
          <w:szCs w:val="22"/>
        </w:rPr>
        <w:t xml:space="preserve"> </w:t>
      </w:r>
      <w:r w:rsidR="00A330F9">
        <w:rPr>
          <w:rFonts w:ascii="Arial" w:hAnsi="Arial" w:cs="Arial"/>
          <w:sz w:val="22"/>
          <w:szCs w:val="22"/>
        </w:rPr>
        <w:t xml:space="preserve">časovej </w:t>
      </w:r>
      <w:r w:rsidR="00795503">
        <w:rPr>
          <w:rFonts w:ascii="Arial" w:hAnsi="Arial" w:cs="Arial"/>
          <w:sz w:val="22"/>
          <w:szCs w:val="22"/>
        </w:rPr>
        <w:t>platnosti 30 min. cestovného lístka</w:t>
      </w:r>
      <w:r w:rsidR="00A330F9">
        <w:rPr>
          <w:rFonts w:ascii="Arial" w:hAnsi="Arial" w:cs="Arial"/>
          <w:sz w:val="22"/>
          <w:szCs w:val="22"/>
        </w:rPr>
        <w:t xml:space="preserve"> IDS BK</w:t>
      </w:r>
      <w:r w:rsidR="00795503">
        <w:rPr>
          <w:rFonts w:ascii="Arial" w:hAnsi="Arial" w:cs="Arial"/>
          <w:sz w:val="22"/>
          <w:szCs w:val="22"/>
        </w:rPr>
        <w:t xml:space="preserve"> na 40 minút</w:t>
      </w:r>
      <w:r w:rsidRPr="00413C8F">
        <w:rPr>
          <w:rFonts w:ascii="Arial" w:hAnsi="Arial" w:cs="Arial"/>
          <w:sz w:val="22"/>
          <w:szCs w:val="22"/>
        </w:rPr>
        <w:t>.</w:t>
      </w:r>
    </w:p>
    <w:p w:rsidR="00373B90" w:rsidRPr="00373B90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373B90" w:rsidRDefault="00826D24" w:rsidP="00826D24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792960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 xml:space="preserve">. </w:t>
      </w:r>
      <w:r w:rsidR="00AB28B7">
        <w:rPr>
          <w:rFonts w:ascii="Arial" w:hAnsi="Arial" w:cs="Arial"/>
          <w:b/>
          <w:spacing w:val="70"/>
        </w:rPr>
        <w:t>odporúča</w:t>
      </w:r>
    </w:p>
    <w:p w:rsidR="00AB28B7" w:rsidRDefault="00AB28B7" w:rsidP="00792960">
      <w:pPr>
        <w:jc w:val="center"/>
        <w:rPr>
          <w:rFonts w:ascii="Arial" w:hAnsi="Arial" w:cs="Arial"/>
          <w:b/>
          <w:spacing w:val="70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:rsidR="000C3516" w:rsidRDefault="00413C8F" w:rsidP="000C3516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predsed</w:t>
      </w:r>
      <w:r w:rsidR="00AB28B7">
        <w:rPr>
          <w:rFonts w:ascii="Arial" w:hAnsi="Arial" w:cs="Arial"/>
          <w:sz w:val="22"/>
          <w:szCs w:val="22"/>
          <w:u w:val="single"/>
        </w:rPr>
        <w:t>ovi</w:t>
      </w:r>
      <w:r w:rsidR="000C3516" w:rsidRPr="005331E6">
        <w:rPr>
          <w:rFonts w:ascii="Arial" w:hAnsi="Arial" w:cs="Arial"/>
          <w:sz w:val="22"/>
          <w:szCs w:val="22"/>
          <w:u w:val="single"/>
        </w:rPr>
        <w:t xml:space="preserve"> Bratislavského samosprávneho kraja</w:t>
      </w:r>
    </w:p>
    <w:p w:rsidR="00AB28B7" w:rsidRDefault="00AB28B7" w:rsidP="000C351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B28B7" w:rsidRPr="005331E6" w:rsidRDefault="00AB28B7" w:rsidP="000C3516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C3516" w:rsidRPr="00F846B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Pr="00413C8F" w:rsidRDefault="00AB28B7" w:rsidP="000C35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rokovať s ostatnými partnermi o realizácii tohto zámeru.</w:t>
      </w:r>
    </w:p>
    <w:p w:rsidR="00DF7A61" w:rsidRDefault="00DF7A61" w:rsidP="00DF7A61">
      <w:pPr>
        <w:jc w:val="right"/>
        <w:rPr>
          <w:rFonts w:ascii="Arial" w:hAnsi="Arial" w:cs="Arial"/>
          <w:sz w:val="22"/>
          <w:szCs w:val="22"/>
        </w:rPr>
      </w:pPr>
    </w:p>
    <w:p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F7A61" w:rsidRPr="00DF7A61" w:rsidRDefault="00DF7A61" w:rsidP="00826D24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EA6B34" w:rsidRDefault="00373B90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3B90">
        <w:rPr>
          <w:rFonts w:ascii="Arial" w:hAnsi="Arial" w:cs="Arial"/>
          <w:sz w:val="22"/>
          <w:szCs w:val="22"/>
        </w:rPr>
        <w:t>V roku 201</w:t>
      </w:r>
      <w:r w:rsidR="003D5C86">
        <w:rPr>
          <w:rFonts w:ascii="Arial" w:hAnsi="Arial" w:cs="Arial"/>
          <w:sz w:val="22"/>
          <w:szCs w:val="22"/>
        </w:rPr>
        <w:t xml:space="preserve">5 bolo </w:t>
      </w:r>
      <w:r w:rsidR="009157A6">
        <w:rPr>
          <w:rFonts w:ascii="Arial" w:hAnsi="Arial" w:cs="Arial"/>
          <w:sz w:val="22"/>
          <w:szCs w:val="22"/>
        </w:rPr>
        <w:t>zavedená III. etapa IDS BK, ktorá zaviedla nové platnosti cestovných lístkov. Jednou z noviniek bolo obnovenie cestovného lístka na jednu cestu</w:t>
      </w:r>
      <w:r w:rsidR="00EA6B34">
        <w:rPr>
          <w:rFonts w:ascii="Arial" w:hAnsi="Arial" w:cs="Arial"/>
          <w:sz w:val="22"/>
          <w:szCs w:val="22"/>
        </w:rPr>
        <w:t xml:space="preserve"> s časovou platnosťou 30 minút.</w:t>
      </w:r>
    </w:p>
    <w:p w:rsidR="00EA6B34" w:rsidRDefault="00EA6B34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57A6" w:rsidRDefault="009157A6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Keďže v praxi sa ukázalo, že z niektorých okrajových častí Bratislavy časový interval 30 minút nepostačuje na cestu do centra mesta, navrhuje sa predĺženie </w:t>
      </w:r>
      <w:r w:rsidR="00A330F9">
        <w:rPr>
          <w:rFonts w:ascii="Arial" w:hAnsi="Arial" w:cs="Arial"/>
          <w:sz w:val="22"/>
          <w:szCs w:val="22"/>
        </w:rPr>
        <w:t xml:space="preserve">jeho </w:t>
      </w:r>
      <w:r>
        <w:rPr>
          <w:rFonts w:ascii="Arial" w:hAnsi="Arial" w:cs="Arial"/>
          <w:sz w:val="22"/>
          <w:szCs w:val="22"/>
        </w:rPr>
        <w:t>časovej platnosti na 40 minút, teda na rovnaký čas platnosti, ako má novozavedený SMS lístok DPB. Zmena časovej platnosti nebude mať v zmysle návrhu vplyv na cenu tohto cestovného lístka.</w:t>
      </w:r>
    </w:p>
    <w:p w:rsidR="00F164AB" w:rsidRDefault="00F164AB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A6B34" w:rsidRPr="00EA6B34" w:rsidRDefault="00A43A0C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nasledujúcich tabuľkách sú príklady času cesty na vybraných reláciách z okraja mesta do centra tak, ako ich ponúkol vyhľadávač na imhd.sk.</w:t>
      </w:r>
    </w:p>
    <w:p w:rsidR="00F164AB" w:rsidRPr="00EA6B34" w:rsidRDefault="00F164AB" w:rsidP="00A75579">
      <w:pPr>
        <w:pStyle w:val="Tabuka-sloanzov"/>
        <w:shd w:val="clear" w:color="auto" w:fill="FFFFFF"/>
        <w:rPr>
          <w:rFonts w:ascii="Arial" w:hAnsi="Arial" w:cs="Arial"/>
          <w:color w:val="212121"/>
          <w:sz w:val="22"/>
          <w:szCs w:val="22"/>
        </w:rPr>
      </w:pPr>
      <w:r w:rsidRPr="00EA6B34">
        <w:rPr>
          <w:rFonts w:ascii="Arial" w:hAnsi="Arial" w:cs="Arial"/>
          <w:sz w:val="22"/>
          <w:szCs w:val="22"/>
        </w:rPr>
        <w:t xml:space="preserve">Príklad času cesty na trase </w:t>
      </w:r>
      <w:r w:rsidRPr="00EA6B34">
        <w:rPr>
          <w:rFonts w:ascii="Arial" w:hAnsi="Arial" w:cs="Arial"/>
          <w:i/>
          <w:iCs/>
          <w:color w:val="212121"/>
          <w:sz w:val="22"/>
          <w:szCs w:val="22"/>
        </w:rPr>
        <w:t>Letisko – Námestie SNP</w:t>
      </w:r>
    </w:p>
    <w:tbl>
      <w:tblPr>
        <w:tblW w:w="71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223"/>
        <w:gridCol w:w="1812"/>
        <w:gridCol w:w="1888"/>
        <w:gridCol w:w="962"/>
      </w:tblGrid>
      <w:tr w:rsidR="00F164AB" w:rsidRPr="00EA6B34" w:rsidTr="00EA6B34">
        <w:trPr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Odchod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Príchod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Dĺžka cesty*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Použité linky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A43A0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Cena</w:t>
            </w:r>
          </w:p>
        </w:tc>
      </w:tr>
      <w:tr w:rsidR="00F164AB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12:09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39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61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="00EA6B34">
              <w:rPr>
                <w:noProof/>
              </w:rPr>
              <w:drawing>
                <wp:inline distT="0" distB="0" distL="0" distR="0" wp14:anchorId="7C6D7DF3" wp14:editId="3C723042">
                  <wp:extent cx="114300" cy="152400"/>
                  <wp:effectExtent l="0" t="0" r="0" b="0"/>
                  <wp:docPr id="10" name="Obrázok 10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F164AB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39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96</w:t>
            </w:r>
            <w:r w:rsid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326F0E"/>
                <w:sz w:val="22"/>
                <w:szCs w:val="22"/>
                <w:shd w:val="clear" w:color="auto" w:fill="DBFFC5"/>
              </w:rPr>
              <w:t>205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="00EA6B34">
              <w:rPr>
                <w:noProof/>
              </w:rPr>
              <w:drawing>
                <wp:inline distT="0" distB="0" distL="0" distR="0" wp14:anchorId="1B51816D" wp14:editId="6D08E260">
                  <wp:extent cx="114300" cy="152400"/>
                  <wp:effectExtent l="0" t="0" r="0" b="0"/>
                  <wp:docPr id="11" name="Obrázok 11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F164AB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35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61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="00EA6B34">
              <w:rPr>
                <w:noProof/>
              </w:rPr>
              <w:drawing>
                <wp:inline distT="0" distB="0" distL="0" distR="0" wp14:anchorId="1ACA7F01" wp14:editId="0527FBA7">
                  <wp:extent cx="114300" cy="152400"/>
                  <wp:effectExtent l="0" t="0" r="0" b="0"/>
                  <wp:docPr id="12" name="Obrázok 12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8000"/>
              </w:rPr>
              <w:t>X13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F164AB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11:58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43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96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="00EA6B34">
              <w:rPr>
                <w:noProof/>
              </w:rPr>
              <w:drawing>
                <wp:inline distT="0" distB="0" distL="0" distR="0" wp14:anchorId="1B487BEE" wp14:editId="173E67A6">
                  <wp:extent cx="114300" cy="152400"/>
                  <wp:effectExtent l="0" t="0" r="0" b="0"/>
                  <wp:docPr id="13" name="Obrázok 13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F164AB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12:10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39 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61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="00EA6B34">
              <w:rPr>
                <w:noProof/>
              </w:rPr>
              <w:drawing>
                <wp:inline distT="0" distB="0" distL="0" distR="0" wp14:anchorId="6CA0FE29" wp14:editId="12D44EF7">
                  <wp:extent cx="114300" cy="152400"/>
                  <wp:effectExtent l="0" t="0" r="0" b="0"/>
                  <wp:docPr id="14" name="Obrázok 14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8000"/>
              </w:rPr>
              <w:t>X13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4AB" w:rsidRPr="00EA6B34" w:rsidRDefault="00F164AB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</w:tbl>
    <w:p w:rsidR="00F164AB" w:rsidRPr="00EA6B34" w:rsidRDefault="00F164AB" w:rsidP="00F164AB">
      <w:pPr>
        <w:shd w:val="clear" w:color="auto" w:fill="FFFFFF"/>
        <w:rPr>
          <w:rFonts w:ascii="Arial" w:hAnsi="Arial" w:cs="Arial"/>
          <w:bCs/>
          <w:color w:val="212121"/>
          <w:sz w:val="22"/>
          <w:szCs w:val="22"/>
        </w:rPr>
      </w:pPr>
    </w:p>
    <w:p w:rsidR="00EA6B34" w:rsidRPr="00EA6B34" w:rsidRDefault="00EA6B34" w:rsidP="00F164AB">
      <w:pPr>
        <w:shd w:val="clear" w:color="auto" w:fill="FFFFFF"/>
        <w:rPr>
          <w:rFonts w:ascii="Arial" w:hAnsi="Arial" w:cs="Arial"/>
          <w:bCs/>
          <w:color w:val="212121"/>
          <w:sz w:val="22"/>
          <w:szCs w:val="22"/>
        </w:rPr>
      </w:pPr>
    </w:p>
    <w:p w:rsidR="00EA6B34" w:rsidRPr="00EA6B34" w:rsidRDefault="00EA6B34" w:rsidP="00EA6B34">
      <w:pPr>
        <w:pStyle w:val="Tabuka-sloanzov"/>
        <w:rPr>
          <w:rFonts w:ascii="Arial" w:hAnsi="Arial" w:cs="Arial"/>
          <w:color w:val="212121"/>
          <w:sz w:val="22"/>
          <w:szCs w:val="22"/>
        </w:rPr>
      </w:pPr>
      <w:r w:rsidRPr="00EA6B34">
        <w:rPr>
          <w:rFonts w:ascii="Arial" w:hAnsi="Arial" w:cs="Arial"/>
          <w:sz w:val="22"/>
          <w:szCs w:val="22"/>
        </w:rPr>
        <w:t>Príklad času cesty na trase</w:t>
      </w:r>
      <w:r w:rsidRPr="00EA6B34">
        <w:rPr>
          <w:rFonts w:ascii="Arial" w:hAnsi="Arial" w:cs="Arial"/>
          <w:i/>
          <w:sz w:val="22"/>
          <w:szCs w:val="22"/>
        </w:rPr>
        <w:t xml:space="preserve"> Rača, </w:t>
      </w:r>
      <w:r w:rsidRPr="00EA6B34">
        <w:rPr>
          <w:rFonts w:ascii="Arial" w:hAnsi="Arial" w:cs="Arial"/>
          <w:i/>
          <w:iCs/>
          <w:color w:val="212121"/>
          <w:sz w:val="22"/>
          <w:szCs w:val="22"/>
        </w:rPr>
        <w:t>Detvianska – Most SNP</w:t>
      </w:r>
    </w:p>
    <w:tbl>
      <w:tblPr>
        <w:tblW w:w="71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223"/>
        <w:gridCol w:w="1812"/>
        <w:gridCol w:w="1888"/>
        <w:gridCol w:w="962"/>
      </w:tblGrid>
      <w:tr w:rsidR="00EA6B34" w:rsidRPr="00EA6B34" w:rsidTr="00EA6B34">
        <w:trPr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Odchod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Príchod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Dĺžka cesty*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Použité linky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A43A0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Cena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12:02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3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3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11:46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3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3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12:02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3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</w:tbl>
    <w:p w:rsidR="00EA6B34" w:rsidRDefault="00EA6B34" w:rsidP="00EA6B34">
      <w:pPr>
        <w:shd w:val="clear" w:color="auto" w:fill="FFFFFF"/>
        <w:rPr>
          <w:rFonts w:ascii="Arial" w:eastAsiaTheme="minorHAnsi" w:hAnsi="Arial" w:cs="Arial"/>
          <w:color w:val="212121"/>
          <w:sz w:val="22"/>
          <w:szCs w:val="22"/>
        </w:rPr>
      </w:pPr>
    </w:p>
    <w:p w:rsidR="00EA6B34" w:rsidRDefault="00EA6B34">
      <w:pPr>
        <w:spacing w:after="200" w:line="276" w:lineRule="auto"/>
        <w:rPr>
          <w:rFonts w:ascii="Arial" w:eastAsiaTheme="minorHAnsi" w:hAnsi="Arial" w:cs="Arial"/>
          <w:color w:val="212121"/>
          <w:sz w:val="22"/>
          <w:szCs w:val="22"/>
        </w:rPr>
      </w:pPr>
      <w:r>
        <w:rPr>
          <w:rFonts w:ascii="Arial" w:eastAsiaTheme="minorHAnsi" w:hAnsi="Arial" w:cs="Arial"/>
          <w:color w:val="212121"/>
          <w:sz w:val="22"/>
          <w:szCs w:val="22"/>
        </w:rPr>
        <w:br w:type="page"/>
      </w:r>
    </w:p>
    <w:p w:rsidR="00EA6B34" w:rsidRPr="00EA6B34" w:rsidRDefault="00EA6B34" w:rsidP="00EA6B34">
      <w:pPr>
        <w:pStyle w:val="Tabuka-sloanzov"/>
        <w:rPr>
          <w:rFonts w:ascii="Arial" w:hAnsi="Arial" w:cs="Arial"/>
          <w:sz w:val="22"/>
          <w:szCs w:val="22"/>
        </w:rPr>
      </w:pPr>
      <w:r w:rsidRPr="00EA6B34">
        <w:rPr>
          <w:rFonts w:ascii="Arial" w:hAnsi="Arial" w:cs="Arial"/>
          <w:sz w:val="22"/>
          <w:szCs w:val="22"/>
        </w:rPr>
        <w:lastRenderedPageBreak/>
        <w:t xml:space="preserve">Príklad času cesty na trase </w:t>
      </w:r>
      <w:r w:rsidRPr="00EA6B34">
        <w:rPr>
          <w:rFonts w:ascii="Arial" w:hAnsi="Arial" w:cs="Arial"/>
          <w:i/>
          <w:sz w:val="22"/>
          <w:szCs w:val="22"/>
        </w:rPr>
        <w:t xml:space="preserve">Záhorská </w:t>
      </w:r>
      <w:proofErr w:type="spellStart"/>
      <w:r w:rsidRPr="00EA6B34">
        <w:rPr>
          <w:rFonts w:ascii="Arial" w:hAnsi="Arial" w:cs="Arial"/>
          <w:i/>
          <w:sz w:val="22"/>
          <w:szCs w:val="22"/>
        </w:rPr>
        <w:t>Bystrica,Krče</w:t>
      </w:r>
      <w:proofErr w:type="spellEnd"/>
      <w:r w:rsidRPr="00EA6B34">
        <w:rPr>
          <w:rFonts w:ascii="Arial" w:hAnsi="Arial" w:cs="Arial"/>
          <w:i/>
          <w:sz w:val="22"/>
          <w:szCs w:val="22"/>
        </w:rPr>
        <w:t xml:space="preserve"> – Námestie SNP</w:t>
      </w:r>
    </w:p>
    <w:tbl>
      <w:tblPr>
        <w:tblW w:w="71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223"/>
        <w:gridCol w:w="1812"/>
        <w:gridCol w:w="1888"/>
        <w:gridCol w:w="962"/>
      </w:tblGrid>
      <w:tr w:rsidR="00EA6B34" w:rsidRPr="00EA6B34" w:rsidTr="00EA6B34">
        <w:trPr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Odchod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Príchod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Dĺžka cesty*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Použité linky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A43A0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Cena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10:53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11:25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37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84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8000"/>
              </w:rPr>
              <w:t>X13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11:48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35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37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4BBE1353" wp14:editId="09EA6028">
                  <wp:extent cx="114300" cy="152400"/>
                  <wp:effectExtent l="0" t="0" r="0" b="0"/>
                  <wp:docPr id="15" name="Obrázok 15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9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4AFBB01A" wp14:editId="1B75152F">
                  <wp:extent cx="114300" cy="152400"/>
                  <wp:effectExtent l="0" t="0" r="0" b="0"/>
                  <wp:docPr id="16" name="Obrázok 16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12:07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37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0E429D96" wp14:editId="56571811">
                  <wp:extent cx="114300" cy="152400"/>
                  <wp:effectExtent l="0" t="0" r="0" b="0"/>
                  <wp:docPr id="17" name="Obrázok 17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32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37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84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8000"/>
              </w:rPr>
              <w:t>X13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12:13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37</w:t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>
              <w:rPr>
                <w:noProof/>
              </w:rPr>
              <w:drawing>
                <wp:inline distT="0" distB="0" distL="0" distR="0" wp14:anchorId="791DCF09" wp14:editId="5A437F9D">
                  <wp:extent cx="114300" cy="152400"/>
                  <wp:effectExtent l="0" t="0" r="0" b="0"/>
                  <wp:docPr id="18" name="Obrázok 18" descr="http://imhd.sk/data/img/chod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imhd.sk/data/img/chod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 </w:t>
            </w:r>
            <w:r w:rsidRPr="00EA6B34">
              <w:rPr>
                <w:rFonts w:ascii="Arial" w:hAnsi="Arial" w:cs="Arial"/>
                <w:b/>
                <w:bCs/>
                <w:color w:val="BC0000"/>
                <w:sz w:val="22"/>
                <w:szCs w:val="22"/>
                <w:shd w:val="clear" w:color="auto" w:fill="FFE7E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</w:tbl>
    <w:p w:rsidR="00EA6B34" w:rsidRPr="00EA6B34" w:rsidRDefault="00EA6B34" w:rsidP="00EA6B34">
      <w:pPr>
        <w:shd w:val="clear" w:color="auto" w:fill="FFFFFF"/>
        <w:rPr>
          <w:rFonts w:ascii="Arial" w:eastAsiaTheme="minorHAnsi" w:hAnsi="Arial" w:cs="Arial"/>
          <w:color w:val="212121"/>
          <w:sz w:val="22"/>
          <w:szCs w:val="22"/>
        </w:rPr>
      </w:pPr>
    </w:p>
    <w:p w:rsidR="00EA6B34" w:rsidRPr="00EA6B34" w:rsidRDefault="00EA6B34" w:rsidP="00EA6B34">
      <w:pPr>
        <w:pStyle w:val="Tabuka-sloanzov"/>
        <w:rPr>
          <w:rFonts w:ascii="Arial" w:hAnsi="Arial" w:cs="Arial"/>
          <w:sz w:val="22"/>
          <w:szCs w:val="22"/>
        </w:rPr>
      </w:pPr>
      <w:r w:rsidRPr="00EA6B34">
        <w:rPr>
          <w:rFonts w:ascii="Arial" w:hAnsi="Arial" w:cs="Arial"/>
          <w:sz w:val="22"/>
          <w:szCs w:val="22"/>
        </w:rPr>
        <w:t xml:space="preserve">Príklad času cesty na trase </w:t>
      </w:r>
      <w:proofErr w:type="spellStart"/>
      <w:r w:rsidRPr="00EA6B34">
        <w:rPr>
          <w:rFonts w:ascii="Arial" w:hAnsi="Arial" w:cs="Arial"/>
          <w:i/>
          <w:sz w:val="22"/>
          <w:szCs w:val="22"/>
        </w:rPr>
        <w:t>Dev</w:t>
      </w:r>
      <w:proofErr w:type="spellEnd"/>
      <w:r w:rsidRPr="00EA6B34">
        <w:rPr>
          <w:rFonts w:ascii="Arial" w:hAnsi="Arial" w:cs="Arial"/>
          <w:i/>
          <w:sz w:val="22"/>
          <w:szCs w:val="22"/>
        </w:rPr>
        <w:t>. Nová Ves, Volkswagen – Autobusová stanica</w:t>
      </w:r>
    </w:p>
    <w:tbl>
      <w:tblPr>
        <w:tblW w:w="71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223"/>
        <w:gridCol w:w="1812"/>
        <w:gridCol w:w="1888"/>
        <w:gridCol w:w="962"/>
      </w:tblGrid>
      <w:tr w:rsidR="00EA6B34" w:rsidRPr="00EA6B34" w:rsidTr="00EA6B34">
        <w:trPr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Odchod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Príchod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Dĺžka cesty*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nil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Použité linky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EFEFE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 w:rsidP="00A43A0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474747"/>
                <w:sz w:val="22"/>
                <w:szCs w:val="22"/>
              </w:rPr>
              <w:t>Cena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10:47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11:21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11:07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11:41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12:01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11:47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  <w:tr w:rsidR="00EA6B34" w:rsidRPr="00EA6B34" w:rsidTr="00EA6B34">
        <w:trPr>
          <w:jc w:val="center"/>
        </w:trPr>
        <w:tc>
          <w:tcPr>
            <w:tcW w:w="0" w:type="auto"/>
            <w:tcBorders>
              <w:top w:val="nil"/>
              <w:left w:val="single" w:sz="8" w:space="0" w:color="CCCCCC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12:07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12:41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34 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b/>
                <w:bCs/>
                <w:color w:val="0043FF"/>
                <w:sz w:val="22"/>
                <w:szCs w:val="22"/>
                <w:shd w:val="clear" w:color="auto" w:fill="E7EDFF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6B34" w:rsidRPr="00EA6B34" w:rsidRDefault="00EA6B34">
            <w:pPr>
              <w:jc w:val="center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EA6B34">
              <w:rPr>
                <w:rFonts w:ascii="Arial" w:hAnsi="Arial" w:cs="Arial"/>
                <w:color w:val="373737"/>
                <w:sz w:val="22"/>
                <w:szCs w:val="22"/>
              </w:rPr>
              <w:t>1,20 €</w:t>
            </w:r>
          </w:p>
        </w:tc>
      </w:tr>
    </w:tbl>
    <w:p w:rsidR="00F164AB" w:rsidRDefault="00F164AB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A6B34" w:rsidRPr="00EA6B34" w:rsidRDefault="00EA6B34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57A6" w:rsidRDefault="009157A6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B34">
        <w:rPr>
          <w:rFonts w:ascii="Arial" w:hAnsi="Arial" w:cs="Arial"/>
          <w:sz w:val="22"/>
          <w:szCs w:val="22"/>
        </w:rPr>
        <w:t xml:space="preserve">V súčasnosti </w:t>
      </w:r>
      <w:r w:rsidR="00A330F9">
        <w:rPr>
          <w:rFonts w:ascii="Arial" w:hAnsi="Arial" w:cs="Arial"/>
          <w:sz w:val="22"/>
          <w:szCs w:val="22"/>
        </w:rPr>
        <w:t>sa</w:t>
      </w:r>
      <w:r w:rsidRPr="00EA6B34">
        <w:rPr>
          <w:rFonts w:ascii="Arial" w:hAnsi="Arial" w:cs="Arial"/>
          <w:sz w:val="22"/>
          <w:szCs w:val="22"/>
        </w:rPr>
        <w:t xml:space="preserve"> na území Bratislavy</w:t>
      </w:r>
      <w:r w:rsidR="00492C58">
        <w:rPr>
          <w:rFonts w:ascii="Arial" w:hAnsi="Arial" w:cs="Arial"/>
          <w:sz w:val="22"/>
          <w:szCs w:val="22"/>
        </w:rPr>
        <w:t xml:space="preserve"> v rámci IDS BK</w:t>
      </w:r>
      <w:r w:rsidRPr="00EA6B34">
        <w:rPr>
          <w:rFonts w:ascii="Arial" w:hAnsi="Arial" w:cs="Arial"/>
          <w:sz w:val="22"/>
          <w:szCs w:val="22"/>
        </w:rPr>
        <w:t xml:space="preserve"> pomer cestujúcich prepravujúcich sa na cestovné lístky</w:t>
      </w:r>
      <w:r>
        <w:rPr>
          <w:rFonts w:ascii="Arial" w:hAnsi="Arial" w:cs="Arial"/>
          <w:sz w:val="22"/>
          <w:szCs w:val="22"/>
        </w:rPr>
        <w:t xml:space="preserve"> na jednu cestu pohybuje na úrovni 22 %, podiel cestujúcich na predplatné cestovné lístky je na úrov</w:t>
      </w:r>
      <w:r w:rsidR="009A63E4">
        <w:rPr>
          <w:rFonts w:ascii="Arial" w:hAnsi="Arial" w:cs="Arial"/>
          <w:sz w:val="22"/>
          <w:szCs w:val="22"/>
        </w:rPr>
        <w:t>ni 78 %. Rozdelenie využívania</w:t>
      </w:r>
      <w:r>
        <w:rPr>
          <w:rFonts w:ascii="Arial" w:hAnsi="Arial" w:cs="Arial"/>
          <w:sz w:val="22"/>
          <w:szCs w:val="22"/>
        </w:rPr>
        <w:t xml:space="preserve"> cestovných lístk</w:t>
      </w:r>
      <w:r w:rsidR="00EA6B34">
        <w:rPr>
          <w:rFonts w:ascii="Arial" w:hAnsi="Arial" w:cs="Arial"/>
          <w:sz w:val="22"/>
          <w:szCs w:val="22"/>
        </w:rPr>
        <w:t>ov na jednu cestu je uvedený v nasledujúcej tabuľke</w:t>
      </w:r>
      <w:r>
        <w:rPr>
          <w:rFonts w:ascii="Arial" w:hAnsi="Arial" w:cs="Arial"/>
          <w:sz w:val="22"/>
          <w:szCs w:val="22"/>
        </w:rPr>
        <w:t>.</w:t>
      </w:r>
    </w:p>
    <w:p w:rsidR="009157A6" w:rsidRPr="009157A6" w:rsidRDefault="009157A6" w:rsidP="00373B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57A6" w:rsidRPr="009157A6" w:rsidRDefault="009157A6" w:rsidP="009157A6">
      <w:pPr>
        <w:pStyle w:val="Tabuka-sloanzov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Vy</w:t>
      </w:r>
      <w:r w:rsidRPr="009157A6">
        <w:rPr>
          <w:rFonts w:ascii="Arial" w:hAnsi="Arial" w:cs="Arial"/>
          <w:sz w:val="22"/>
          <w:szCs w:val="22"/>
        </w:rPr>
        <w:t>užívanosť</w:t>
      </w:r>
      <w:proofErr w:type="spellEnd"/>
      <w:r w:rsidRPr="009157A6">
        <w:rPr>
          <w:rFonts w:ascii="Arial" w:hAnsi="Arial" w:cs="Arial"/>
          <w:sz w:val="22"/>
          <w:szCs w:val="22"/>
        </w:rPr>
        <w:t xml:space="preserve"> cestovných lístkov v Bratislave (za 11/2015 – 02/2016)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9"/>
        <w:gridCol w:w="1965"/>
        <w:gridCol w:w="1802"/>
        <w:gridCol w:w="1802"/>
        <w:gridCol w:w="1802"/>
      </w:tblGrid>
      <w:tr w:rsidR="009157A6" w:rsidRPr="009157A6" w:rsidTr="009157A6">
        <w:trPr>
          <w:trHeight w:val="649"/>
          <w:tblHeader/>
        </w:trPr>
        <w:tc>
          <w:tcPr>
            <w:tcW w:w="1639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Platnosť</w:t>
            </w:r>
          </w:p>
        </w:tc>
        <w:tc>
          <w:tcPr>
            <w:tcW w:w="1965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cena lístka</w:t>
            </w:r>
          </w:p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(základný / zľavnený)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počet predaných ks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podiel na CL1C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podiel na všetkých cestujúcich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15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0,70 € / 0,35 €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4 807 627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59,78 %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13,15 %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30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0,90 € / 0,45 €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2 265 016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28,16 %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6,20 %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60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1,20 € / 0,60 €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969 789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12,06 %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2,65 %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8 042 432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22 %</w:t>
            </w:r>
          </w:p>
        </w:tc>
      </w:tr>
    </w:tbl>
    <w:p w:rsidR="009157A6" w:rsidRPr="009157A6" w:rsidRDefault="009157A6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43A0C" w:rsidRDefault="009157A6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 predĺžení časovej </w:t>
      </w:r>
      <w:r w:rsidRPr="009157A6">
        <w:rPr>
          <w:rFonts w:ascii="Arial" w:hAnsi="Arial" w:cs="Arial"/>
          <w:sz w:val="22"/>
          <w:szCs w:val="22"/>
        </w:rPr>
        <w:t>platnos</w:t>
      </w:r>
      <w:r>
        <w:rPr>
          <w:rFonts w:ascii="Arial" w:hAnsi="Arial" w:cs="Arial"/>
          <w:sz w:val="22"/>
          <w:szCs w:val="22"/>
        </w:rPr>
        <w:t>ti z</w:t>
      </w:r>
      <w:r w:rsidRPr="009157A6">
        <w:rPr>
          <w:rFonts w:ascii="Arial" w:hAnsi="Arial" w:cs="Arial"/>
          <w:sz w:val="22"/>
          <w:szCs w:val="22"/>
        </w:rPr>
        <w:t xml:space="preserve"> 30 min. na 40 min. predpokladáme presun </w:t>
      </w:r>
      <w:r>
        <w:rPr>
          <w:rFonts w:ascii="Arial" w:hAnsi="Arial" w:cs="Arial"/>
          <w:sz w:val="22"/>
          <w:szCs w:val="22"/>
        </w:rPr>
        <w:t xml:space="preserve"> polovice</w:t>
      </w:r>
      <w:r w:rsidRPr="009157A6">
        <w:rPr>
          <w:rFonts w:ascii="Arial" w:hAnsi="Arial" w:cs="Arial"/>
          <w:sz w:val="22"/>
          <w:szCs w:val="22"/>
        </w:rPr>
        <w:t xml:space="preserve"> používateľov 60 min. lístka do 40-min. lístka</w:t>
      </w:r>
      <w:r w:rsidR="00F164AB">
        <w:rPr>
          <w:rFonts w:ascii="Arial" w:hAnsi="Arial" w:cs="Arial"/>
          <w:sz w:val="22"/>
          <w:szCs w:val="22"/>
        </w:rPr>
        <w:t>. Predpoklad vychádza z poznatkov, že narastajúcou dĺžkou času prepravy klesá počet cestujúcich, čo dokladujú aj počty predaných cestovných lístkov v jednotlivých časových platnostiach uvedených v</w:t>
      </w:r>
      <w:r w:rsidR="00A43A0C">
        <w:rPr>
          <w:rFonts w:ascii="Arial" w:hAnsi="Arial" w:cs="Arial"/>
          <w:sz w:val="22"/>
          <w:szCs w:val="22"/>
        </w:rPr>
        <w:t>o vyššie uvedenej tabuľke</w:t>
      </w:r>
      <w:r w:rsidR="00F164AB">
        <w:rPr>
          <w:rFonts w:ascii="Arial" w:hAnsi="Arial" w:cs="Arial"/>
          <w:sz w:val="22"/>
          <w:szCs w:val="22"/>
        </w:rPr>
        <w:t>.</w:t>
      </w:r>
    </w:p>
    <w:p w:rsidR="00F164AB" w:rsidRPr="009157A6" w:rsidRDefault="00F164AB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základe uvedených predpokladov </w:t>
      </w:r>
      <w:r w:rsidR="00A330F9">
        <w:rPr>
          <w:rFonts w:ascii="Arial" w:hAnsi="Arial" w:cs="Arial"/>
          <w:sz w:val="22"/>
          <w:szCs w:val="22"/>
        </w:rPr>
        <w:t>by</w:t>
      </w:r>
      <w:r>
        <w:rPr>
          <w:rFonts w:ascii="Arial" w:hAnsi="Arial" w:cs="Arial"/>
          <w:sz w:val="22"/>
          <w:szCs w:val="22"/>
        </w:rPr>
        <w:t xml:space="preserve"> za rovnaké obdobie predaje zaznamenali zmeny, pričom výsledný stav znázorňuje </w:t>
      </w:r>
      <w:r w:rsidR="00A43A0C">
        <w:rPr>
          <w:rFonts w:ascii="Arial" w:hAnsi="Arial" w:cs="Arial"/>
          <w:sz w:val="22"/>
          <w:szCs w:val="22"/>
        </w:rPr>
        <w:t>nasledujúca tabuľka.</w:t>
      </w:r>
    </w:p>
    <w:p w:rsidR="009157A6" w:rsidRPr="009157A6" w:rsidRDefault="009157A6" w:rsidP="009157A6">
      <w:pPr>
        <w:pStyle w:val="Tabuka-sloanzov"/>
        <w:rPr>
          <w:rFonts w:ascii="Arial" w:hAnsi="Arial" w:cs="Arial"/>
          <w:sz w:val="22"/>
          <w:szCs w:val="22"/>
        </w:rPr>
      </w:pPr>
      <w:r w:rsidRPr="009157A6">
        <w:rPr>
          <w:rFonts w:ascii="Arial" w:hAnsi="Arial" w:cs="Arial"/>
          <w:sz w:val="22"/>
          <w:szCs w:val="22"/>
        </w:rPr>
        <w:lastRenderedPageBreak/>
        <w:t>Predpoklad využívania po zmene časovej platnosti za uvedené obdobie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9"/>
        <w:gridCol w:w="1965"/>
        <w:gridCol w:w="1802"/>
        <w:gridCol w:w="1802"/>
        <w:gridCol w:w="1802"/>
      </w:tblGrid>
      <w:tr w:rsidR="009157A6" w:rsidRPr="009157A6" w:rsidTr="009157A6">
        <w:trPr>
          <w:trHeight w:val="649"/>
          <w:tblHeader/>
        </w:trPr>
        <w:tc>
          <w:tcPr>
            <w:tcW w:w="1639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Platnosť</w:t>
            </w:r>
          </w:p>
        </w:tc>
        <w:tc>
          <w:tcPr>
            <w:tcW w:w="1965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cena lístka</w:t>
            </w:r>
          </w:p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(základný / zľavnený)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F164AB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počet predaných ks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podiel na CL1C</w:t>
            </w:r>
          </w:p>
        </w:tc>
        <w:tc>
          <w:tcPr>
            <w:tcW w:w="1802" w:type="dxa"/>
            <w:shd w:val="clear" w:color="auto" w:fill="CCCCCC"/>
            <w:vAlign w:val="center"/>
          </w:tcPr>
          <w:p w:rsidR="009157A6" w:rsidRPr="009157A6" w:rsidRDefault="009157A6" w:rsidP="009157A6">
            <w:pPr>
              <w:pStyle w:val="Tabuka-hlavika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podiel na všetkých cestujúcich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15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0,70 € / 0,35 €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4 807 627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59,78 %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13,15 %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40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0,90 € / 0,45 €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2 749 911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F164AB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34,19 %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F164AB" w:rsidP="00F164AB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7,52 %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60 min.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1,20 € / 0,60 €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484 895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F164AB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6,03 %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F164AB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1,33 %</w:t>
            </w:r>
          </w:p>
        </w:tc>
      </w:tr>
      <w:tr w:rsidR="009157A6" w:rsidRPr="009157A6" w:rsidTr="009157A6">
        <w:trPr>
          <w:trHeight w:val="255"/>
        </w:trPr>
        <w:tc>
          <w:tcPr>
            <w:tcW w:w="1639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spolu</w:t>
            </w:r>
          </w:p>
        </w:tc>
        <w:tc>
          <w:tcPr>
            <w:tcW w:w="1965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8 042 432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100 %</w:t>
            </w:r>
          </w:p>
        </w:tc>
        <w:tc>
          <w:tcPr>
            <w:tcW w:w="1802" w:type="dxa"/>
            <w:shd w:val="clear" w:color="auto" w:fill="E6E6E6"/>
          </w:tcPr>
          <w:p w:rsidR="009157A6" w:rsidRPr="009157A6" w:rsidRDefault="009157A6" w:rsidP="009157A6">
            <w:pPr>
              <w:pStyle w:val="Tabuka-hodnoty"/>
              <w:rPr>
                <w:rFonts w:ascii="Arial" w:hAnsi="Arial" w:cs="Arial"/>
                <w:sz w:val="22"/>
                <w:szCs w:val="22"/>
              </w:rPr>
            </w:pPr>
            <w:r w:rsidRPr="009157A6">
              <w:rPr>
                <w:rFonts w:ascii="Arial" w:hAnsi="Arial" w:cs="Arial"/>
                <w:sz w:val="22"/>
                <w:szCs w:val="22"/>
              </w:rPr>
              <w:t>22 %</w:t>
            </w:r>
          </w:p>
        </w:tc>
      </w:tr>
    </w:tbl>
    <w:p w:rsidR="009157A6" w:rsidRPr="009157A6" w:rsidRDefault="009157A6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57A6" w:rsidRPr="009157A6" w:rsidRDefault="009157A6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57A6">
        <w:rPr>
          <w:rFonts w:ascii="Arial" w:hAnsi="Arial" w:cs="Arial"/>
          <w:sz w:val="22"/>
          <w:szCs w:val="22"/>
        </w:rPr>
        <w:t>Uveden</w:t>
      </w:r>
      <w:r w:rsidR="00F164AB">
        <w:rPr>
          <w:rFonts w:ascii="Arial" w:hAnsi="Arial" w:cs="Arial"/>
          <w:sz w:val="22"/>
          <w:szCs w:val="22"/>
        </w:rPr>
        <w:t xml:space="preserve">á zmena prinesie pre </w:t>
      </w:r>
      <w:r w:rsidRPr="009157A6">
        <w:rPr>
          <w:rFonts w:ascii="Arial" w:hAnsi="Arial" w:cs="Arial"/>
          <w:sz w:val="22"/>
          <w:szCs w:val="22"/>
        </w:rPr>
        <w:t>1,33 % cestujúcich výhodnejšie cestovanie.</w:t>
      </w:r>
    </w:p>
    <w:p w:rsidR="009157A6" w:rsidRPr="009157A6" w:rsidRDefault="009157A6" w:rsidP="009157A6">
      <w:pPr>
        <w:pStyle w:val="Nadpis4"/>
        <w:rPr>
          <w:rFonts w:ascii="Arial" w:hAnsi="Arial"/>
          <w:sz w:val="22"/>
        </w:rPr>
      </w:pPr>
      <w:r w:rsidRPr="009157A6">
        <w:rPr>
          <w:rFonts w:ascii="Arial" w:hAnsi="Arial"/>
          <w:sz w:val="22"/>
        </w:rPr>
        <w:t>Výpočet dopadov</w:t>
      </w:r>
    </w:p>
    <w:p w:rsidR="00EF28D4" w:rsidRDefault="009157A6" w:rsidP="009157A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157A6">
        <w:rPr>
          <w:rFonts w:ascii="Arial" w:hAnsi="Arial" w:cs="Arial"/>
          <w:sz w:val="22"/>
          <w:szCs w:val="22"/>
        </w:rPr>
        <w:t>Pri výpočte dopadov sme exaktne vychádzali z predaných kusov CL podľa tarify (základný / zľavnený)</w:t>
      </w:r>
      <w:r w:rsidR="00F164AB">
        <w:rPr>
          <w:rFonts w:ascii="Arial" w:hAnsi="Arial" w:cs="Arial"/>
          <w:sz w:val="22"/>
          <w:szCs w:val="22"/>
        </w:rPr>
        <w:t xml:space="preserve">. </w:t>
      </w:r>
      <w:r w:rsidR="00F164AB" w:rsidRPr="00F164AB">
        <w:rPr>
          <w:rFonts w:ascii="Arial" w:hAnsi="Arial" w:cs="Arial"/>
          <w:b/>
          <w:sz w:val="22"/>
          <w:szCs w:val="22"/>
        </w:rPr>
        <w:t>Z</w:t>
      </w:r>
      <w:r w:rsidRPr="00F164AB">
        <w:rPr>
          <w:rFonts w:ascii="Arial" w:hAnsi="Arial" w:cs="Arial"/>
          <w:b/>
          <w:sz w:val="22"/>
          <w:szCs w:val="22"/>
        </w:rPr>
        <w:t>mena predstav</w:t>
      </w:r>
      <w:r w:rsidR="00F164AB" w:rsidRPr="00F164AB">
        <w:rPr>
          <w:rFonts w:ascii="Arial" w:hAnsi="Arial" w:cs="Arial"/>
          <w:b/>
          <w:sz w:val="22"/>
          <w:szCs w:val="22"/>
        </w:rPr>
        <w:t xml:space="preserve">uje </w:t>
      </w:r>
      <w:r w:rsidRPr="00F164AB">
        <w:rPr>
          <w:rFonts w:ascii="Arial" w:hAnsi="Arial" w:cs="Arial"/>
          <w:b/>
          <w:sz w:val="22"/>
          <w:szCs w:val="22"/>
        </w:rPr>
        <w:t xml:space="preserve">ročný dopad </w:t>
      </w:r>
      <w:r w:rsidR="00F164AB">
        <w:rPr>
          <w:rFonts w:ascii="Arial" w:hAnsi="Arial" w:cs="Arial"/>
          <w:b/>
          <w:sz w:val="22"/>
          <w:szCs w:val="22"/>
        </w:rPr>
        <w:t>na tržby IDS BK vo výške</w:t>
      </w:r>
      <w:r w:rsidRPr="00F164AB">
        <w:rPr>
          <w:rFonts w:ascii="Arial" w:hAnsi="Arial" w:cs="Arial"/>
          <w:b/>
          <w:sz w:val="22"/>
          <w:szCs w:val="22"/>
        </w:rPr>
        <w:t xml:space="preserve"> - 350 000 €.</w:t>
      </w:r>
      <w:r w:rsidR="00EF28D4">
        <w:rPr>
          <w:rFonts w:ascii="Arial" w:hAnsi="Arial" w:cs="Arial"/>
          <w:b/>
          <w:sz w:val="22"/>
          <w:szCs w:val="22"/>
        </w:rPr>
        <w:t xml:space="preserve"> </w:t>
      </w:r>
    </w:p>
    <w:p w:rsidR="00EF28D4" w:rsidRPr="00EC6829" w:rsidRDefault="00EF28D4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>Dopad na dopravcov po vykonaní deľby tržieb je nasledovný:</w:t>
      </w:r>
    </w:p>
    <w:p w:rsidR="00EF28D4" w:rsidRPr="00EC6829" w:rsidRDefault="00EF28D4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>DPB:</w:t>
      </w:r>
      <w:r w:rsidRPr="00EC6829">
        <w:rPr>
          <w:rFonts w:ascii="Arial" w:hAnsi="Arial" w:cs="Arial"/>
          <w:sz w:val="22"/>
          <w:szCs w:val="22"/>
        </w:rPr>
        <w:tab/>
      </w:r>
      <w:r w:rsidRPr="00EC6829">
        <w:rPr>
          <w:rFonts w:ascii="Arial" w:hAnsi="Arial" w:cs="Arial"/>
          <w:sz w:val="22"/>
          <w:szCs w:val="22"/>
        </w:rPr>
        <w:tab/>
        <w:t>223 957 €</w:t>
      </w:r>
    </w:p>
    <w:p w:rsidR="00EF28D4" w:rsidRPr="00EC6829" w:rsidRDefault="00EF28D4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 xml:space="preserve">Slovak </w:t>
      </w:r>
      <w:proofErr w:type="spellStart"/>
      <w:r w:rsidRPr="00EC6829">
        <w:rPr>
          <w:rFonts w:ascii="Arial" w:hAnsi="Arial" w:cs="Arial"/>
          <w:sz w:val="22"/>
          <w:szCs w:val="22"/>
        </w:rPr>
        <w:t>Lines</w:t>
      </w:r>
      <w:proofErr w:type="spellEnd"/>
      <w:r w:rsidRPr="00EC6829">
        <w:rPr>
          <w:rFonts w:ascii="Arial" w:hAnsi="Arial" w:cs="Arial"/>
          <w:sz w:val="22"/>
          <w:szCs w:val="22"/>
        </w:rPr>
        <w:t>:</w:t>
      </w:r>
      <w:r w:rsidRPr="00EC6829">
        <w:rPr>
          <w:rFonts w:ascii="Arial" w:hAnsi="Arial" w:cs="Arial"/>
          <w:sz w:val="22"/>
          <w:szCs w:val="22"/>
        </w:rPr>
        <w:tab/>
        <w:t>114 546 €</w:t>
      </w:r>
    </w:p>
    <w:p w:rsidR="00EF28D4" w:rsidRPr="00EC6829" w:rsidRDefault="00EF28D4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>ZSSK:</w:t>
      </w:r>
      <w:r w:rsidRPr="00EC6829">
        <w:rPr>
          <w:rFonts w:ascii="Arial" w:hAnsi="Arial" w:cs="Arial"/>
          <w:sz w:val="22"/>
          <w:szCs w:val="22"/>
        </w:rPr>
        <w:tab/>
      </w:r>
      <w:r w:rsidRPr="00EC6829">
        <w:rPr>
          <w:rFonts w:ascii="Arial" w:hAnsi="Arial" w:cs="Arial"/>
          <w:sz w:val="22"/>
          <w:szCs w:val="22"/>
        </w:rPr>
        <w:tab/>
      </w:r>
      <w:r w:rsidR="00EC6829">
        <w:rPr>
          <w:rFonts w:ascii="Arial" w:hAnsi="Arial" w:cs="Arial"/>
          <w:sz w:val="22"/>
          <w:szCs w:val="22"/>
        </w:rPr>
        <w:t xml:space="preserve">  </w:t>
      </w:r>
      <w:r w:rsidRPr="00EC6829">
        <w:rPr>
          <w:rFonts w:ascii="Arial" w:hAnsi="Arial" w:cs="Arial"/>
          <w:sz w:val="22"/>
          <w:szCs w:val="22"/>
        </w:rPr>
        <w:t>11 497 €</w:t>
      </w:r>
    </w:p>
    <w:p w:rsidR="00EF28D4" w:rsidRPr="00DD596D" w:rsidRDefault="00EF28D4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F28D4" w:rsidRPr="00DD596D" w:rsidRDefault="009157A6" w:rsidP="00EF28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 xml:space="preserve">V prípade presunu </w:t>
      </w:r>
      <w:r w:rsidR="00F164AB" w:rsidRPr="00EC6829">
        <w:rPr>
          <w:rFonts w:ascii="Arial" w:hAnsi="Arial" w:cs="Arial"/>
          <w:sz w:val="22"/>
          <w:szCs w:val="22"/>
        </w:rPr>
        <w:t xml:space="preserve">menšej (30 %) časti </w:t>
      </w:r>
      <w:r w:rsidRPr="00EC6829">
        <w:rPr>
          <w:rFonts w:ascii="Arial" w:hAnsi="Arial" w:cs="Arial"/>
          <w:sz w:val="22"/>
          <w:szCs w:val="22"/>
        </w:rPr>
        <w:t xml:space="preserve">používateľov 60 min. lístka </w:t>
      </w:r>
      <w:r w:rsidRPr="00FC4063">
        <w:rPr>
          <w:rFonts w:ascii="Arial" w:hAnsi="Arial" w:cs="Arial"/>
          <w:b/>
          <w:sz w:val="22"/>
          <w:szCs w:val="22"/>
        </w:rPr>
        <w:t xml:space="preserve">predpokladáme ročný dopad </w:t>
      </w:r>
      <w:r w:rsidR="00F164AB" w:rsidRPr="00FC4063">
        <w:rPr>
          <w:rFonts w:ascii="Arial" w:hAnsi="Arial" w:cs="Arial"/>
          <w:b/>
          <w:sz w:val="22"/>
          <w:szCs w:val="22"/>
        </w:rPr>
        <w:t xml:space="preserve">na úrovni - </w:t>
      </w:r>
      <w:r w:rsidRPr="00FC4063">
        <w:rPr>
          <w:rFonts w:ascii="Arial" w:hAnsi="Arial" w:cs="Arial"/>
          <w:b/>
          <w:sz w:val="22"/>
          <w:szCs w:val="22"/>
        </w:rPr>
        <w:t>210 000 €.</w:t>
      </w:r>
      <w:r w:rsidR="00EF28D4" w:rsidRPr="00EC6829">
        <w:rPr>
          <w:rFonts w:ascii="Arial" w:hAnsi="Arial" w:cs="Arial"/>
          <w:sz w:val="22"/>
          <w:szCs w:val="22"/>
        </w:rPr>
        <w:t xml:space="preserve"> Dopad na dopravcov po vykonaní deľby tržieb je nasledovný:</w:t>
      </w:r>
    </w:p>
    <w:p w:rsidR="00EF28D4" w:rsidRPr="00EC6829" w:rsidRDefault="00EF28D4" w:rsidP="00EF28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>DPB:</w:t>
      </w:r>
      <w:r w:rsidRPr="00EC6829">
        <w:rPr>
          <w:rFonts w:ascii="Arial" w:hAnsi="Arial" w:cs="Arial"/>
          <w:sz w:val="22"/>
          <w:szCs w:val="22"/>
        </w:rPr>
        <w:tab/>
      </w:r>
      <w:r w:rsidRPr="00EC6829">
        <w:rPr>
          <w:rFonts w:ascii="Arial" w:hAnsi="Arial" w:cs="Arial"/>
          <w:sz w:val="22"/>
          <w:szCs w:val="22"/>
        </w:rPr>
        <w:tab/>
      </w:r>
      <w:r w:rsidR="009A63E4" w:rsidRPr="00EC6829">
        <w:rPr>
          <w:rFonts w:ascii="Arial" w:hAnsi="Arial" w:cs="Arial"/>
          <w:sz w:val="22"/>
          <w:szCs w:val="22"/>
        </w:rPr>
        <w:t>134 374</w:t>
      </w:r>
      <w:r w:rsidRPr="00EC6829">
        <w:rPr>
          <w:rFonts w:ascii="Arial" w:hAnsi="Arial" w:cs="Arial"/>
          <w:sz w:val="22"/>
          <w:szCs w:val="22"/>
        </w:rPr>
        <w:t xml:space="preserve"> €</w:t>
      </w:r>
    </w:p>
    <w:p w:rsidR="00EF28D4" w:rsidRPr="00EC6829" w:rsidRDefault="00EF28D4" w:rsidP="00EF28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 xml:space="preserve">Slovak </w:t>
      </w:r>
      <w:proofErr w:type="spellStart"/>
      <w:r w:rsidRPr="00EC6829">
        <w:rPr>
          <w:rFonts w:ascii="Arial" w:hAnsi="Arial" w:cs="Arial"/>
          <w:sz w:val="22"/>
          <w:szCs w:val="22"/>
        </w:rPr>
        <w:t>Lines</w:t>
      </w:r>
      <w:proofErr w:type="spellEnd"/>
      <w:r w:rsidRPr="00EC6829">
        <w:rPr>
          <w:rFonts w:ascii="Arial" w:hAnsi="Arial" w:cs="Arial"/>
          <w:sz w:val="22"/>
          <w:szCs w:val="22"/>
        </w:rPr>
        <w:t>:</w:t>
      </w:r>
      <w:r w:rsidRPr="00EC6829">
        <w:rPr>
          <w:rFonts w:ascii="Arial" w:hAnsi="Arial" w:cs="Arial"/>
          <w:sz w:val="22"/>
          <w:szCs w:val="22"/>
        </w:rPr>
        <w:tab/>
      </w:r>
      <w:r w:rsidR="00EC6829">
        <w:rPr>
          <w:rFonts w:ascii="Arial" w:hAnsi="Arial" w:cs="Arial"/>
          <w:sz w:val="22"/>
          <w:szCs w:val="22"/>
        </w:rPr>
        <w:t xml:space="preserve">  </w:t>
      </w:r>
      <w:r w:rsidRPr="00EC6829">
        <w:rPr>
          <w:rFonts w:ascii="Arial" w:hAnsi="Arial" w:cs="Arial"/>
          <w:sz w:val="22"/>
          <w:szCs w:val="22"/>
        </w:rPr>
        <w:t>68 728 €</w:t>
      </w:r>
    </w:p>
    <w:p w:rsidR="00EF28D4" w:rsidRPr="00EC6829" w:rsidRDefault="00EF28D4" w:rsidP="00EF28D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6829">
        <w:rPr>
          <w:rFonts w:ascii="Arial" w:hAnsi="Arial" w:cs="Arial"/>
          <w:sz w:val="22"/>
          <w:szCs w:val="22"/>
        </w:rPr>
        <w:t>ZSSK:</w:t>
      </w:r>
      <w:r w:rsidRPr="00EC6829">
        <w:rPr>
          <w:rFonts w:ascii="Arial" w:hAnsi="Arial" w:cs="Arial"/>
          <w:sz w:val="22"/>
          <w:szCs w:val="22"/>
        </w:rPr>
        <w:tab/>
      </w:r>
      <w:r w:rsidRPr="00EC6829">
        <w:rPr>
          <w:rFonts w:ascii="Arial" w:hAnsi="Arial" w:cs="Arial"/>
          <w:sz w:val="22"/>
          <w:szCs w:val="22"/>
        </w:rPr>
        <w:tab/>
      </w:r>
      <w:r w:rsidR="00EC6829">
        <w:rPr>
          <w:rFonts w:ascii="Arial" w:hAnsi="Arial" w:cs="Arial"/>
          <w:sz w:val="22"/>
          <w:szCs w:val="22"/>
        </w:rPr>
        <w:t xml:space="preserve">    </w:t>
      </w:r>
      <w:r w:rsidRPr="00EC6829">
        <w:rPr>
          <w:rFonts w:ascii="Arial" w:hAnsi="Arial" w:cs="Arial"/>
          <w:sz w:val="22"/>
          <w:szCs w:val="22"/>
        </w:rPr>
        <w:t>6 898 €</w:t>
      </w:r>
    </w:p>
    <w:p w:rsidR="009157A6" w:rsidRPr="009157A6" w:rsidRDefault="009157A6" w:rsidP="009157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2C58" w:rsidRDefault="009157A6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157A6">
        <w:rPr>
          <w:rFonts w:ascii="Arial" w:hAnsi="Arial" w:cs="Arial"/>
          <w:sz w:val="22"/>
          <w:szCs w:val="22"/>
        </w:rPr>
        <w:t>K dopadom</w:t>
      </w:r>
      <w:r w:rsidRPr="009157A6">
        <w:rPr>
          <w:rFonts w:ascii="Arial" w:hAnsi="Arial" w:cs="Arial"/>
          <w:b/>
          <w:sz w:val="22"/>
          <w:szCs w:val="22"/>
        </w:rPr>
        <w:t xml:space="preserve"> </w:t>
      </w:r>
      <w:r w:rsidRPr="00FC4063">
        <w:rPr>
          <w:rFonts w:ascii="Arial" w:hAnsi="Arial" w:cs="Arial"/>
          <w:sz w:val="22"/>
          <w:szCs w:val="22"/>
        </w:rPr>
        <w:t>je potrebné pripočítať ešte náklady</w:t>
      </w:r>
      <w:r w:rsidRPr="009157A6">
        <w:rPr>
          <w:rFonts w:ascii="Arial" w:hAnsi="Arial" w:cs="Arial"/>
          <w:sz w:val="22"/>
          <w:szCs w:val="22"/>
        </w:rPr>
        <w:t xml:space="preserve"> na zmeny v predajných systémoch všetkých dopravcov, </w:t>
      </w:r>
      <w:r w:rsidR="00A43A0C">
        <w:rPr>
          <w:rFonts w:ascii="Arial" w:hAnsi="Arial" w:cs="Arial"/>
          <w:sz w:val="22"/>
          <w:szCs w:val="22"/>
        </w:rPr>
        <w:t xml:space="preserve">preprogramovanie všetkých takmer 400 automatov na území Bratislavy, </w:t>
      </w:r>
      <w:r w:rsidRPr="009157A6">
        <w:rPr>
          <w:rFonts w:ascii="Arial" w:hAnsi="Arial" w:cs="Arial"/>
          <w:sz w:val="22"/>
          <w:szCs w:val="22"/>
        </w:rPr>
        <w:t>zmenu cenníkov, ako aj náklady na tlač nových</w:t>
      </w:r>
      <w:r w:rsidR="00492C58">
        <w:rPr>
          <w:rFonts w:ascii="Arial" w:hAnsi="Arial" w:cs="Arial"/>
          <w:sz w:val="22"/>
          <w:szCs w:val="22"/>
        </w:rPr>
        <w:t xml:space="preserve"> cestovných lístkov.</w:t>
      </w:r>
    </w:p>
    <w:p w:rsidR="00EA3643" w:rsidRDefault="00EA3643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157A6">
        <w:rPr>
          <w:rFonts w:ascii="Arial" w:hAnsi="Arial" w:cs="Arial"/>
          <w:sz w:val="22"/>
          <w:szCs w:val="22"/>
        </w:rPr>
        <w:t xml:space="preserve">V priebehu roka 2016 budú zavedené elektronické cestovné lístky, na ktoré bude poskytovaná zľava vo výške 10%. </w:t>
      </w:r>
      <w:r w:rsidR="00492C58">
        <w:rPr>
          <w:rFonts w:ascii="Arial" w:hAnsi="Arial" w:cs="Arial"/>
          <w:sz w:val="22"/>
          <w:szCs w:val="22"/>
        </w:rPr>
        <w:t>Táto zmena formy predaja cestovných lístkov</w:t>
      </w:r>
      <w:r w:rsidRPr="009157A6">
        <w:rPr>
          <w:rFonts w:ascii="Arial" w:hAnsi="Arial" w:cs="Arial"/>
          <w:sz w:val="22"/>
          <w:szCs w:val="22"/>
        </w:rPr>
        <w:t xml:space="preserve"> prinesie cestujúcim väčšiu zľavu, ktorá aj napriek tomu, že bude kompenzovaná nižšími nákladmi na predaj cestovného lístka</w:t>
      </w:r>
      <w:r w:rsidR="00D92630">
        <w:rPr>
          <w:rFonts w:ascii="Arial" w:hAnsi="Arial" w:cs="Arial"/>
          <w:sz w:val="22"/>
          <w:szCs w:val="22"/>
        </w:rPr>
        <w:t>,</w:t>
      </w:r>
      <w:r w:rsidRPr="009157A6">
        <w:rPr>
          <w:rFonts w:ascii="Arial" w:hAnsi="Arial" w:cs="Arial"/>
          <w:sz w:val="22"/>
          <w:szCs w:val="22"/>
        </w:rPr>
        <w:t xml:space="preserve"> vytvorí určitý tlak na rozpočt</w:t>
      </w:r>
      <w:r w:rsidR="00492C58">
        <w:rPr>
          <w:rFonts w:ascii="Arial" w:hAnsi="Arial" w:cs="Arial"/>
          <w:sz w:val="22"/>
          <w:szCs w:val="22"/>
        </w:rPr>
        <w:t>y</w:t>
      </w:r>
      <w:r w:rsidRPr="009157A6">
        <w:rPr>
          <w:rFonts w:ascii="Arial" w:hAnsi="Arial" w:cs="Arial"/>
          <w:sz w:val="22"/>
          <w:szCs w:val="22"/>
        </w:rPr>
        <w:t xml:space="preserve"> </w:t>
      </w:r>
      <w:r w:rsidR="00492C58">
        <w:rPr>
          <w:rFonts w:ascii="Arial" w:hAnsi="Arial" w:cs="Arial"/>
          <w:sz w:val="22"/>
          <w:szCs w:val="22"/>
        </w:rPr>
        <w:t xml:space="preserve">objednávateľov </w:t>
      </w:r>
      <w:r w:rsidRPr="009157A6">
        <w:rPr>
          <w:rFonts w:ascii="Arial" w:hAnsi="Arial" w:cs="Arial"/>
          <w:sz w:val="22"/>
          <w:szCs w:val="22"/>
        </w:rPr>
        <w:t>. Jej uplatnenie však bude plošné a cieľovo sa môže dotknú</w:t>
      </w:r>
      <w:r>
        <w:rPr>
          <w:rFonts w:ascii="Arial" w:hAnsi="Arial" w:cs="Arial"/>
          <w:sz w:val="22"/>
          <w:szCs w:val="22"/>
        </w:rPr>
        <w:t>ť až všetkých 22 % cestujúcich.</w:t>
      </w:r>
    </w:p>
    <w:p w:rsidR="00FC4063" w:rsidRDefault="00492C58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súčasnom období prebieha spracovanie dokumentu</w:t>
      </w:r>
      <w:r w:rsidR="00D92630">
        <w:rPr>
          <w:rFonts w:ascii="Arial" w:hAnsi="Arial" w:cs="Arial"/>
          <w:sz w:val="22"/>
          <w:szCs w:val="22"/>
        </w:rPr>
        <w:t xml:space="preserve">, predmetom ktorého bude analýza fungovania a ekonomiky IDS BK za obdobie od 1.11.2015 do 30.4.2016, t. j. polročná existencia plne tarifne Integrovaného dopravného systému v Bratislavskom kraji. </w:t>
      </w:r>
      <w:r w:rsidR="00FC4063">
        <w:rPr>
          <w:rFonts w:ascii="Arial" w:hAnsi="Arial" w:cs="Arial"/>
          <w:sz w:val="22"/>
          <w:szCs w:val="22"/>
        </w:rPr>
        <w:t>Ak to ekonomika IDS BK umožní a dôjde k zhode zúčastnených partnerov, navrhujeme tento zámer zaviesť do praxe.</w:t>
      </w:r>
    </w:p>
    <w:p w:rsidR="00FC4063" w:rsidRDefault="00FC4063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C4063" w:rsidRDefault="00FC4063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492C58" w:rsidRPr="00A43A0C" w:rsidRDefault="00FC4063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FC4063" w:rsidRDefault="00FC4063" w:rsidP="00FC4063">
      <w:pPr>
        <w:pStyle w:val="Nadpis4"/>
        <w:spacing w:after="120"/>
      </w:pPr>
    </w:p>
    <w:p w:rsidR="00A43A0C" w:rsidRDefault="00A43A0C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Na uvedenie tejto zmeny do praxe je v zmysle Dohody objednávateľov dopravy (Hlavné mesto SR Bratislava, Bratislavský samosprávny kraj a Ministerstvo dopravy, výstavby a regionálneho rozvoja SR) </w:t>
      </w:r>
      <w:r w:rsidR="00FC4063">
        <w:rPr>
          <w:rFonts w:ascii="Arial" w:hAnsi="Arial" w:cs="Arial"/>
          <w:sz w:val="22"/>
          <w:szCs w:val="22"/>
        </w:rPr>
        <w:t xml:space="preserve"> zo 6.11.2012 </w:t>
      </w:r>
      <w:r>
        <w:rPr>
          <w:rFonts w:ascii="Arial" w:hAnsi="Arial" w:cs="Arial"/>
          <w:sz w:val="22"/>
          <w:szCs w:val="22"/>
        </w:rPr>
        <w:t>potrebné, aby všetci partneri so zmenou súhlasili. Svoj súhlas dáva Hlavné mesto schválením obdobného uznesenia a podpisom spoločného Cenníka, MDVRR SR vyjadruje svoj súhlas písomným schválením Cenníka.</w:t>
      </w:r>
    </w:p>
    <w:p w:rsidR="00A43A0C" w:rsidRDefault="00A43A0C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EA3643" w:rsidRPr="009157A6" w:rsidRDefault="00EA3643" w:rsidP="00FC406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Minimálny čas potrebný na zmenu je 60 dní</w:t>
      </w:r>
      <w:r w:rsidR="00A330F9">
        <w:rPr>
          <w:rFonts w:ascii="Arial" w:hAnsi="Arial" w:cs="Arial"/>
          <w:sz w:val="22"/>
          <w:szCs w:val="22"/>
        </w:rPr>
        <w:t xml:space="preserve"> od dňa schválenia zmeny všetkými objednávateľmi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EA3643" w:rsidRPr="009157A6" w:rsidSect="00F1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 Cond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F0FAF"/>
    <w:multiLevelType w:val="hybridMultilevel"/>
    <w:tmpl w:val="6220E7D0"/>
    <w:lvl w:ilvl="0" w:tplc="4998CF04">
      <w:start w:val="15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C6026"/>
    <w:multiLevelType w:val="hybridMultilevel"/>
    <w:tmpl w:val="54303796"/>
    <w:lvl w:ilvl="0" w:tplc="06BEEE4E">
      <w:start w:val="1"/>
      <w:numFmt w:val="decimal"/>
      <w:pStyle w:val="Tabuka-sloanzov"/>
      <w:lvlText w:val="Tabuľka %1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6051A"/>
    <w:rsid w:val="000C3516"/>
    <w:rsid w:val="000F2F17"/>
    <w:rsid w:val="00165D42"/>
    <w:rsid w:val="001661EC"/>
    <w:rsid w:val="001A5DC3"/>
    <w:rsid w:val="001B56C6"/>
    <w:rsid w:val="00232519"/>
    <w:rsid w:val="00266A16"/>
    <w:rsid w:val="00286311"/>
    <w:rsid w:val="002E607C"/>
    <w:rsid w:val="00363DFD"/>
    <w:rsid w:val="00373B90"/>
    <w:rsid w:val="003C478A"/>
    <w:rsid w:val="003D5C86"/>
    <w:rsid w:val="003F2D65"/>
    <w:rsid w:val="00413C8F"/>
    <w:rsid w:val="00492C58"/>
    <w:rsid w:val="004A0A74"/>
    <w:rsid w:val="00537753"/>
    <w:rsid w:val="00546FF8"/>
    <w:rsid w:val="005A648D"/>
    <w:rsid w:val="00606F66"/>
    <w:rsid w:val="006130EE"/>
    <w:rsid w:val="00647CF9"/>
    <w:rsid w:val="00667DA5"/>
    <w:rsid w:val="00672A1D"/>
    <w:rsid w:val="006A19AA"/>
    <w:rsid w:val="006E125E"/>
    <w:rsid w:val="006F6BD0"/>
    <w:rsid w:val="006F704C"/>
    <w:rsid w:val="0072581A"/>
    <w:rsid w:val="00773802"/>
    <w:rsid w:val="00792960"/>
    <w:rsid w:val="00794044"/>
    <w:rsid w:val="00795503"/>
    <w:rsid w:val="00804A74"/>
    <w:rsid w:val="00826D24"/>
    <w:rsid w:val="0090475A"/>
    <w:rsid w:val="009157A6"/>
    <w:rsid w:val="009912A2"/>
    <w:rsid w:val="009A63E4"/>
    <w:rsid w:val="00A13572"/>
    <w:rsid w:val="00A330F9"/>
    <w:rsid w:val="00A43A0C"/>
    <w:rsid w:val="00A5261B"/>
    <w:rsid w:val="00AB28B7"/>
    <w:rsid w:val="00B05754"/>
    <w:rsid w:val="00B64417"/>
    <w:rsid w:val="00BF0C6D"/>
    <w:rsid w:val="00C02549"/>
    <w:rsid w:val="00C25928"/>
    <w:rsid w:val="00CD4A54"/>
    <w:rsid w:val="00D92630"/>
    <w:rsid w:val="00DA3D21"/>
    <w:rsid w:val="00DB02A6"/>
    <w:rsid w:val="00DD596D"/>
    <w:rsid w:val="00DF7A61"/>
    <w:rsid w:val="00EA3643"/>
    <w:rsid w:val="00EA6B34"/>
    <w:rsid w:val="00EC6829"/>
    <w:rsid w:val="00EF28D4"/>
    <w:rsid w:val="00F034F2"/>
    <w:rsid w:val="00F164AB"/>
    <w:rsid w:val="00F34A11"/>
    <w:rsid w:val="00F51083"/>
    <w:rsid w:val="00F709E9"/>
    <w:rsid w:val="00FB151B"/>
    <w:rsid w:val="00FB16E5"/>
    <w:rsid w:val="00F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563ED-E173-4199-8545-7D9DA3D4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157A6"/>
    <w:pPr>
      <w:spacing w:before="360" w:after="240" w:line="276" w:lineRule="auto"/>
      <w:jc w:val="both"/>
      <w:outlineLvl w:val="3"/>
    </w:pPr>
    <w:rPr>
      <w:rFonts w:ascii="Myriad Pro" w:eastAsia="Calibri" w:hAnsi="Myriad Pro" w:cs="Arial"/>
      <w:b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customStyle="1" w:styleId="Default">
    <w:name w:val="Default"/>
    <w:rsid w:val="00373B9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5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ZkladnText">
    <w:name w:val="F2-ZákladnýText"/>
    <w:basedOn w:val="Normlny"/>
    <w:link w:val="F2-ZkladnTextChar"/>
    <w:uiPriority w:val="99"/>
    <w:rsid w:val="00286311"/>
    <w:pPr>
      <w:jc w:val="both"/>
    </w:pPr>
    <w:rPr>
      <w:szCs w:val="20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286311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9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1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12A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2A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157A6"/>
    <w:rPr>
      <w:rFonts w:ascii="Myriad Pro" w:eastAsia="Calibri" w:hAnsi="Myriad Pro" w:cs="Arial"/>
      <w:b/>
      <w:sz w:val="24"/>
    </w:rPr>
  </w:style>
  <w:style w:type="paragraph" w:customStyle="1" w:styleId="Tabuka-hodnoty">
    <w:name w:val="Tabuľka - hodnoty"/>
    <w:basedOn w:val="Normlny"/>
    <w:rsid w:val="009157A6"/>
    <w:pPr>
      <w:widowControl w:val="0"/>
      <w:suppressLineNumbers/>
      <w:suppressAutoHyphens/>
      <w:jc w:val="center"/>
    </w:pPr>
    <w:rPr>
      <w:rFonts w:ascii="Myriad Pro Cond" w:eastAsia="Calibri" w:hAnsi="Myriad Pro Cond"/>
      <w:kern w:val="1"/>
    </w:rPr>
  </w:style>
  <w:style w:type="paragraph" w:customStyle="1" w:styleId="Tabuka-sloanzov">
    <w:name w:val="Tabuľka - číslo a názov"/>
    <w:basedOn w:val="Normlny"/>
    <w:qFormat/>
    <w:rsid w:val="009157A6"/>
    <w:pPr>
      <w:numPr>
        <w:numId w:val="4"/>
      </w:numPr>
      <w:spacing w:before="360" w:after="100"/>
      <w:jc w:val="both"/>
    </w:pPr>
    <w:rPr>
      <w:rFonts w:ascii="Myriad Pro" w:hAnsi="Myriad Pro"/>
      <w:szCs w:val="20"/>
    </w:rPr>
  </w:style>
  <w:style w:type="paragraph" w:customStyle="1" w:styleId="Tabuka-hlavika">
    <w:name w:val="Tabuľka - hlavička"/>
    <w:basedOn w:val="Tabuka-hodnoty"/>
    <w:qFormat/>
    <w:rsid w:val="009157A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Horcikova</cp:lastModifiedBy>
  <cp:revision>2</cp:revision>
  <cp:lastPrinted>2016-04-18T06:34:00Z</cp:lastPrinted>
  <dcterms:created xsi:type="dcterms:W3CDTF">2016-04-19T09:33:00Z</dcterms:created>
  <dcterms:modified xsi:type="dcterms:W3CDTF">2016-04-19T09:33:00Z</dcterms:modified>
</cp:coreProperties>
</file>