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5F" w:rsidRDefault="00752D5F" w:rsidP="00752D5F">
      <w:pPr>
        <w:ind w:left="6480" w:firstLine="72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752D5F" w:rsidRDefault="00752D5F" w:rsidP="00752D5F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Dňa 2. 12. 2016</w:t>
      </w: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  <w:b/>
          <w:color w:val="FF0000"/>
          <w:sz w:val="20"/>
          <w:szCs w:val="20"/>
        </w:rPr>
      </w:pPr>
    </w:p>
    <w:p w:rsidR="00752D5F" w:rsidRDefault="00752D5F" w:rsidP="00752D5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52D5F" w:rsidRDefault="00752D5F" w:rsidP="00752D5F">
      <w:pPr>
        <w:jc w:val="center"/>
        <w:rPr>
          <w:rFonts w:ascii="Arial" w:hAnsi="Arial" w:cs="Arial"/>
          <w:b/>
          <w:sz w:val="32"/>
          <w:szCs w:val="32"/>
        </w:rPr>
      </w:pPr>
    </w:p>
    <w:p w:rsidR="00752D5F" w:rsidRDefault="00752D5F" w:rsidP="00752D5F">
      <w:pPr>
        <w:jc w:val="center"/>
        <w:rPr>
          <w:sz w:val="22"/>
          <w:szCs w:val="22"/>
        </w:rPr>
      </w:pPr>
      <w:r>
        <w:rPr>
          <w:rFonts w:ascii="Arial" w:hAnsi="Arial" w:cs="Arial"/>
          <w:b/>
        </w:rPr>
        <w:t xml:space="preserve">o investičnom pláne – zásobníku projektov Regionálnych ciest Bratislava </w:t>
      </w:r>
      <w:proofErr w:type="spellStart"/>
      <w:r>
        <w:rPr>
          <w:rFonts w:ascii="Arial" w:hAnsi="Arial" w:cs="Arial"/>
          <w:b/>
        </w:rPr>
        <w:t>a.s</w:t>
      </w:r>
      <w:proofErr w:type="spellEnd"/>
      <w:r>
        <w:rPr>
          <w:rFonts w:ascii="Arial" w:hAnsi="Arial" w:cs="Arial"/>
          <w:b/>
        </w:rPr>
        <w:t>.</w:t>
      </w:r>
    </w:p>
    <w:p w:rsidR="00752D5F" w:rsidRDefault="00752D5F" w:rsidP="00752D5F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752D5F" w:rsidRDefault="00357FFE" w:rsidP="0075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</w:t>
      </w:r>
      <w:r w:rsidR="00752D5F">
        <w:rPr>
          <w:rFonts w:ascii="Arial" w:hAnsi="Arial" w:cs="Arial"/>
          <w:sz w:val="22"/>
          <w:szCs w:val="22"/>
        </w:rPr>
        <w:t xml:space="preserve"> Bratislavského</w:t>
      </w:r>
      <w:r w:rsidR="00752D5F">
        <w:rPr>
          <w:rFonts w:ascii="Arial" w:hAnsi="Arial" w:cs="Arial"/>
          <w:sz w:val="22"/>
          <w:szCs w:val="22"/>
        </w:rPr>
        <w:tab/>
      </w:r>
      <w:r w:rsidR="00752D5F">
        <w:rPr>
          <w:rFonts w:ascii="Arial" w:hAnsi="Arial" w:cs="Arial"/>
          <w:sz w:val="22"/>
          <w:szCs w:val="22"/>
        </w:rPr>
        <w:tab/>
      </w:r>
      <w:r w:rsidR="00752D5F">
        <w:rPr>
          <w:rFonts w:ascii="Arial" w:hAnsi="Arial" w:cs="Arial"/>
          <w:sz w:val="22"/>
          <w:szCs w:val="22"/>
        </w:rPr>
        <w:tab/>
      </w:r>
      <w:r w:rsidR="00752D5F">
        <w:rPr>
          <w:rFonts w:ascii="Arial" w:hAnsi="Arial" w:cs="Arial"/>
          <w:sz w:val="22"/>
          <w:szCs w:val="22"/>
        </w:rPr>
        <w:tab/>
      </w:r>
      <w:r w:rsidR="00752D5F">
        <w:rPr>
          <w:rFonts w:ascii="Arial" w:hAnsi="Arial" w:cs="Arial"/>
          <w:sz w:val="22"/>
          <w:szCs w:val="22"/>
        </w:rPr>
        <w:tab/>
        <w:t xml:space="preserve">2. </w:t>
      </w:r>
      <w:r w:rsidR="00B5083C">
        <w:rPr>
          <w:rFonts w:ascii="Arial" w:hAnsi="Arial" w:cs="Arial"/>
          <w:sz w:val="22"/>
          <w:szCs w:val="22"/>
        </w:rPr>
        <w:t>Informácia</w:t>
      </w:r>
    </w:p>
    <w:p w:rsidR="000D4693" w:rsidRDefault="00752D5F" w:rsidP="000D4693">
      <w:pPr>
        <w:ind w:left="576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</w:t>
      </w:r>
      <w:r w:rsidR="000D4693">
        <w:rPr>
          <w:rFonts w:ascii="Arial" w:hAnsi="Arial" w:cs="Arial"/>
          <w:sz w:val="22"/>
          <w:szCs w:val="22"/>
        </w:rPr>
        <w:t xml:space="preserve"> kraja</w:t>
      </w:r>
      <w:r>
        <w:rPr>
          <w:rFonts w:ascii="Arial" w:hAnsi="Arial" w:cs="Arial"/>
          <w:sz w:val="22"/>
          <w:szCs w:val="22"/>
        </w:rPr>
        <w:tab/>
      </w:r>
      <w:r w:rsidRPr="00492DB1">
        <w:rPr>
          <w:rFonts w:ascii="Arial" w:hAnsi="Arial" w:cs="Arial"/>
          <w:sz w:val="22"/>
          <w:szCs w:val="22"/>
        </w:rPr>
        <w:t xml:space="preserve">3. </w:t>
      </w:r>
      <w:r w:rsidR="000D4693">
        <w:rPr>
          <w:rFonts w:ascii="Arial" w:hAnsi="Arial" w:cs="Arial"/>
          <w:sz w:val="22"/>
          <w:szCs w:val="22"/>
        </w:rPr>
        <w:t>Príloha 1</w:t>
      </w:r>
    </w:p>
    <w:p w:rsidR="00752D5F" w:rsidRDefault="000D4693" w:rsidP="00752D5F">
      <w:pPr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4. Príloha 2</w:t>
      </w:r>
    </w:p>
    <w:p w:rsidR="000D4693" w:rsidRDefault="000D4693" w:rsidP="00752D5F">
      <w:pPr>
        <w:ind w:left="5664"/>
        <w:rPr>
          <w:rFonts w:ascii="Arial" w:hAnsi="Arial" w:cs="Arial"/>
          <w:sz w:val="22"/>
          <w:szCs w:val="22"/>
        </w:rPr>
      </w:pPr>
    </w:p>
    <w:p w:rsidR="000D4693" w:rsidRDefault="000D4693" w:rsidP="00752D5F">
      <w:pPr>
        <w:ind w:left="5664"/>
        <w:rPr>
          <w:rFonts w:ascii="Arial" w:hAnsi="Arial" w:cs="Arial"/>
          <w:sz w:val="22"/>
          <w:szCs w:val="22"/>
        </w:rPr>
      </w:pPr>
    </w:p>
    <w:p w:rsidR="000D4693" w:rsidRDefault="000D4693" w:rsidP="00752D5F">
      <w:pPr>
        <w:ind w:left="5664"/>
        <w:rPr>
          <w:rFonts w:ascii="Arial" w:hAnsi="Arial" w:cs="Arial"/>
          <w:sz w:val="22"/>
          <w:szCs w:val="22"/>
        </w:rPr>
      </w:pP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</w:p>
    <w:p w:rsidR="00752D5F" w:rsidRDefault="00752D5F" w:rsidP="00752D5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Ladislav Csáder</w:t>
      </w:r>
    </w:p>
    <w:p w:rsidR="00752D5F" w:rsidRPr="006E5C9D" w:rsidRDefault="00752D5F" w:rsidP="00752D5F">
      <w:pPr>
        <w:rPr>
          <w:rFonts w:ascii="Arial" w:hAnsi="Arial" w:cs="Arial"/>
          <w:sz w:val="22"/>
          <w:szCs w:val="22"/>
        </w:rPr>
      </w:pPr>
      <w:r w:rsidRPr="006E5C9D">
        <w:rPr>
          <w:rFonts w:ascii="Arial" w:hAnsi="Arial" w:cs="Arial"/>
          <w:sz w:val="22"/>
          <w:szCs w:val="22"/>
        </w:rPr>
        <w:t>riaditeľ odboru dopravy</w:t>
      </w:r>
    </w:p>
    <w:p w:rsidR="00752D5F" w:rsidRPr="006E5C9D" w:rsidRDefault="00752D5F" w:rsidP="00752D5F">
      <w:pPr>
        <w:rPr>
          <w:rFonts w:ascii="Arial" w:hAnsi="Arial" w:cs="Arial"/>
          <w:sz w:val="22"/>
          <w:szCs w:val="22"/>
        </w:rPr>
      </w:pP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</w:p>
    <w:p w:rsidR="000D4693" w:rsidRDefault="000D4693" w:rsidP="00752D5F">
      <w:pPr>
        <w:rPr>
          <w:rFonts w:ascii="Arial" w:hAnsi="Arial" w:cs="Arial"/>
          <w:sz w:val="22"/>
          <w:szCs w:val="22"/>
        </w:rPr>
      </w:pPr>
    </w:p>
    <w:p w:rsidR="000D4693" w:rsidRDefault="000D4693" w:rsidP="00752D5F">
      <w:pPr>
        <w:rPr>
          <w:rFonts w:ascii="Arial" w:hAnsi="Arial" w:cs="Arial"/>
          <w:sz w:val="22"/>
          <w:szCs w:val="22"/>
        </w:rPr>
      </w:pP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</w:p>
    <w:p w:rsidR="00752D5F" w:rsidRPr="00185899" w:rsidRDefault="00752D5F" w:rsidP="00752D5F">
      <w:pPr>
        <w:jc w:val="both"/>
        <w:rPr>
          <w:rFonts w:ascii="Arial" w:hAnsi="Arial" w:cs="Arial"/>
          <w:u w:val="single"/>
        </w:rPr>
      </w:pPr>
      <w:r w:rsidRPr="00185899">
        <w:rPr>
          <w:rFonts w:ascii="Arial" w:hAnsi="Arial" w:cs="Arial"/>
          <w:u w:val="single"/>
        </w:rPr>
        <w:t>Spracovateľ:</w:t>
      </w:r>
    </w:p>
    <w:p w:rsidR="00752D5F" w:rsidRPr="00185899" w:rsidRDefault="00752D5F" w:rsidP="00752D5F">
      <w:pPr>
        <w:jc w:val="both"/>
        <w:rPr>
          <w:rFonts w:ascii="Arial" w:hAnsi="Arial" w:cs="Arial"/>
        </w:rPr>
      </w:pP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Ladislav Csáder</w:t>
      </w:r>
    </w:p>
    <w:p w:rsidR="00752D5F" w:rsidRDefault="00752D5F" w:rsidP="0075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dopravy</w:t>
      </w:r>
    </w:p>
    <w:p w:rsidR="000D4693" w:rsidRDefault="000D4693">
      <w:pPr>
        <w:spacing w:after="160" w:line="259" w:lineRule="auto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br w:type="page"/>
      </w:r>
    </w:p>
    <w:p w:rsidR="00751D35" w:rsidRPr="00185899" w:rsidRDefault="00751D35" w:rsidP="00751D35">
      <w:pPr>
        <w:jc w:val="center"/>
        <w:rPr>
          <w:rFonts w:ascii="Arial" w:hAnsi="Arial" w:cs="Arial"/>
          <w:spacing w:val="70"/>
        </w:rPr>
      </w:pPr>
      <w:r w:rsidRPr="00185899">
        <w:rPr>
          <w:rFonts w:ascii="Arial" w:hAnsi="Arial" w:cs="Arial"/>
          <w:spacing w:val="70"/>
        </w:rPr>
        <w:lastRenderedPageBreak/>
        <w:t>Návrh uznesenia</w:t>
      </w:r>
    </w:p>
    <w:p w:rsidR="00751D35" w:rsidRPr="00185899" w:rsidRDefault="00751D35" w:rsidP="00751D35">
      <w:pPr>
        <w:jc w:val="center"/>
        <w:rPr>
          <w:rFonts w:ascii="Arial" w:hAnsi="Arial" w:cs="Arial"/>
        </w:rPr>
      </w:pPr>
    </w:p>
    <w:p w:rsidR="00751D35" w:rsidRPr="00185899" w:rsidRDefault="00751D35" w:rsidP="00751D35">
      <w:pPr>
        <w:jc w:val="center"/>
        <w:rPr>
          <w:rFonts w:ascii="Arial" w:hAnsi="Arial" w:cs="Arial"/>
        </w:rPr>
      </w:pPr>
    </w:p>
    <w:p w:rsidR="00751D35" w:rsidRPr="00185899" w:rsidRDefault="00751D35" w:rsidP="00751D35">
      <w:pPr>
        <w:jc w:val="center"/>
        <w:rPr>
          <w:rFonts w:ascii="Arial" w:hAnsi="Arial" w:cs="Arial"/>
          <w:b/>
        </w:rPr>
      </w:pPr>
      <w:r w:rsidRPr="00185899">
        <w:rPr>
          <w:rFonts w:ascii="Arial" w:hAnsi="Arial" w:cs="Arial"/>
          <w:b/>
        </w:rPr>
        <w:t>UZNESENIE č. ........... / 2016</w:t>
      </w:r>
    </w:p>
    <w:p w:rsidR="00D0741C" w:rsidRDefault="00D0741C" w:rsidP="00751D35">
      <w:pPr>
        <w:jc w:val="center"/>
        <w:rPr>
          <w:rFonts w:ascii="Arial" w:hAnsi="Arial" w:cs="Arial"/>
        </w:rPr>
      </w:pPr>
    </w:p>
    <w:p w:rsidR="00751D35" w:rsidRPr="00185899" w:rsidRDefault="002611F2" w:rsidP="00751D3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zo dňa  </w:t>
      </w:r>
      <w:r w:rsidR="00CF52C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="00CF52CD">
        <w:rPr>
          <w:rFonts w:ascii="Arial" w:hAnsi="Arial" w:cs="Arial"/>
        </w:rPr>
        <w:t>12</w:t>
      </w:r>
      <w:r>
        <w:rPr>
          <w:rFonts w:ascii="Arial" w:hAnsi="Arial" w:cs="Arial"/>
        </w:rPr>
        <w:t>. 2016</w:t>
      </w:r>
    </w:p>
    <w:p w:rsidR="00751D35" w:rsidRDefault="00751D35" w:rsidP="00751D35">
      <w:pPr>
        <w:jc w:val="center"/>
        <w:rPr>
          <w:rFonts w:ascii="Arial" w:hAnsi="Arial" w:cs="Arial"/>
        </w:rPr>
      </w:pPr>
    </w:p>
    <w:p w:rsidR="00751D35" w:rsidRDefault="00751D35" w:rsidP="00751D35">
      <w:pPr>
        <w:jc w:val="center"/>
        <w:rPr>
          <w:rFonts w:ascii="Arial" w:hAnsi="Arial" w:cs="Arial"/>
        </w:rPr>
      </w:pPr>
    </w:p>
    <w:p w:rsidR="00751D35" w:rsidRPr="00185899" w:rsidRDefault="00751D35" w:rsidP="00185899">
      <w:pPr>
        <w:jc w:val="center"/>
        <w:rPr>
          <w:rFonts w:ascii="Arial" w:hAnsi="Arial" w:cs="Arial"/>
        </w:rPr>
      </w:pPr>
    </w:p>
    <w:p w:rsidR="00751D35" w:rsidRPr="00185899" w:rsidRDefault="00751D35" w:rsidP="00185899">
      <w:pPr>
        <w:jc w:val="center"/>
        <w:rPr>
          <w:rFonts w:ascii="Arial" w:hAnsi="Arial" w:cs="Arial"/>
        </w:rPr>
      </w:pPr>
      <w:r w:rsidRPr="00185899">
        <w:rPr>
          <w:rFonts w:ascii="Arial" w:hAnsi="Arial" w:cs="Arial"/>
        </w:rPr>
        <w:t>Zastupiteľstvo Bratislavského samosprávneho kraja po prerokovaní materiálu</w:t>
      </w:r>
    </w:p>
    <w:p w:rsidR="00751D35" w:rsidRPr="00185899" w:rsidRDefault="00751D35" w:rsidP="00751D35">
      <w:pPr>
        <w:jc w:val="both"/>
        <w:rPr>
          <w:rFonts w:ascii="Arial" w:hAnsi="Arial" w:cs="Arial"/>
        </w:rPr>
      </w:pPr>
    </w:p>
    <w:p w:rsidR="00751D35" w:rsidRPr="00185899" w:rsidRDefault="00751D35" w:rsidP="00751D35">
      <w:pPr>
        <w:jc w:val="center"/>
        <w:rPr>
          <w:rFonts w:ascii="Arial" w:hAnsi="Arial" w:cs="Arial"/>
          <w:b/>
          <w:spacing w:val="70"/>
        </w:rPr>
      </w:pPr>
      <w:r w:rsidRPr="00185899">
        <w:rPr>
          <w:rFonts w:ascii="Arial" w:hAnsi="Arial" w:cs="Arial"/>
          <w:b/>
          <w:spacing w:val="70"/>
        </w:rPr>
        <w:t xml:space="preserve">berie na vedomie </w:t>
      </w:r>
    </w:p>
    <w:p w:rsidR="00751D35" w:rsidRDefault="00751D35" w:rsidP="0018589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F52CD" w:rsidRPr="00CF52CD" w:rsidRDefault="00751D35" w:rsidP="00CF52CD">
      <w:pPr>
        <w:jc w:val="center"/>
        <w:rPr>
          <w:sz w:val="22"/>
          <w:szCs w:val="22"/>
        </w:rPr>
      </w:pPr>
      <w:r w:rsidRPr="00185899">
        <w:rPr>
          <w:rFonts w:ascii="Arial" w:hAnsi="Arial" w:cs="Arial"/>
        </w:rPr>
        <w:t xml:space="preserve">informáciu </w:t>
      </w:r>
      <w:r w:rsidR="00CF52CD" w:rsidRPr="00CF52CD">
        <w:rPr>
          <w:rFonts w:ascii="Arial" w:hAnsi="Arial" w:cs="Arial"/>
        </w:rPr>
        <w:t xml:space="preserve">o investičnom pláne – zásobníku projektov Regionálnych ciest Bratislava </w:t>
      </w:r>
      <w:proofErr w:type="spellStart"/>
      <w:r w:rsidR="00CF52CD">
        <w:rPr>
          <w:rFonts w:ascii="Arial" w:hAnsi="Arial" w:cs="Arial"/>
        </w:rPr>
        <w:t>a.s</w:t>
      </w:r>
      <w:proofErr w:type="spellEnd"/>
      <w:r w:rsidR="00CF52CD">
        <w:rPr>
          <w:rFonts w:ascii="Arial" w:hAnsi="Arial" w:cs="Arial"/>
        </w:rPr>
        <w:t>.</w:t>
      </w:r>
    </w:p>
    <w:p w:rsidR="00751D35" w:rsidRPr="00185899" w:rsidRDefault="00751D35" w:rsidP="00185899">
      <w:pPr>
        <w:spacing w:line="276" w:lineRule="auto"/>
        <w:jc w:val="both"/>
      </w:pPr>
      <w:r w:rsidRPr="00185899">
        <w:rPr>
          <w:rFonts w:ascii="Arial" w:hAnsi="Arial" w:cs="Arial"/>
        </w:rPr>
        <w:t> </w:t>
      </w:r>
    </w:p>
    <w:p w:rsidR="00751D35" w:rsidRPr="00314C18" w:rsidRDefault="00751D35" w:rsidP="00751D35">
      <w:p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5083C" w:rsidRDefault="00B5083C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5083C" w:rsidRDefault="00B5083C" w:rsidP="00B5083C">
      <w:pPr>
        <w:jc w:val="center"/>
        <w:rPr>
          <w:rFonts w:ascii="Arial" w:hAnsi="Arial" w:cs="Arial"/>
          <w:b/>
        </w:rPr>
      </w:pPr>
      <w:r w:rsidRPr="00B5083C">
        <w:rPr>
          <w:rFonts w:ascii="Arial" w:hAnsi="Arial" w:cs="Arial"/>
          <w:b/>
        </w:rPr>
        <w:lastRenderedPageBreak/>
        <w:t>Informácia</w:t>
      </w:r>
    </w:p>
    <w:p w:rsidR="00B5083C" w:rsidRDefault="00B5083C" w:rsidP="00B5083C">
      <w:pPr>
        <w:jc w:val="center"/>
        <w:rPr>
          <w:sz w:val="22"/>
          <w:szCs w:val="22"/>
        </w:rPr>
      </w:pPr>
      <w:r>
        <w:rPr>
          <w:rFonts w:ascii="Arial" w:hAnsi="Arial" w:cs="Arial"/>
          <w:b/>
        </w:rPr>
        <w:t xml:space="preserve">o investičnom pláne – zásobníku projektov Regionálnych ciest Bratislava </w:t>
      </w:r>
      <w:proofErr w:type="spellStart"/>
      <w:r>
        <w:rPr>
          <w:rFonts w:ascii="Arial" w:hAnsi="Arial" w:cs="Arial"/>
          <w:b/>
        </w:rPr>
        <w:t>a.s</w:t>
      </w:r>
      <w:proofErr w:type="spellEnd"/>
      <w:r>
        <w:rPr>
          <w:rFonts w:ascii="Arial" w:hAnsi="Arial" w:cs="Arial"/>
          <w:b/>
        </w:rPr>
        <w:t>.</w:t>
      </w:r>
    </w:p>
    <w:p w:rsidR="00751D35" w:rsidRDefault="00751D35" w:rsidP="00751D35">
      <w:pPr>
        <w:rPr>
          <w:rFonts w:ascii="Arial" w:hAnsi="Arial" w:cs="Arial"/>
          <w:b/>
        </w:rPr>
      </w:pPr>
    </w:p>
    <w:p w:rsidR="00A90AF2" w:rsidRPr="00A90AF2" w:rsidRDefault="00CF52CD" w:rsidP="00B50A4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Zastupiteľstvo Bratislavského samosprávneho kraja svojim uznesením č 17/2016 zo dňa 19.2.2016 uložilo v bode B.5 riaditeľovi úradu Bratislavského samosprávneho kraja </w:t>
      </w:r>
      <w:r w:rsidR="00A90AF2" w:rsidRPr="00414098">
        <w:rPr>
          <w:rFonts w:ascii="Arial" w:hAnsi="Arial" w:cs="Arial"/>
        </w:rPr>
        <w:t>predkladať</w:t>
      </w:r>
      <w:r w:rsidR="00A90AF2" w:rsidRPr="001131C6">
        <w:rPr>
          <w:rFonts w:ascii="Arial" w:hAnsi="Arial" w:cs="Arial"/>
          <w:sz w:val="22"/>
          <w:szCs w:val="22"/>
        </w:rPr>
        <w:t xml:space="preserve">, </w:t>
      </w:r>
      <w:r w:rsidR="00A90AF2" w:rsidRPr="00A90AF2">
        <w:rPr>
          <w:rFonts w:ascii="Arial" w:hAnsi="Arial" w:cs="Arial"/>
        </w:rPr>
        <w:t xml:space="preserve">v rámci samostatného materiálu Zastupiteľstva Bratislavského samosprávneho kraja, investičný plán Regionálnych ciest Bratislava </w:t>
      </w:r>
      <w:proofErr w:type="spellStart"/>
      <w:r w:rsidR="00A90AF2" w:rsidRPr="00A90AF2">
        <w:rPr>
          <w:rFonts w:ascii="Arial" w:hAnsi="Arial" w:cs="Arial"/>
        </w:rPr>
        <w:t>a.s</w:t>
      </w:r>
      <w:proofErr w:type="spellEnd"/>
      <w:r w:rsidR="00A90AF2" w:rsidRPr="00A90AF2">
        <w:rPr>
          <w:rFonts w:ascii="Arial" w:hAnsi="Arial" w:cs="Arial"/>
        </w:rPr>
        <w:t>. pravidelne raz za rok, najneskôr v termíne predloženia Návrhu rozpočtu Bratislavského samosprávneho kraja zostaveného v zmysle ustanovení zákona č. 523/2004 Z. z. o rozpočtových pravidlách verejnej správy a o zmene a doplnení niektorých zákonov v znení neskorších predpisov a zákona č. 583/2004 Z. z. o rozpočtových pravidlách územnej samosprávy a o zmene a doplnení niektorých zákonov v znení neskorších predpisov.</w:t>
      </w:r>
    </w:p>
    <w:p w:rsidR="00A90AF2" w:rsidRPr="00A90AF2" w:rsidRDefault="00A90AF2" w:rsidP="00B50A43">
      <w:pPr>
        <w:spacing w:line="276" w:lineRule="auto"/>
        <w:outlineLvl w:val="0"/>
        <w:rPr>
          <w:rFonts w:ascii="Arial" w:hAnsi="Arial" w:cs="Arial"/>
        </w:rPr>
      </w:pPr>
    </w:p>
    <w:p w:rsidR="00EA4929" w:rsidRDefault="00A90AF2" w:rsidP="00B50A4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Regionálne cesty Bratislava </w:t>
      </w:r>
      <w:proofErr w:type="spellStart"/>
      <w:r>
        <w:rPr>
          <w:rFonts w:ascii="Arial" w:hAnsi="Arial" w:cs="Arial"/>
        </w:rPr>
        <w:t>a.s</w:t>
      </w:r>
      <w:proofErr w:type="spellEnd"/>
      <w:r>
        <w:rPr>
          <w:rFonts w:ascii="Arial" w:hAnsi="Arial" w:cs="Arial"/>
        </w:rPr>
        <w:t xml:space="preserve">. v zmysle Zmluvy o výkone správy majetku a o údržbe </w:t>
      </w:r>
      <w:r w:rsidR="00443565">
        <w:rPr>
          <w:rFonts w:ascii="Arial" w:hAnsi="Arial" w:cs="Arial"/>
        </w:rPr>
        <w:t>a</w:t>
      </w:r>
      <w:r w:rsidR="00EA4929">
        <w:rPr>
          <w:rFonts w:ascii="Arial" w:hAnsi="Arial" w:cs="Arial"/>
        </w:rPr>
        <w:t> </w:t>
      </w:r>
      <w:r w:rsidR="00443565">
        <w:rPr>
          <w:rFonts w:ascii="Arial" w:hAnsi="Arial" w:cs="Arial"/>
        </w:rPr>
        <w:t>rekonštrukcii</w:t>
      </w:r>
      <w:r w:rsidR="00EA4929">
        <w:rPr>
          <w:rFonts w:ascii="Arial" w:hAnsi="Arial" w:cs="Arial"/>
        </w:rPr>
        <w:t xml:space="preserve"> </w:t>
      </w:r>
      <w:r w:rsidR="00443565">
        <w:rPr>
          <w:rFonts w:ascii="Arial" w:hAnsi="Arial" w:cs="Arial"/>
        </w:rPr>
        <w:t xml:space="preserve">ciest II. a III. triedy, uzatvorenej medzi Regionálnymi cestami Bratislava </w:t>
      </w:r>
      <w:proofErr w:type="spellStart"/>
      <w:r w:rsidR="00443565">
        <w:rPr>
          <w:rFonts w:ascii="Arial" w:hAnsi="Arial" w:cs="Arial"/>
        </w:rPr>
        <w:t>a.s</w:t>
      </w:r>
      <w:proofErr w:type="spellEnd"/>
      <w:r w:rsidR="00443565">
        <w:rPr>
          <w:rFonts w:ascii="Arial" w:hAnsi="Arial" w:cs="Arial"/>
        </w:rPr>
        <w:t>. a Bratislavským samosprávnym krajom dňa 2.1.2009, vykonávajú pre Bratislavský samosprávny kraj, mimo iné,</w:t>
      </w:r>
      <w:r w:rsidR="00EA4929">
        <w:rPr>
          <w:rFonts w:ascii="Arial" w:hAnsi="Arial" w:cs="Arial"/>
        </w:rPr>
        <w:t xml:space="preserve"> rekonštrukciu ciest II.</w:t>
      </w:r>
      <w:r w:rsidR="00B5083C">
        <w:rPr>
          <w:rFonts w:ascii="Arial" w:hAnsi="Arial" w:cs="Arial"/>
        </w:rPr>
        <w:t xml:space="preserve"> a</w:t>
      </w:r>
      <w:r w:rsidR="00EA4929">
        <w:rPr>
          <w:rFonts w:ascii="Arial" w:hAnsi="Arial" w:cs="Arial"/>
        </w:rPr>
        <w:t xml:space="preserve"> III. triedy, mostov a ostatných objektov a súčastí na cestách II. a III. triedy, ktoré sú vo vlastníctve objednávateľa.</w:t>
      </w:r>
    </w:p>
    <w:p w:rsidR="00EA4929" w:rsidRDefault="00EA4929" w:rsidP="00B50A43">
      <w:pPr>
        <w:spacing w:line="276" w:lineRule="auto"/>
        <w:jc w:val="both"/>
        <w:rPr>
          <w:rFonts w:ascii="Arial" w:hAnsi="Arial" w:cs="Arial"/>
        </w:rPr>
      </w:pPr>
    </w:p>
    <w:p w:rsidR="00EA4929" w:rsidRDefault="00EA4929" w:rsidP="00B50A4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Investičný plán – zásobník projektov </w:t>
      </w:r>
      <w:r w:rsidR="00F66CC3">
        <w:rPr>
          <w:rFonts w:ascii="Arial" w:hAnsi="Arial" w:cs="Arial"/>
        </w:rPr>
        <w:t xml:space="preserve">(príloha 1) </w:t>
      </w:r>
      <w:r>
        <w:rPr>
          <w:rFonts w:ascii="Arial" w:hAnsi="Arial" w:cs="Arial"/>
        </w:rPr>
        <w:t xml:space="preserve">zostavujú Regionálne cesty </w:t>
      </w:r>
      <w:proofErr w:type="spellStart"/>
      <w:r>
        <w:rPr>
          <w:rFonts w:ascii="Arial" w:hAnsi="Arial" w:cs="Arial"/>
        </w:rPr>
        <w:t>a.s</w:t>
      </w:r>
      <w:proofErr w:type="spellEnd"/>
      <w:r>
        <w:rPr>
          <w:rFonts w:ascii="Arial" w:hAnsi="Arial" w:cs="Arial"/>
        </w:rPr>
        <w:t>. na základe vyhodnocovania stavebno-technického stavu ciest II. a III. triedy, mostov a objektov a ostatných súčastí  týchto ciest. Pritom sa zohľadňuje doprav</w:t>
      </w:r>
      <w:r w:rsidR="00154412">
        <w:rPr>
          <w:rFonts w:ascii="Arial" w:hAnsi="Arial" w:cs="Arial"/>
        </w:rPr>
        <w:t xml:space="preserve">ný </w:t>
      </w:r>
      <w:r>
        <w:rPr>
          <w:rFonts w:ascii="Arial" w:hAnsi="Arial" w:cs="Arial"/>
        </w:rPr>
        <w:t>význam príslušného úseku cesty</w:t>
      </w:r>
      <w:r w:rsidR="00154412">
        <w:rPr>
          <w:rFonts w:ascii="Arial" w:hAnsi="Arial" w:cs="Arial"/>
        </w:rPr>
        <w:t xml:space="preserve"> alebo objektu, ako aj objem prostriedkov pridelených rozpočtom Bratislavského samosprávneho kraja. Nakoľko limitujúcim prvkom začati</w:t>
      </w:r>
      <w:r w:rsidR="00B5083C">
        <w:rPr>
          <w:rFonts w:ascii="Arial" w:hAnsi="Arial" w:cs="Arial"/>
        </w:rPr>
        <w:t>a</w:t>
      </w:r>
      <w:r w:rsidR="00154412">
        <w:rPr>
          <w:rFonts w:ascii="Arial" w:hAnsi="Arial" w:cs="Arial"/>
        </w:rPr>
        <w:t xml:space="preserve"> realizácie väčšiny zaradených projektov je inžinierska príprava a získanie príslušných povolení, často závislých na majetkovo-právnom vysporiadaní</w:t>
      </w:r>
      <w:bookmarkStart w:id="0" w:name="_GoBack"/>
      <w:bookmarkEnd w:id="0"/>
      <w:r w:rsidR="00B5083C">
        <w:rPr>
          <w:rFonts w:ascii="Arial" w:hAnsi="Arial" w:cs="Arial"/>
        </w:rPr>
        <w:t xml:space="preserve"> a proces verejného obstarania,</w:t>
      </w:r>
      <w:r w:rsidR="00154412">
        <w:rPr>
          <w:rFonts w:ascii="Arial" w:hAnsi="Arial" w:cs="Arial"/>
        </w:rPr>
        <w:t xml:space="preserve"> zaraďuje sa do plánu objem projektov vo väčšom rozsahu, akým je očakávaný objem disponibilných finančných prostriedkov. Dôvodom je možnosť realizácie tých projektov u ktorých sa ukončila inžinierska príprava na úkor projektov u ktorých získanie príslušných povolení vyžaduje dlhší časový úsek, ako sa predpokladalo</w:t>
      </w:r>
      <w:r w:rsidR="00CA2937">
        <w:rPr>
          <w:rFonts w:ascii="Arial" w:hAnsi="Arial" w:cs="Arial"/>
        </w:rPr>
        <w:t xml:space="preserve">. Samozrejme v prípade </w:t>
      </w:r>
      <w:r w:rsidR="007C3079">
        <w:rPr>
          <w:rFonts w:ascii="Arial" w:hAnsi="Arial" w:cs="Arial"/>
        </w:rPr>
        <w:t xml:space="preserve">potreby riešenia </w:t>
      </w:r>
      <w:r w:rsidR="00CA2937">
        <w:rPr>
          <w:rFonts w:ascii="Arial" w:hAnsi="Arial" w:cs="Arial"/>
        </w:rPr>
        <w:t>nepredvídate</w:t>
      </w:r>
      <w:r w:rsidR="007C3079">
        <w:rPr>
          <w:rFonts w:ascii="Arial" w:hAnsi="Arial" w:cs="Arial"/>
        </w:rPr>
        <w:t>ľných havarijných stavov, tieto sa prednostne zaraďujú do investičného plánu na úkor projektov už zaradených.</w:t>
      </w:r>
    </w:p>
    <w:p w:rsidR="00F66CC3" w:rsidRDefault="00F66CC3" w:rsidP="00B50A43">
      <w:pPr>
        <w:spacing w:line="276" w:lineRule="auto"/>
        <w:jc w:val="both"/>
        <w:rPr>
          <w:rFonts w:ascii="Arial" w:hAnsi="Arial" w:cs="Arial"/>
        </w:rPr>
      </w:pPr>
    </w:p>
    <w:p w:rsidR="00492DB1" w:rsidRDefault="00F66CC3" w:rsidP="00B5083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Pre rok 2017 predpokladá návrh rozpočtu BSK kapitálové výdavky v programe 6 Komunikácie vo výške 6,0 mil. €. V tejto výške je zostavený aj investičný plán pre rok 2017 (príloha 2). Kritériami pre zaradenie projektov do plánu sú nevyhovujúci stavebno-technický stav, odstránenie kolíznych bodov a zvýšenie bezpečnosti premávky, zvýšenie plynulosti dopravy, ako aj budovanie nových prepojení, či zvýšenie kapacity jestvujúcich komunikácii. Z toho vyplýva aj stupeň nevyhnutnosti uskutočnenia zaradených projektov v zmysle uvedených kritérií.</w:t>
      </w:r>
      <w:r w:rsidR="00492DB1">
        <w:rPr>
          <w:rFonts w:ascii="Arial" w:hAnsi="Arial" w:cs="Arial"/>
        </w:rPr>
        <w:br w:type="page"/>
      </w:r>
    </w:p>
    <w:p w:rsidR="000D4693" w:rsidRDefault="000D4693" w:rsidP="000D4693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Príloha 1</w:t>
      </w:r>
    </w:p>
    <w:p w:rsidR="00414098" w:rsidRPr="00414098" w:rsidRDefault="00414098" w:rsidP="00414098">
      <w:pPr>
        <w:jc w:val="center"/>
        <w:rPr>
          <w:rFonts w:ascii="Arial" w:hAnsi="Arial" w:cs="Arial"/>
          <w:b/>
          <w:sz w:val="22"/>
          <w:szCs w:val="22"/>
        </w:rPr>
      </w:pPr>
      <w:r w:rsidRPr="00414098">
        <w:rPr>
          <w:rFonts w:ascii="Arial" w:hAnsi="Arial" w:cs="Arial"/>
          <w:b/>
          <w:sz w:val="22"/>
          <w:szCs w:val="22"/>
        </w:rPr>
        <w:t>Investičný plán - zásobník projektov rekonštrukcií ciest II. a III. triedy RCB na rok 2017</w:t>
      </w: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170"/>
        <w:gridCol w:w="851"/>
        <w:gridCol w:w="1843"/>
        <w:gridCol w:w="1417"/>
        <w:gridCol w:w="2835"/>
      </w:tblGrid>
      <w:tr w:rsidR="00414098" w:rsidRPr="0049184F" w:rsidTr="00C70E7A">
        <w:trPr>
          <w:trHeight w:val="886"/>
        </w:trPr>
        <w:tc>
          <w:tcPr>
            <w:tcW w:w="680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Miestopis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Výmera                            (v m2)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Predpoklad. náklad                          bez DPH   /   Eur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Predpoklad. náklad                     s DPH   /    Eur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Popis prác </w:t>
            </w:r>
          </w:p>
        </w:tc>
      </w:tr>
      <w:tr w:rsidR="00414098" w:rsidRPr="007B5D53" w:rsidTr="00C70E7A">
        <w:trPr>
          <w:trHeight w:val="813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mosta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ev.č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. II/503-004 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Kráľová pri Senci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166 700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200 000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mostného zvršku,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vozovkovej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časti, odvodnenie, hydroizolácia</w:t>
            </w:r>
          </w:p>
        </w:tc>
      </w:tr>
      <w:tr w:rsidR="00414098" w:rsidRPr="007B5D53" w:rsidTr="00C70E7A">
        <w:trPr>
          <w:trHeight w:val="995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Revitalizácia cestného telesa II/572 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Most pri Bratislave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1 666 700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2 000 000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odfrézovanie, zrezanie krajníc, prehĺbenie priekop,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orez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krovín,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sanovanie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priepustov, recyklácia cestného telesa, nové vrstvy vozovky,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7B5D53" w:rsidTr="00C70E7A">
        <w:trPr>
          <w:trHeight w:val="785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Oprava mostov a priepustov na ceste II/501</w:t>
            </w:r>
            <w:r>
              <w:rPr>
                <w:rFonts w:ascii="Arial" w:hAnsi="Arial" w:cs="Arial"/>
                <w:sz w:val="18"/>
                <w:szCs w:val="18"/>
              </w:rPr>
              <w:t xml:space="preserve"> (18+35)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166 700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200 000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sanácia mostov a priepustov na ceste II/501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Lozorno – Plavecký Mikuláš</w:t>
            </w:r>
          </w:p>
        </w:tc>
      </w:tr>
      <w:tr w:rsidR="00414098" w:rsidRPr="007B5D53" w:rsidTr="00C70E7A">
        <w:trPr>
          <w:trHeight w:val="757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Okružná križovatka ciest III/1062 s III/1065 Nová Dedinka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166 700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200 000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realizácia okružnej križovatky</w:t>
            </w:r>
          </w:p>
        </w:tc>
      </w:tr>
      <w:tr w:rsidR="00414098" w:rsidRPr="007B5D53" w:rsidTr="00C70E7A">
        <w:trPr>
          <w:trHeight w:val="997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Triblavina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(privádzače) na diaľnicu D1               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2 500 000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 3 000 000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realizácia napojenia na cesty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smer Čierna voda a Bernolákovo (iba čiastočný náklad pre práce realizované v roku 2017)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Rekonštrukcia cesty III/1082,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križ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. s III/1083 – hranica BA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(Slovenský Grob – Vajnory)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km 0,000 – 6,400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48 000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1 920 000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2 304 000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zosilnenie krajov vozovky, frézovanie, vyrovnanie podkladu, živičný postrek,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cesty II/503,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križ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. s D2 –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križ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>. s I/2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Malacky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km 66,500 – 69,300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22 400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672 000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806 400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zosilnenie krajov vozovky, frézovanie, zhutnenie a vyrovnanie podkladu, živičný postrek,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cesty III/1015,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hranica BA – koniec zástavby Marianka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km 1,040 – 3,000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12 000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360 000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432 000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frézovanie, vyrovnanie podkladu,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cesty III/1062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prieťah Tomášov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km 10,000 – 12,600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18 200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546 000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655 200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frézovanie, vyrovnanie podkladu,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Rekonštrukcia mosta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ev.č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>. 503-022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cez potok Malina - Malacky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800 000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960 000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PD + realizácia (kompletná výmena mostnej konštrukcie)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Revitalizácia cestného telesa III/1053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Miloslavov</w:t>
            </w:r>
            <w:r w:rsidRPr="0049184F">
              <w:rPr>
                <w:rFonts w:ascii="Arial" w:hAnsi="Arial" w:cs="Arial"/>
                <w:sz w:val="18"/>
                <w:szCs w:val="18"/>
              </w:rPr>
              <w:t xml:space="preserve"> (križovatka s I</w:t>
            </w:r>
            <w:r>
              <w:rPr>
                <w:rFonts w:ascii="Arial" w:hAnsi="Arial" w:cs="Arial"/>
                <w:sz w:val="18"/>
                <w:szCs w:val="18"/>
              </w:rPr>
              <w:t>II</w:t>
            </w:r>
            <w:r w:rsidRPr="0049184F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1054</w:t>
            </w:r>
            <w:r w:rsidRPr="0049184F">
              <w:rPr>
                <w:rFonts w:ascii="Arial" w:hAnsi="Arial" w:cs="Arial"/>
                <w:sz w:val="18"/>
                <w:szCs w:val="18"/>
              </w:rPr>
              <w:t>) – Tomášov – Studené (križovatka s II/572)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km 0,000 – 5,600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514 200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zosilnenie krajov vozovky, frézovanie, zhutnenie a vyrovnanie podkladu, živičný postrek,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495EC2" w:rsidTr="00C70E7A">
        <w:trPr>
          <w:trHeight w:val="597"/>
        </w:trPr>
        <w:tc>
          <w:tcPr>
            <w:tcW w:w="2850" w:type="dxa"/>
            <w:gridSpan w:val="2"/>
            <w:shd w:val="clear" w:color="auto" w:fill="D9D9D9" w:themeFill="background1" w:themeFillShade="D9"/>
            <w:vAlign w:val="bottom"/>
          </w:tcPr>
          <w:p w:rsidR="00414098" w:rsidRPr="0049184F" w:rsidRDefault="00414098" w:rsidP="00C70E7A">
            <w:pPr>
              <w:rPr>
                <w:rFonts w:ascii="Arial" w:hAnsi="Arial" w:cs="Arial"/>
                <w:b/>
              </w:rPr>
            </w:pPr>
            <w:r w:rsidRPr="0049184F">
              <w:rPr>
                <w:rFonts w:ascii="Arial" w:hAnsi="Arial" w:cs="Arial"/>
                <w:b/>
              </w:rPr>
              <w:t>Spolu rok 2017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D9D9D9" w:themeFill="background1" w:themeFillShade="D9"/>
            <w:noWrap/>
            <w:vAlign w:val="bottom"/>
          </w:tcPr>
          <w:p w:rsidR="00414098" w:rsidRPr="0049184F" w:rsidRDefault="00414098" w:rsidP="00C70E7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nil"/>
            </w:tcBorders>
            <w:shd w:val="clear" w:color="auto" w:fill="D9D9D9" w:themeFill="background1" w:themeFillShade="D9"/>
            <w:noWrap/>
            <w:vAlign w:val="bottom"/>
          </w:tcPr>
          <w:p w:rsidR="00414098" w:rsidRPr="0049184F" w:rsidRDefault="00414098" w:rsidP="00C70E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9 479 000</w:t>
            </w:r>
            <w:r w:rsidRPr="0049184F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  <w:noWrap/>
            <w:vAlign w:val="bottom"/>
          </w:tcPr>
          <w:p w:rsidR="00414098" w:rsidRPr="0049184F" w:rsidRDefault="00414098" w:rsidP="00C70E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11 374 760</w:t>
            </w:r>
          </w:p>
        </w:tc>
      </w:tr>
    </w:tbl>
    <w:p w:rsidR="00CF52CD" w:rsidRDefault="00414098" w:rsidP="0041409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Príloha 2</w:t>
      </w:r>
    </w:p>
    <w:p w:rsidR="00414098" w:rsidRPr="00414098" w:rsidRDefault="00414098" w:rsidP="00414098">
      <w:pPr>
        <w:jc w:val="center"/>
        <w:rPr>
          <w:rFonts w:ascii="Arial" w:hAnsi="Arial" w:cs="Arial"/>
          <w:b/>
          <w:sz w:val="22"/>
          <w:szCs w:val="22"/>
        </w:rPr>
      </w:pPr>
      <w:r w:rsidRPr="00414098">
        <w:rPr>
          <w:rFonts w:ascii="Arial" w:hAnsi="Arial" w:cs="Arial"/>
          <w:b/>
          <w:sz w:val="22"/>
          <w:szCs w:val="22"/>
        </w:rPr>
        <w:t>Investičný plán rekonštrukcií ciest II. a III. triedy RCB na rok 2017</w:t>
      </w: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170"/>
        <w:gridCol w:w="851"/>
        <w:gridCol w:w="1843"/>
        <w:gridCol w:w="1417"/>
        <w:gridCol w:w="2835"/>
      </w:tblGrid>
      <w:tr w:rsidR="00414098" w:rsidRPr="0049184F" w:rsidTr="00C70E7A">
        <w:trPr>
          <w:trHeight w:val="886"/>
        </w:trPr>
        <w:tc>
          <w:tcPr>
            <w:tcW w:w="680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Miestopis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Výmera                            (v m2)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Predpoklad. náklad                          bez DPH   /   Eur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>Predpoklad. náklad                     s DPH   /    Eur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8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Popis prác </w:t>
            </w:r>
          </w:p>
        </w:tc>
      </w:tr>
      <w:tr w:rsidR="00414098" w:rsidRPr="007B5D53" w:rsidTr="00C70E7A">
        <w:trPr>
          <w:trHeight w:val="813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mosta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ev.č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. II/503-004 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Kráľová pri Senci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166 700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200 000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mostného zvršku,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vozovkovej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časti, odvodnenie, hydroizolácia</w:t>
            </w:r>
          </w:p>
        </w:tc>
      </w:tr>
      <w:tr w:rsidR="00414098" w:rsidRPr="007B5D53" w:rsidTr="00C70E7A">
        <w:trPr>
          <w:trHeight w:val="785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Oprava mostov a priepustov na ceste II/501</w:t>
            </w:r>
            <w:r>
              <w:rPr>
                <w:rFonts w:ascii="Arial" w:hAnsi="Arial" w:cs="Arial"/>
                <w:sz w:val="18"/>
                <w:szCs w:val="18"/>
              </w:rPr>
              <w:t xml:space="preserve"> (18+35)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166 700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200 000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sanácia mostov a priepustov na ceste II/501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Lozorno – Plavecký Mikuláš</w:t>
            </w:r>
          </w:p>
        </w:tc>
      </w:tr>
      <w:tr w:rsidR="00414098" w:rsidRPr="007B5D53" w:rsidTr="00C70E7A">
        <w:trPr>
          <w:trHeight w:val="757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Okružná križovatka ciest III/1062 s III/1065 Nová Dedinka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166 700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200 000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realizácia okružnej križovatky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Rekonštrukcia cesty III/1082,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križ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. s III/1083 – hranica BA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(Slovenský Grob – Vajnory)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km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9184F">
              <w:rPr>
                <w:rFonts w:ascii="Arial" w:hAnsi="Arial" w:cs="Arial"/>
                <w:sz w:val="18"/>
                <w:szCs w:val="18"/>
              </w:rPr>
              <w:t>,000 – 6,400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49184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49184F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1</w:t>
            </w:r>
            <w:r>
              <w:rPr>
                <w:rFonts w:ascii="Arial" w:hAnsi="Arial" w:cs="Arial"/>
                <w:sz w:val="18"/>
                <w:szCs w:val="18"/>
              </w:rPr>
              <w:t> 607 7</w:t>
            </w:r>
            <w:r w:rsidRPr="0049184F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1 929 300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zosilnenie krajov vozovky, frézovanie, vyrovnanie podkladu, živičný postrek,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cesty II/503,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križ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. s D2 –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križ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>. s I/2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Malacky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km 66,500 – 69,300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22 400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672 000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806 400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zosilnenie krajov vozovky, frézovanie, zhutnenie a vyrovnanie podkladu, živičný postrek,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cesty III/1015,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hranica BA – koniec zástavby Marianka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km 1,040 – 3,000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12 000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360 000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432 000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frézovanie, vyrovnanie podkladu,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Oprava cesty III/1062 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prieťah Tomášov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km 10,000 – 12,600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18 200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546 000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655 200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frézovanie, vyrovnanie podkladu,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Rekonštrukcia mosta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ev.č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>. 503-022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cez potok Malina - Malacky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cca 800 000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960 000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PD + realizácia (kompletná výmena mostnej konštrukcie)</w:t>
            </w:r>
          </w:p>
        </w:tc>
      </w:tr>
      <w:tr w:rsidR="00414098" w:rsidRPr="007B5D53" w:rsidTr="00C70E7A">
        <w:trPr>
          <w:trHeight w:val="860"/>
        </w:trPr>
        <w:tc>
          <w:tcPr>
            <w:tcW w:w="680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>Revitalizácia cestného telesa III/1053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Miloslavov</w:t>
            </w:r>
            <w:r w:rsidRPr="0049184F">
              <w:rPr>
                <w:rFonts w:ascii="Arial" w:hAnsi="Arial" w:cs="Arial"/>
                <w:sz w:val="18"/>
                <w:szCs w:val="18"/>
              </w:rPr>
              <w:t xml:space="preserve"> (križovatka s </w:t>
            </w:r>
            <w:r>
              <w:rPr>
                <w:rFonts w:ascii="Arial" w:hAnsi="Arial" w:cs="Arial"/>
                <w:sz w:val="18"/>
                <w:szCs w:val="18"/>
              </w:rPr>
              <w:t>II</w:t>
            </w:r>
            <w:r w:rsidRPr="0049184F">
              <w:rPr>
                <w:rFonts w:ascii="Arial" w:hAnsi="Arial" w:cs="Arial"/>
                <w:sz w:val="18"/>
                <w:szCs w:val="18"/>
              </w:rPr>
              <w:t>I/</w:t>
            </w:r>
            <w:r>
              <w:rPr>
                <w:rFonts w:ascii="Arial" w:hAnsi="Arial" w:cs="Arial"/>
                <w:sz w:val="18"/>
                <w:szCs w:val="18"/>
              </w:rPr>
              <w:t>1054</w:t>
            </w:r>
            <w:r w:rsidRPr="0049184F">
              <w:rPr>
                <w:rFonts w:ascii="Arial" w:hAnsi="Arial" w:cs="Arial"/>
                <w:sz w:val="18"/>
                <w:szCs w:val="18"/>
              </w:rPr>
              <w:t>) – Tomášov – Studené (križovatka s II/572)</w:t>
            </w:r>
          </w:p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km </w:t>
            </w:r>
            <w:r>
              <w:rPr>
                <w:rFonts w:ascii="Arial" w:hAnsi="Arial" w:cs="Arial"/>
                <w:sz w:val="18"/>
                <w:szCs w:val="18"/>
              </w:rPr>
              <w:t>4,400</w:t>
            </w:r>
            <w:r w:rsidRPr="0049184F">
              <w:rPr>
                <w:rFonts w:ascii="Arial" w:hAnsi="Arial" w:cs="Arial"/>
                <w:sz w:val="18"/>
                <w:szCs w:val="18"/>
              </w:rPr>
              <w:t xml:space="preserve"> – 5,600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7 440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514 200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14098" w:rsidRPr="0049184F" w:rsidRDefault="00414098" w:rsidP="00C70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617 000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4098" w:rsidRPr="0049184F" w:rsidRDefault="00414098" w:rsidP="00C70E7A">
            <w:pPr>
              <w:rPr>
                <w:rFonts w:ascii="Arial" w:hAnsi="Arial" w:cs="Arial"/>
                <w:sz w:val="18"/>
                <w:szCs w:val="18"/>
              </w:rPr>
            </w:pPr>
            <w:r w:rsidRPr="0049184F">
              <w:rPr>
                <w:rFonts w:ascii="Arial" w:hAnsi="Arial" w:cs="Arial"/>
                <w:sz w:val="18"/>
                <w:szCs w:val="18"/>
              </w:rPr>
              <w:t xml:space="preserve">zosilnenie krajov vozovky, frézovanie, zhutnenie a vyrovnanie podkladu, živičný postrek, </w:t>
            </w:r>
            <w:proofErr w:type="spellStart"/>
            <w:r w:rsidRPr="0049184F">
              <w:rPr>
                <w:rFonts w:ascii="Arial" w:hAnsi="Arial" w:cs="Arial"/>
                <w:sz w:val="18"/>
                <w:szCs w:val="18"/>
              </w:rPr>
              <w:t>pokládka</w:t>
            </w:r>
            <w:proofErr w:type="spellEnd"/>
            <w:r w:rsidRPr="0049184F">
              <w:rPr>
                <w:rFonts w:ascii="Arial" w:hAnsi="Arial" w:cs="Arial"/>
                <w:sz w:val="18"/>
                <w:szCs w:val="18"/>
              </w:rPr>
              <w:t xml:space="preserve"> AB</w:t>
            </w:r>
          </w:p>
        </w:tc>
      </w:tr>
      <w:tr w:rsidR="00414098" w:rsidRPr="00495EC2" w:rsidTr="00C70E7A">
        <w:trPr>
          <w:trHeight w:val="597"/>
        </w:trPr>
        <w:tc>
          <w:tcPr>
            <w:tcW w:w="2850" w:type="dxa"/>
            <w:gridSpan w:val="2"/>
            <w:shd w:val="clear" w:color="auto" w:fill="D9D9D9" w:themeFill="background1" w:themeFillShade="D9"/>
            <w:vAlign w:val="bottom"/>
          </w:tcPr>
          <w:p w:rsidR="00414098" w:rsidRPr="0049184F" w:rsidRDefault="00414098" w:rsidP="00C70E7A">
            <w:pPr>
              <w:rPr>
                <w:rFonts w:ascii="Arial" w:hAnsi="Arial" w:cs="Arial"/>
                <w:b/>
              </w:rPr>
            </w:pPr>
            <w:r w:rsidRPr="0049184F">
              <w:rPr>
                <w:rFonts w:ascii="Arial" w:hAnsi="Arial" w:cs="Arial"/>
                <w:b/>
              </w:rPr>
              <w:t>Spolu rok 2017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D9D9D9" w:themeFill="background1" w:themeFillShade="D9"/>
            <w:noWrap/>
            <w:vAlign w:val="bottom"/>
          </w:tcPr>
          <w:p w:rsidR="00414098" w:rsidRPr="0049184F" w:rsidRDefault="00414098" w:rsidP="00C70E7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nil"/>
            </w:tcBorders>
            <w:shd w:val="clear" w:color="auto" w:fill="D9D9D9" w:themeFill="background1" w:themeFillShade="D9"/>
            <w:noWrap/>
            <w:vAlign w:val="bottom"/>
          </w:tcPr>
          <w:p w:rsidR="00414098" w:rsidRPr="0049184F" w:rsidRDefault="00414098" w:rsidP="00C70E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5 000 000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  <w:noWrap/>
            <w:vAlign w:val="bottom"/>
          </w:tcPr>
          <w:p w:rsidR="00414098" w:rsidRPr="0049184F" w:rsidRDefault="00414098" w:rsidP="00C70E7A">
            <w:pPr>
              <w:rPr>
                <w:rFonts w:ascii="Arial" w:hAnsi="Arial" w:cs="Arial"/>
                <w:b/>
              </w:rPr>
            </w:pPr>
            <w:r w:rsidRPr="0049184F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>6 000 000</w:t>
            </w:r>
            <w:r w:rsidRPr="0049184F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414098" w:rsidRDefault="00414098" w:rsidP="00414098">
      <w:pPr>
        <w:spacing w:line="276" w:lineRule="auto"/>
        <w:jc w:val="both"/>
        <w:rPr>
          <w:rFonts w:ascii="Arial" w:hAnsi="Arial" w:cs="Arial"/>
        </w:rPr>
      </w:pPr>
    </w:p>
    <w:sectPr w:rsidR="00414098" w:rsidSect="00492DB1">
      <w:footerReference w:type="default" r:id="rId8"/>
      <w:pgSz w:w="12240" w:h="15840"/>
      <w:pgMar w:top="1440" w:right="1325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5C5" w:rsidRDefault="00ED45C5" w:rsidP="00751D35">
      <w:r>
        <w:separator/>
      </w:r>
    </w:p>
  </w:endnote>
  <w:endnote w:type="continuationSeparator" w:id="0">
    <w:p w:rsidR="00ED45C5" w:rsidRDefault="00ED45C5" w:rsidP="0075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154771"/>
      <w:docPartObj>
        <w:docPartGallery w:val="Page Numbers (Bottom of Page)"/>
        <w:docPartUnique/>
      </w:docPartObj>
    </w:sdtPr>
    <w:sdtEndPr/>
    <w:sdtContent>
      <w:p w:rsidR="00751D35" w:rsidRDefault="00751D3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83C">
          <w:rPr>
            <w:noProof/>
          </w:rPr>
          <w:t>5</w:t>
        </w:r>
        <w:r>
          <w:fldChar w:fldCharType="end"/>
        </w:r>
      </w:p>
    </w:sdtContent>
  </w:sdt>
  <w:p w:rsidR="00751D35" w:rsidRDefault="00751D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5C5" w:rsidRDefault="00ED45C5" w:rsidP="00751D35">
      <w:r>
        <w:separator/>
      </w:r>
    </w:p>
  </w:footnote>
  <w:footnote w:type="continuationSeparator" w:id="0">
    <w:p w:rsidR="00ED45C5" w:rsidRDefault="00ED45C5" w:rsidP="00751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5674"/>
    <w:multiLevelType w:val="hybridMultilevel"/>
    <w:tmpl w:val="DB8E54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902D42"/>
    <w:multiLevelType w:val="hybridMultilevel"/>
    <w:tmpl w:val="E1203C04"/>
    <w:lvl w:ilvl="0" w:tplc="E9D8A97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1A5"/>
    <w:multiLevelType w:val="hybridMultilevel"/>
    <w:tmpl w:val="13EA6D92"/>
    <w:lvl w:ilvl="0" w:tplc="E8442CC6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D77B6"/>
    <w:multiLevelType w:val="hybridMultilevel"/>
    <w:tmpl w:val="DA441FE0"/>
    <w:lvl w:ilvl="0" w:tplc="06729490">
      <w:start w:val="8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92045D"/>
    <w:multiLevelType w:val="hybridMultilevel"/>
    <w:tmpl w:val="682E1662"/>
    <w:lvl w:ilvl="0" w:tplc="35D8E67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250FBD"/>
    <w:multiLevelType w:val="hybridMultilevel"/>
    <w:tmpl w:val="71F40C54"/>
    <w:lvl w:ilvl="0" w:tplc="15CA382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AC"/>
    <w:rsid w:val="000147FE"/>
    <w:rsid w:val="00016C21"/>
    <w:rsid w:val="000217FE"/>
    <w:rsid w:val="000246CA"/>
    <w:rsid w:val="000716AD"/>
    <w:rsid w:val="00073C7B"/>
    <w:rsid w:val="000C0433"/>
    <w:rsid w:val="000C0B91"/>
    <w:rsid w:val="000D4693"/>
    <w:rsid w:val="000E561C"/>
    <w:rsid w:val="000F53A9"/>
    <w:rsid w:val="000F70E9"/>
    <w:rsid w:val="001063B4"/>
    <w:rsid w:val="00120102"/>
    <w:rsid w:val="00154412"/>
    <w:rsid w:val="001637B7"/>
    <w:rsid w:val="00185899"/>
    <w:rsid w:val="001909BD"/>
    <w:rsid w:val="0019563E"/>
    <w:rsid w:val="001F533D"/>
    <w:rsid w:val="00201371"/>
    <w:rsid w:val="00207318"/>
    <w:rsid w:val="002611F2"/>
    <w:rsid w:val="00280CF9"/>
    <w:rsid w:val="002827C8"/>
    <w:rsid w:val="002A20A2"/>
    <w:rsid w:val="002B1C8E"/>
    <w:rsid w:val="002D1C89"/>
    <w:rsid w:val="003142A7"/>
    <w:rsid w:val="00341DF6"/>
    <w:rsid w:val="00357FFE"/>
    <w:rsid w:val="00384753"/>
    <w:rsid w:val="00394C01"/>
    <w:rsid w:val="003D04E0"/>
    <w:rsid w:val="003F2616"/>
    <w:rsid w:val="0040257F"/>
    <w:rsid w:val="00414098"/>
    <w:rsid w:val="004416AC"/>
    <w:rsid w:val="00443565"/>
    <w:rsid w:val="00492DB1"/>
    <w:rsid w:val="00506FED"/>
    <w:rsid w:val="00514993"/>
    <w:rsid w:val="00593C82"/>
    <w:rsid w:val="005A21BC"/>
    <w:rsid w:val="00624227"/>
    <w:rsid w:val="00661246"/>
    <w:rsid w:val="00691AD4"/>
    <w:rsid w:val="00691C89"/>
    <w:rsid w:val="006E5C9D"/>
    <w:rsid w:val="00751D35"/>
    <w:rsid w:val="00752D5F"/>
    <w:rsid w:val="00773357"/>
    <w:rsid w:val="007A7F5B"/>
    <w:rsid w:val="007C3079"/>
    <w:rsid w:val="00802D8A"/>
    <w:rsid w:val="00815F72"/>
    <w:rsid w:val="0086101C"/>
    <w:rsid w:val="00876EB9"/>
    <w:rsid w:val="008D0BBE"/>
    <w:rsid w:val="0090379A"/>
    <w:rsid w:val="0093100C"/>
    <w:rsid w:val="009B4F26"/>
    <w:rsid w:val="009F21C2"/>
    <w:rsid w:val="009F24EB"/>
    <w:rsid w:val="009F7A06"/>
    <w:rsid w:val="00A13D1C"/>
    <w:rsid w:val="00A50657"/>
    <w:rsid w:val="00A557C2"/>
    <w:rsid w:val="00A56E4A"/>
    <w:rsid w:val="00A90AF2"/>
    <w:rsid w:val="00AA43D1"/>
    <w:rsid w:val="00AB49CF"/>
    <w:rsid w:val="00AE0821"/>
    <w:rsid w:val="00AF63F3"/>
    <w:rsid w:val="00B5083C"/>
    <w:rsid w:val="00B50A43"/>
    <w:rsid w:val="00B97937"/>
    <w:rsid w:val="00BC4557"/>
    <w:rsid w:val="00BE2884"/>
    <w:rsid w:val="00C202D9"/>
    <w:rsid w:val="00C21508"/>
    <w:rsid w:val="00C23607"/>
    <w:rsid w:val="00C7593A"/>
    <w:rsid w:val="00C8770D"/>
    <w:rsid w:val="00CA2937"/>
    <w:rsid w:val="00CC3C56"/>
    <w:rsid w:val="00CD2016"/>
    <w:rsid w:val="00CF52CD"/>
    <w:rsid w:val="00D0741C"/>
    <w:rsid w:val="00D27A5E"/>
    <w:rsid w:val="00D46055"/>
    <w:rsid w:val="00D8350C"/>
    <w:rsid w:val="00D92CF3"/>
    <w:rsid w:val="00E248AC"/>
    <w:rsid w:val="00E66EE3"/>
    <w:rsid w:val="00E71203"/>
    <w:rsid w:val="00E7525E"/>
    <w:rsid w:val="00EA4929"/>
    <w:rsid w:val="00EB388B"/>
    <w:rsid w:val="00EC0E49"/>
    <w:rsid w:val="00ED45C5"/>
    <w:rsid w:val="00F20461"/>
    <w:rsid w:val="00F2135A"/>
    <w:rsid w:val="00F63729"/>
    <w:rsid w:val="00F63F11"/>
    <w:rsid w:val="00F66CC3"/>
    <w:rsid w:val="00F670BD"/>
    <w:rsid w:val="00FD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95AB"/>
  <w15:docId w15:val="{EB82BD52-FED2-481D-B890-178699C4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2016"/>
    <w:pPr>
      <w:ind w:left="720"/>
      <w:contextualSpacing/>
    </w:pPr>
  </w:style>
  <w:style w:type="table" w:styleId="Mriekatabuky">
    <w:name w:val="Table Grid"/>
    <w:basedOn w:val="Normlnatabuka"/>
    <w:uiPriority w:val="39"/>
    <w:rsid w:val="00341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E561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jc w:val="both"/>
    </w:pPr>
    <w:rPr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E561C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val="sk-SK" w:eastAsia="sk-SK"/>
    </w:rPr>
  </w:style>
  <w:style w:type="table" w:customStyle="1" w:styleId="Tabukasozoznamom3zvraznenie11">
    <w:name w:val="Tabuľka so zoznamom 3 – zvýraznenie 11"/>
    <w:basedOn w:val="Normlnatabuka"/>
    <w:uiPriority w:val="48"/>
    <w:rsid w:val="00EB388B"/>
    <w:pPr>
      <w:spacing w:after="0" w:line="240" w:lineRule="auto"/>
    </w:pPr>
    <w:rPr>
      <w:lang w:val="sk-SK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A557C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557C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557C2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557C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557C2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57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7C2"/>
    <w:rPr>
      <w:rFonts w:ascii="Tahoma" w:eastAsia="Times New Roman" w:hAnsi="Tahoma" w:cs="Tahoma"/>
      <w:sz w:val="16"/>
      <w:szCs w:val="16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751D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51D35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751D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51D35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ra">
    <w:name w:val="ra"/>
    <w:basedOn w:val="Predvolenpsmoodseku"/>
    <w:rsid w:val="006E5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AEECD-D146-46E6-A0EC-B83D62BAB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Chynoranský</dc:creator>
  <cp:lastModifiedBy>Ladislav Csáder</cp:lastModifiedBy>
  <cp:revision>5</cp:revision>
  <cp:lastPrinted>2016-10-25T10:46:00Z</cp:lastPrinted>
  <dcterms:created xsi:type="dcterms:W3CDTF">2016-11-22T08:35:00Z</dcterms:created>
  <dcterms:modified xsi:type="dcterms:W3CDTF">2016-11-22T09:52:00Z</dcterms:modified>
</cp:coreProperties>
</file>