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01C774" w14:textId="77777777" w:rsidR="005070BE" w:rsidRDefault="005070BE" w:rsidP="005070BE">
      <w:pPr>
        <w:ind w:left="6372" w:firstLine="708"/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 xml:space="preserve">Bod č.  </w:t>
      </w:r>
    </w:p>
    <w:p w14:paraId="094D84A9" w14:textId="77777777" w:rsidR="005070BE" w:rsidRDefault="005070BE" w:rsidP="005070BE">
      <w:pPr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Zastupiteľstvo Bratislavského samosprávneho kraja</w:t>
      </w:r>
    </w:p>
    <w:p w14:paraId="7DE700DC" w14:textId="77777777" w:rsidR="005070BE" w:rsidRDefault="005070BE" w:rsidP="005070BE">
      <w:pPr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22190457" w14:textId="77777777" w:rsidR="005070BE" w:rsidRDefault="005070BE" w:rsidP="005070BE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4C84038" w14:textId="77777777" w:rsidR="005070BE" w:rsidRDefault="005070BE" w:rsidP="005070BE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Materiál na rokovanie Zastupiteľstva</w:t>
      </w:r>
    </w:p>
    <w:p w14:paraId="01546A2E" w14:textId="77777777" w:rsidR="005070BE" w:rsidRDefault="005070BE" w:rsidP="005070BE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Bratislavského samosprávneho kraja</w:t>
      </w:r>
    </w:p>
    <w:p w14:paraId="1E7A2547" w14:textId="41C11085" w:rsidR="005070BE" w:rsidRDefault="00910CBA" w:rsidP="005070BE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26. júna</w:t>
      </w:r>
      <w:r w:rsidR="005070BE">
        <w:rPr>
          <w:rFonts w:ascii="Arial" w:hAnsi="Arial" w:cs="Arial"/>
          <w:bCs/>
          <w:color w:val="000000"/>
          <w:sz w:val="22"/>
          <w:szCs w:val="22"/>
        </w:rPr>
        <w:t xml:space="preserve"> 2015</w:t>
      </w:r>
    </w:p>
    <w:p w14:paraId="4EF4E1F8" w14:textId="77777777" w:rsidR="005070BE" w:rsidRPr="00AC3B33" w:rsidRDefault="005070BE" w:rsidP="005070BE">
      <w:pPr>
        <w:jc w:val="center"/>
        <w:rPr>
          <w:rFonts w:ascii="Arial" w:hAnsi="Arial" w:cs="Arial"/>
          <w:b/>
        </w:rPr>
      </w:pPr>
    </w:p>
    <w:p w14:paraId="238DCFE2" w14:textId="77777777" w:rsidR="005070BE" w:rsidRPr="00AC3B33" w:rsidRDefault="005070BE" w:rsidP="005070BE">
      <w:pPr>
        <w:rPr>
          <w:rFonts w:ascii="Arial" w:hAnsi="Arial" w:cs="Arial"/>
          <w:b/>
        </w:rPr>
      </w:pPr>
    </w:p>
    <w:p w14:paraId="126CD8BC" w14:textId="77777777" w:rsidR="005070BE" w:rsidRDefault="005070BE" w:rsidP="005070BE">
      <w:pPr>
        <w:jc w:val="center"/>
        <w:rPr>
          <w:rFonts w:ascii="Arial" w:hAnsi="Arial" w:cs="Arial"/>
          <w:b/>
        </w:rPr>
      </w:pPr>
    </w:p>
    <w:p w14:paraId="74C370A5" w14:textId="77777777" w:rsidR="005070BE" w:rsidRDefault="005070BE" w:rsidP="005070BE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  <w:szCs w:val="32"/>
        </w:rPr>
      </w:pPr>
    </w:p>
    <w:p w14:paraId="113B973B" w14:textId="77777777" w:rsidR="00910CBA" w:rsidRDefault="00910CBA" w:rsidP="005070BE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Správa z hodnotenia PHSR BSK 2014-2020 </w:t>
      </w:r>
    </w:p>
    <w:p w14:paraId="21BAA5CA" w14:textId="36257CEA" w:rsidR="005070BE" w:rsidRDefault="00910CBA" w:rsidP="005070BE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za rok 2014</w:t>
      </w:r>
    </w:p>
    <w:p w14:paraId="5735E59D" w14:textId="77777777" w:rsidR="00910CBA" w:rsidRDefault="00910CBA" w:rsidP="005070BE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  <w:szCs w:val="32"/>
        </w:rPr>
      </w:pPr>
    </w:p>
    <w:p w14:paraId="7C156F66" w14:textId="77777777" w:rsidR="00910CBA" w:rsidRDefault="00910CBA" w:rsidP="005070BE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  <w:szCs w:val="32"/>
        </w:rPr>
      </w:pPr>
    </w:p>
    <w:p w14:paraId="49B69240" w14:textId="77777777" w:rsidR="00910CBA" w:rsidRPr="00367574" w:rsidRDefault="00910CBA" w:rsidP="005070BE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</w:p>
    <w:p w14:paraId="1076EFDB" w14:textId="77777777" w:rsidR="005070BE" w:rsidRPr="00A405DD" w:rsidRDefault="005070BE" w:rsidP="005070BE">
      <w:pPr>
        <w:rPr>
          <w:rFonts w:ascii="Arial" w:hAnsi="Arial" w:cs="Arial"/>
          <w:b/>
        </w:rPr>
      </w:pPr>
    </w:p>
    <w:p w14:paraId="3DDC6440" w14:textId="77777777" w:rsidR="005070BE" w:rsidRDefault="005070BE" w:rsidP="005070BE">
      <w:pPr>
        <w:jc w:val="center"/>
        <w:rPr>
          <w:rFonts w:ascii="Arial" w:hAnsi="Arial" w:cs="Arial"/>
          <w:b/>
          <w:sz w:val="22"/>
          <w:szCs w:val="22"/>
        </w:rPr>
      </w:pPr>
    </w:p>
    <w:p w14:paraId="4AFEADDC" w14:textId="77777777" w:rsidR="005070BE" w:rsidRPr="00AC3B33" w:rsidRDefault="005070BE" w:rsidP="005070BE">
      <w:pPr>
        <w:rPr>
          <w:rFonts w:ascii="Arial" w:hAnsi="Arial" w:cs="Arial"/>
          <w:b/>
        </w:rPr>
      </w:pPr>
    </w:p>
    <w:p w14:paraId="2760BD1F" w14:textId="77777777" w:rsidR="005070BE" w:rsidRPr="00A405DD" w:rsidRDefault="005070BE" w:rsidP="005070BE">
      <w:pPr>
        <w:jc w:val="both"/>
        <w:rPr>
          <w:rFonts w:ascii="Arial" w:hAnsi="Arial" w:cs="Arial"/>
          <w:u w:val="single"/>
        </w:rPr>
      </w:pPr>
    </w:p>
    <w:p w14:paraId="45440CD4" w14:textId="77777777" w:rsidR="005070BE" w:rsidRDefault="005070BE" w:rsidP="005070BE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  <w:u w:val="single"/>
        </w:rPr>
        <w:t>Materiál predkladá: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bCs/>
          <w:color w:val="000000"/>
          <w:sz w:val="22"/>
          <w:szCs w:val="22"/>
          <w:u w:val="single"/>
        </w:rPr>
        <w:t>Materiál obsahuje:</w:t>
      </w:r>
    </w:p>
    <w:p w14:paraId="5EACEE31" w14:textId="77777777" w:rsidR="005070BE" w:rsidRDefault="005070BE" w:rsidP="005070BE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2B3AAB17" w14:textId="77777777" w:rsidR="005070BE" w:rsidRPr="004F3041" w:rsidRDefault="005070BE" w:rsidP="005070BE">
      <w:pPr>
        <w:tabs>
          <w:tab w:val="left" w:pos="5670"/>
        </w:tabs>
        <w:ind w:right="-36"/>
        <w:jc w:val="both"/>
        <w:rPr>
          <w:rFonts w:ascii="Arial" w:hAnsi="Arial" w:cs="Arial"/>
          <w:bCs/>
          <w:sz w:val="22"/>
          <w:szCs w:val="22"/>
        </w:rPr>
      </w:pPr>
      <w:r w:rsidRPr="00836FE9">
        <w:rPr>
          <w:rFonts w:ascii="Arial" w:hAnsi="Arial" w:cs="Arial"/>
          <w:bCs/>
          <w:color w:val="000000"/>
          <w:sz w:val="22"/>
          <w:szCs w:val="22"/>
        </w:rPr>
        <w:t xml:space="preserve">Ing. Martin </w:t>
      </w:r>
      <w:proofErr w:type="spellStart"/>
      <w:r w:rsidRPr="00836FE9">
        <w:rPr>
          <w:rFonts w:ascii="Arial" w:hAnsi="Arial" w:cs="Arial"/>
          <w:bCs/>
          <w:color w:val="000000"/>
          <w:sz w:val="22"/>
          <w:szCs w:val="22"/>
        </w:rPr>
        <w:t>Berta</w:t>
      </w:r>
      <w:proofErr w:type="spellEnd"/>
      <w:r w:rsidRPr="00836FE9">
        <w:rPr>
          <w:rFonts w:ascii="Arial" w:hAnsi="Arial" w:cs="Arial"/>
          <w:bCs/>
          <w:color w:val="000000"/>
          <w:sz w:val="22"/>
          <w:szCs w:val="22"/>
        </w:rPr>
        <w:t>, CSc.</w:t>
      </w:r>
      <w:r w:rsidRPr="00836FE9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4F3041">
        <w:rPr>
          <w:rFonts w:ascii="Arial" w:hAnsi="Arial" w:cs="Arial"/>
          <w:bCs/>
          <w:sz w:val="22"/>
          <w:szCs w:val="22"/>
        </w:rPr>
        <w:t>1.  Návrh uznesenia</w:t>
      </w:r>
    </w:p>
    <w:p w14:paraId="04C24A4E" w14:textId="77777777" w:rsidR="005070BE" w:rsidRPr="004F3041" w:rsidRDefault="005070BE" w:rsidP="005070BE">
      <w:pPr>
        <w:tabs>
          <w:tab w:val="left" w:pos="5670"/>
        </w:tabs>
        <w:jc w:val="both"/>
        <w:rPr>
          <w:rFonts w:ascii="Arial" w:hAnsi="Arial" w:cs="Arial"/>
          <w:bCs/>
          <w:sz w:val="22"/>
          <w:szCs w:val="22"/>
        </w:rPr>
      </w:pPr>
      <w:r w:rsidRPr="004F3041">
        <w:rPr>
          <w:rFonts w:ascii="Arial" w:hAnsi="Arial" w:cs="Arial"/>
          <w:bCs/>
          <w:sz w:val="22"/>
          <w:szCs w:val="22"/>
        </w:rPr>
        <w:t xml:space="preserve">podpredseda Bratislavského  </w:t>
      </w:r>
      <w:r w:rsidRPr="004F3041">
        <w:rPr>
          <w:rFonts w:ascii="Arial" w:hAnsi="Arial" w:cs="Arial"/>
          <w:bCs/>
          <w:sz w:val="22"/>
          <w:szCs w:val="22"/>
        </w:rPr>
        <w:tab/>
        <w:t>2.  Dôvodová správa</w:t>
      </w:r>
    </w:p>
    <w:p w14:paraId="2CA9479D" w14:textId="77777777" w:rsidR="005070BE" w:rsidRPr="004F3041" w:rsidRDefault="005070BE" w:rsidP="005070BE">
      <w:pPr>
        <w:tabs>
          <w:tab w:val="left" w:pos="5670"/>
        </w:tabs>
        <w:jc w:val="both"/>
        <w:rPr>
          <w:rFonts w:ascii="Arial" w:hAnsi="Arial" w:cs="Arial"/>
          <w:bCs/>
          <w:sz w:val="22"/>
          <w:szCs w:val="22"/>
        </w:rPr>
      </w:pPr>
      <w:r w:rsidRPr="004F3041">
        <w:rPr>
          <w:rFonts w:ascii="Arial" w:hAnsi="Arial" w:cs="Arial"/>
          <w:bCs/>
          <w:sz w:val="22"/>
          <w:szCs w:val="22"/>
        </w:rPr>
        <w:t>samosprávneho kraja</w:t>
      </w:r>
      <w:r w:rsidRPr="004F3041">
        <w:rPr>
          <w:rFonts w:ascii="Arial" w:hAnsi="Arial" w:cs="Arial"/>
          <w:bCs/>
          <w:sz w:val="22"/>
          <w:szCs w:val="22"/>
        </w:rPr>
        <w:tab/>
        <w:t>3.  Stanoviská komisií</w:t>
      </w:r>
    </w:p>
    <w:p w14:paraId="5C10DA90" w14:textId="0A74E714" w:rsidR="005070BE" w:rsidRDefault="005070BE" w:rsidP="004E28DE">
      <w:pPr>
        <w:ind w:left="4956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Pr="007D3146">
        <w:rPr>
          <w:rFonts w:ascii="Arial" w:hAnsi="Arial" w:cs="Arial"/>
          <w:sz w:val="22"/>
          <w:szCs w:val="22"/>
        </w:rPr>
        <w:t xml:space="preserve">.  </w:t>
      </w:r>
      <w:r w:rsidR="004E28DE">
        <w:rPr>
          <w:rFonts w:ascii="Arial" w:hAnsi="Arial" w:cs="Arial"/>
          <w:sz w:val="22"/>
          <w:szCs w:val="22"/>
        </w:rPr>
        <w:t>Príloha č. 1</w:t>
      </w:r>
    </w:p>
    <w:p w14:paraId="0D9D9D9B" w14:textId="77777777" w:rsidR="005070BE" w:rsidRPr="00E1337F" w:rsidRDefault="005070BE" w:rsidP="005070BE">
      <w:pPr>
        <w:tabs>
          <w:tab w:val="left" w:pos="5670"/>
        </w:tabs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72B40E3C" w14:textId="77777777" w:rsidR="005070BE" w:rsidRDefault="005070BE" w:rsidP="005070BE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00930637" w14:textId="77777777" w:rsidR="005070BE" w:rsidRDefault="005070BE" w:rsidP="005070BE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23622D8B" w14:textId="77777777" w:rsidR="005070BE" w:rsidRDefault="005070BE" w:rsidP="005070BE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Zodpovedná:</w:t>
      </w:r>
    </w:p>
    <w:p w14:paraId="087A04DE" w14:textId="77777777" w:rsidR="005070BE" w:rsidRDefault="005070BE" w:rsidP="005070BE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4C196FAF" w14:textId="77777777" w:rsidR="005070BE" w:rsidRDefault="005070BE" w:rsidP="005070B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Barbora Lukáčová</w:t>
      </w:r>
    </w:p>
    <w:p w14:paraId="06DE6328" w14:textId="77777777" w:rsidR="005070BE" w:rsidRDefault="005070BE" w:rsidP="005070B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riaditeľka odboru stratégie, územného rozvoja a riadenia projektov</w:t>
      </w:r>
    </w:p>
    <w:p w14:paraId="1C8EB7D8" w14:textId="77777777" w:rsidR="005070BE" w:rsidRDefault="005070BE" w:rsidP="005070BE">
      <w:pPr>
        <w:rPr>
          <w:rFonts w:ascii="Arial" w:hAnsi="Arial" w:cs="Arial"/>
          <w:color w:val="FF0000"/>
          <w:sz w:val="20"/>
          <w:szCs w:val="20"/>
        </w:rPr>
      </w:pPr>
    </w:p>
    <w:p w14:paraId="2A2FA9CB" w14:textId="77777777" w:rsidR="005070BE" w:rsidRDefault="005070BE" w:rsidP="005070BE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Spracovatelia:</w:t>
      </w:r>
    </w:p>
    <w:p w14:paraId="01919FCD" w14:textId="77777777" w:rsidR="005070BE" w:rsidRDefault="005070BE" w:rsidP="005070BE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4AAC20C9" w14:textId="77777777" w:rsidR="005070BE" w:rsidRPr="00A405DD" w:rsidRDefault="005070BE" w:rsidP="005070B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Mgr. </w:t>
      </w:r>
      <w:r w:rsidRPr="00A405DD">
        <w:rPr>
          <w:rFonts w:ascii="Arial" w:hAnsi="Arial" w:cs="Arial"/>
          <w:sz w:val="22"/>
          <w:szCs w:val="22"/>
        </w:rPr>
        <w:t>Martin Hakel, BA</w:t>
      </w:r>
    </w:p>
    <w:p w14:paraId="4872AA65" w14:textId="77777777" w:rsidR="005070BE" w:rsidRPr="00A405DD" w:rsidRDefault="005070BE" w:rsidP="005070BE">
      <w:pPr>
        <w:jc w:val="both"/>
        <w:rPr>
          <w:rFonts w:ascii="Arial" w:hAnsi="Arial" w:cs="Arial"/>
          <w:sz w:val="22"/>
          <w:szCs w:val="22"/>
        </w:rPr>
      </w:pPr>
      <w:r w:rsidRPr="00A405DD">
        <w:rPr>
          <w:rFonts w:ascii="Arial" w:hAnsi="Arial" w:cs="Arial"/>
          <w:sz w:val="22"/>
          <w:szCs w:val="22"/>
        </w:rPr>
        <w:t>vedúci oddelenia stratégie a územného rozvoja</w:t>
      </w:r>
    </w:p>
    <w:p w14:paraId="128469C1" w14:textId="77777777" w:rsidR="005070BE" w:rsidRPr="00003AFF" w:rsidRDefault="005070BE" w:rsidP="005070BE">
      <w:pPr>
        <w:rPr>
          <w:rFonts w:ascii="Arial" w:hAnsi="Arial" w:cs="Arial"/>
          <w:sz w:val="22"/>
          <w:szCs w:val="22"/>
        </w:rPr>
      </w:pPr>
    </w:p>
    <w:p w14:paraId="7CD9C81C" w14:textId="77777777" w:rsidR="005070BE" w:rsidRDefault="005070BE" w:rsidP="005070B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</w:t>
      </w:r>
      <w:r w:rsidRPr="00003A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Martin Bezek</w:t>
      </w:r>
      <w:r w:rsidRPr="00003AFF">
        <w:rPr>
          <w:rFonts w:ascii="Arial" w:hAnsi="Arial" w:cs="Arial"/>
          <w:sz w:val="22"/>
          <w:szCs w:val="22"/>
        </w:rPr>
        <w:t xml:space="preserve"> </w:t>
      </w:r>
    </w:p>
    <w:p w14:paraId="49DECBF3" w14:textId="77777777" w:rsidR="005070BE" w:rsidRDefault="005070BE" w:rsidP="005070B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referent</w:t>
      </w:r>
      <w:r w:rsidRPr="00003AFF">
        <w:rPr>
          <w:rFonts w:ascii="Arial" w:hAnsi="Arial" w:cs="Arial"/>
          <w:sz w:val="22"/>
          <w:szCs w:val="22"/>
        </w:rPr>
        <w:t xml:space="preserve"> oddelenia stratégie a územného rozvoja</w:t>
      </w:r>
      <w:r>
        <w:rPr>
          <w:rFonts w:ascii="Arial" w:hAnsi="Arial" w:cs="Arial"/>
          <w:sz w:val="22"/>
          <w:szCs w:val="22"/>
        </w:rPr>
        <w:tab/>
      </w:r>
    </w:p>
    <w:p w14:paraId="57893371" w14:textId="77777777" w:rsidR="005070BE" w:rsidRDefault="005070BE" w:rsidP="005070BE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45875D14" w14:textId="77777777" w:rsidR="005070BE" w:rsidRDefault="005070BE" w:rsidP="005070BE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536F4F3" w14:textId="77777777" w:rsidR="00910CBA" w:rsidRDefault="00910CBA" w:rsidP="005070BE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85FDA1C" w14:textId="77777777" w:rsidR="00910CBA" w:rsidRDefault="00910CBA" w:rsidP="005070BE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03F10C1" w14:textId="77777777" w:rsidR="00910CBA" w:rsidRDefault="00910CBA" w:rsidP="005070BE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E7298DF" w14:textId="77777777" w:rsidR="00910CBA" w:rsidRDefault="00910CBA" w:rsidP="005070BE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1D1A4B6" w14:textId="77777777" w:rsidR="004E28DE" w:rsidRDefault="004E28DE" w:rsidP="005070BE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8478F44" w14:textId="77777777" w:rsidR="00910CBA" w:rsidRDefault="00910CBA" w:rsidP="005070BE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50A98BC" w14:textId="77777777" w:rsidR="005070BE" w:rsidRDefault="005070BE" w:rsidP="005070BE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Bratislava</w:t>
      </w:r>
    </w:p>
    <w:p w14:paraId="329267A6" w14:textId="25A1FF4A" w:rsidR="005070BE" w:rsidRPr="00C706E6" w:rsidRDefault="00910CBA" w:rsidP="005070BE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bCs/>
          <w:color w:val="000000"/>
          <w:sz w:val="22"/>
          <w:szCs w:val="22"/>
        </w:rPr>
        <w:t>Jún</w:t>
      </w:r>
      <w:r w:rsidR="005070BE">
        <w:rPr>
          <w:rFonts w:ascii="Arial" w:hAnsi="Arial" w:cs="Arial"/>
          <w:bCs/>
          <w:color w:val="000000"/>
          <w:sz w:val="22"/>
          <w:szCs w:val="22"/>
        </w:rPr>
        <w:t xml:space="preserve"> 2015</w:t>
      </w:r>
    </w:p>
    <w:p w14:paraId="359F0ED1" w14:textId="77777777" w:rsidR="005070BE" w:rsidRDefault="005070BE" w:rsidP="005070BE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lastRenderedPageBreak/>
        <w:t>Návrh uznesenia</w:t>
      </w:r>
    </w:p>
    <w:p w14:paraId="320834A7" w14:textId="77777777" w:rsidR="005070BE" w:rsidRDefault="005070BE" w:rsidP="005070BE">
      <w:pPr>
        <w:jc w:val="center"/>
        <w:rPr>
          <w:rFonts w:ascii="Arial" w:hAnsi="Arial" w:cs="Arial"/>
        </w:rPr>
      </w:pPr>
    </w:p>
    <w:p w14:paraId="7FD8C481" w14:textId="77777777" w:rsidR="005070BE" w:rsidRDefault="005070BE" w:rsidP="005070BE">
      <w:pPr>
        <w:jc w:val="center"/>
        <w:rPr>
          <w:rFonts w:ascii="Arial" w:hAnsi="Arial" w:cs="Arial"/>
        </w:rPr>
      </w:pPr>
    </w:p>
    <w:p w14:paraId="39F780E6" w14:textId="77777777" w:rsidR="005070BE" w:rsidRDefault="005070BE" w:rsidP="005070B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2015</w:t>
      </w:r>
    </w:p>
    <w:p w14:paraId="6718D0F1" w14:textId="70B7B931" w:rsidR="005070BE" w:rsidRDefault="005070BE" w:rsidP="005070B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2</w:t>
      </w:r>
      <w:r w:rsidR="00910CBA">
        <w:rPr>
          <w:rFonts w:ascii="Arial" w:hAnsi="Arial" w:cs="Arial"/>
          <w:sz w:val="22"/>
          <w:szCs w:val="22"/>
        </w:rPr>
        <w:t>6</w:t>
      </w:r>
      <w:r w:rsidRPr="00536C01">
        <w:rPr>
          <w:rFonts w:ascii="Arial" w:hAnsi="Arial" w:cs="Arial"/>
          <w:sz w:val="22"/>
          <w:szCs w:val="22"/>
        </w:rPr>
        <w:t>.0</w:t>
      </w:r>
      <w:r w:rsidR="00910CBA">
        <w:rPr>
          <w:rFonts w:ascii="Arial" w:hAnsi="Arial" w:cs="Arial"/>
          <w:sz w:val="22"/>
          <w:szCs w:val="22"/>
        </w:rPr>
        <w:t>6</w:t>
      </w:r>
      <w:r w:rsidRPr="00536C01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2015</w:t>
      </w:r>
    </w:p>
    <w:p w14:paraId="3E14A224" w14:textId="77777777" w:rsidR="005070BE" w:rsidRDefault="005070BE" w:rsidP="005070BE">
      <w:pPr>
        <w:jc w:val="center"/>
        <w:rPr>
          <w:rFonts w:ascii="Arial" w:hAnsi="Arial" w:cs="Arial"/>
        </w:rPr>
      </w:pPr>
    </w:p>
    <w:p w14:paraId="389D0AD5" w14:textId="77777777" w:rsidR="005070BE" w:rsidRDefault="005070BE" w:rsidP="005070BE">
      <w:pPr>
        <w:jc w:val="center"/>
        <w:rPr>
          <w:rFonts w:ascii="Arial" w:hAnsi="Arial" w:cs="Arial"/>
        </w:rPr>
      </w:pPr>
    </w:p>
    <w:p w14:paraId="7BB5595A" w14:textId="77777777" w:rsidR="005070BE" w:rsidRDefault="005070BE" w:rsidP="005070BE">
      <w:pPr>
        <w:jc w:val="center"/>
        <w:rPr>
          <w:rFonts w:ascii="Arial" w:hAnsi="Arial" w:cs="Arial"/>
        </w:rPr>
      </w:pPr>
    </w:p>
    <w:p w14:paraId="7731D8F0" w14:textId="77777777" w:rsidR="005070BE" w:rsidRDefault="005070BE" w:rsidP="005070BE">
      <w:pPr>
        <w:jc w:val="center"/>
        <w:rPr>
          <w:rFonts w:ascii="Arial" w:hAnsi="Arial" w:cs="Arial"/>
        </w:rPr>
      </w:pPr>
    </w:p>
    <w:p w14:paraId="4E5C6A25" w14:textId="77777777" w:rsidR="005070BE" w:rsidRDefault="005070BE" w:rsidP="005070BE">
      <w:pPr>
        <w:jc w:val="center"/>
        <w:rPr>
          <w:rFonts w:ascii="Arial" w:hAnsi="Arial" w:cs="Arial"/>
        </w:rPr>
      </w:pPr>
    </w:p>
    <w:p w14:paraId="595FFCC9" w14:textId="77777777" w:rsidR="00910CBA" w:rsidRDefault="00910CBA" w:rsidP="00910CB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14:paraId="52718FA6" w14:textId="77777777" w:rsidR="00910CBA" w:rsidRDefault="00910CBA" w:rsidP="00910CBA">
      <w:pPr>
        <w:jc w:val="both"/>
        <w:rPr>
          <w:rFonts w:ascii="Arial" w:hAnsi="Arial" w:cs="Arial"/>
          <w:sz w:val="22"/>
          <w:szCs w:val="22"/>
        </w:rPr>
      </w:pPr>
    </w:p>
    <w:p w14:paraId="69A0AAF8" w14:textId="77777777" w:rsidR="00910CBA" w:rsidRDefault="00910CBA" w:rsidP="00910CBA">
      <w:pPr>
        <w:rPr>
          <w:rFonts w:ascii="Arial" w:hAnsi="Arial" w:cs="Arial"/>
          <w:sz w:val="22"/>
          <w:szCs w:val="22"/>
        </w:rPr>
      </w:pPr>
    </w:p>
    <w:p w14:paraId="53CBD9DD" w14:textId="77777777" w:rsidR="00910CBA" w:rsidRDefault="00910CBA" w:rsidP="00910CBA">
      <w:pPr>
        <w:pStyle w:val="Odsekzoznamu"/>
        <w:ind w:left="709"/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A. schvaľuje</w:t>
      </w:r>
    </w:p>
    <w:p w14:paraId="4E71D118" w14:textId="77777777" w:rsidR="00910CBA" w:rsidRDefault="00910CBA" w:rsidP="00910CBA">
      <w:pPr>
        <w:pStyle w:val="Odsekzoznamu"/>
        <w:ind w:left="709"/>
        <w:jc w:val="center"/>
        <w:rPr>
          <w:rFonts w:ascii="Arial" w:hAnsi="Arial" w:cs="Arial"/>
          <w:b/>
          <w:spacing w:val="70"/>
        </w:rPr>
      </w:pPr>
    </w:p>
    <w:p w14:paraId="7F6F6F70" w14:textId="77777777" w:rsidR="00910CBA" w:rsidRDefault="00910CBA" w:rsidP="00910C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Správu z hodnotenia PHSR BSK 2014-2020 za rok 2014</w:t>
      </w:r>
    </w:p>
    <w:p w14:paraId="71132734" w14:textId="77777777" w:rsidR="00910CBA" w:rsidRDefault="00910CBA" w:rsidP="00910CBA">
      <w:pPr>
        <w:pStyle w:val="Odsekzoznamu"/>
        <w:ind w:left="0"/>
        <w:jc w:val="center"/>
        <w:rPr>
          <w:rFonts w:ascii="Arial" w:hAnsi="Arial" w:cs="Arial"/>
          <w:b/>
          <w:spacing w:val="70"/>
        </w:rPr>
      </w:pPr>
    </w:p>
    <w:p w14:paraId="06D3D7FA" w14:textId="77777777" w:rsidR="00910CBA" w:rsidRDefault="00910CBA" w:rsidP="00910CBA">
      <w:pPr>
        <w:rPr>
          <w:rFonts w:ascii="Arial" w:hAnsi="Arial" w:cs="Arial"/>
          <w:b/>
          <w:spacing w:val="70"/>
        </w:rPr>
      </w:pPr>
    </w:p>
    <w:p w14:paraId="08113C75" w14:textId="77777777" w:rsidR="00910CBA" w:rsidRDefault="00910CBA" w:rsidP="00910CBA">
      <w:pPr>
        <w:rPr>
          <w:rFonts w:ascii="Arial" w:hAnsi="Arial" w:cs="Arial"/>
          <w:b/>
          <w:spacing w:val="70"/>
        </w:rPr>
      </w:pPr>
    </w:p>
    <w:p w14:paraId="1849158B" w14:textId="77777777" w:rsidR="00910CBA" w:rsidRDefault="00910CBA" w:rsidP="00910CBA">
      <w:pPr>
        <w:pStyle w:val="Odsekzoznamu"/>
        <w:ind w:left="709"/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B. ukladá</w:t>
      </w:r>
    </w:p>
    <w:p w14:paraId="46CC4273" w14:textId="77777777" w:rsidR="00910CBA" w:rsidRDefault="00910CBA" w:rsidP="00910CBA">
      <w:pPr>
        <w:pStyle w:val="Odsekzoznamu"/>
        <w:ind w:left="0"/>
        <w:jc w:val="center"/>
        <w:rPr>
          <w:rFonts w:ascii="Arial" w:hAnsi="Arial" w:cs="Arial"/>
          <w:b/>
          <w:spacing w:val="70"/>
        </w:rPr>
      </w:pPr>
    </w:p>
    <w:p w14:paraId="251DFE29" w14:textId="77777777" w:rsidR="00910CBA" w:rsidRDefault="00910CBA" w:rsidP="00910CBA">
      <w:pPr>
        <w:rPr>
          <w:rFonts w:ascii="Arial" w:hAnsi="Arial" w:cs="Arial"/>
          <w:sz w:val="22"/>
          <w:szCs w:val="22"/>
          <w:u w:val="single"/>
        </w:rPr>
      </w:pPr>
      <w:r w:rsidRPr="000F7A43">
        <w:rPr>
          <w:rFonts w:ascii="Arial" w:hAnsi="Arial" w:cs="Arial"/>
          <w:sz w:val="22"/>
          <w:szCs w:val="22"/>
          <w:u w:val="single"/>
        </w:rPr>
        <w:t>riaditeľovi úradu Bratislavského samosprávneho kraja:</w:t>
      </w:r>
    </w:p>
    <w:p w14:paraId="0AAC3035" w14:textId="77777777" w:rsidR="00910CBA" w:rsidRDefault="00910CBA" w:rsidP="00910CBA">
      <w:pPr>
        <w:rPr>
          <w:rFonts w:ascii="Arial" w:hAnsi="Arial" w:cs="Arial"/>
          <w:sz w:val="22"/>
          <w:szCs w:val="22"/>
          <w:u w:val="single"/>
        </w:rPr>
      </w:pPr>
    </w:p>
    <w:p w14:paraId="0AC21568" w14:textId="77777777" w:rsidR="00910CBA" w:rsidRDefault="00910CBA" w:rsidP="00910CBA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  <w:r>
        <w:rPr>
          <w:rFonts w:ascii="Arial" w:hAnsi="Arial" w:cs="Arial"/>
          <w:sz w:val="22"/>
          <w:szCs w:val="22"/>
        </w:rPr>
        <w:t xml:space="preserve">Zaviesť navrhované opatrenia na rok 2015 vyplývajúce zo Správy z hodnotenia PHSR BSK 2014-2020 za rok 2014. </w:t>
      </w:r>
    </w:p>
    <w:p w14:paraId="52BBFA71" w14:textId="77777777" w:rsidR="00910CBA" w:rsidRDefault="00910CBA" w:rsidP="00910CBA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14:paraId="10839BB8" w14:textId="77777777" w:rsidR="00910CBA" w:rsidRDefault="00910CBA" w:rsidP="00910CBA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23F98D14" w14:textId="77777777" w:rsidR="00910CBA" w:rsidRPr="002770A7" w:rsidRDefault="00910CBA" w:rsidP="00910CBA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>T: 31.</w:t>
      </w:r>
      <w:r>
        <w:rPr>
          <w:rFonts w:ascii="Arial" w:hAnsi="Arial" w:cs="Arial"/>
          <w:sz w:val="22"/>
          <w:szCs w:val="22"/>
        </w:rPr>
        <w:t>12</w:t>
      </w:r>
      <w:r w:rsidRPr="002770A7">
        <w:rPr>
          <w:rFonts w:ascii="Arial" w:hAnsi="Arial" w:cs="Arial"/>
          <w:sz w:val="22"/>
          <w:szCs w:val="22"/>
        </w:rPr>
        <w:t>.201</w:t>
      </w:r>
      <w:r>
        <w:rPr>
          <w:rFonts w:ascii="Arial" w:hAnsi="Arial" w:cs="Arial"/>
          <w:sz w:val="22"/>
          <w:szCs w:val="22"/>
        </w:rPr>
        <w:t>5</w:t>
      </w:r>
    </w:p>
    <w:p w14:paraId="37A60AB0" w14:textId="77777777" w:rsidR="00910CBA" w:rsidRDefault="00910CBA" w:rsidP="00910CBA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14:paraId="4CFD418A" w14:textId="77777777" w:rsidR="005070BE" w:rsidRDefault="005070BE" w:rsidP="005070BE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14:paraId="2AC82593" w14:textId="77777777" w:rsidR="005070BE" w:rsidRDefault="005070BE" w:rsidP="005070BE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14:paraId="194B63A4" w14:textId="77777777" w:rsidR="005070BE" w:rsidRDefault="005070BE" w:rsidP="005070BE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76F0424F" w14:textId="77777777" w:rsidR="00914DA5" w:rsidRDefault="00914DA5" w:rsidP="00271C7B">
      <w:pPr>
        <w:rPr>
          <w:rFonts w:ascii="Arial" w:hAnsi="Arial" w:cs="Arial"/>
          <w:sz w:val="22"/>
          <w:szCs w:val="22"/>
        </w:rPr>
        <w:sectPr w:rsidR="00914DA5" w:rsidSect="007A35C4">
          <w:footerReference w:type="default" r:id="rId9"/>
          <w:pgSz w:w="11906" w:h="16838"/>
          <w:pgMar w:top="1417" w:right="1417" w:bottom="993" w:left="1417" w:header="708" w:footer="708" w:gutter="0"/>
          <w:pgNumType w:start="2"/>
          <w:cols w:space="708"/>
          <w:docGrid w:linePitch="360"/>
        </w:sectPr>
      </w:pPr>
    </w:p>
    <w:p w14:paraId="1C14D743" w14:textId="77777777" w:rsidR="00271C7B" w:rsidRPr="004C1521" w:rsidRDefault="00271C7B" w:rsidP="00271C7B">
      <w:pPr>
        <w:jc w:val="center"/>
        <w:rPr>
          <w:rFonts w:ascii="Arial" w:hAnsi="Arial" w:cs="Arial"/>
          <w:b/>
          <w:sz w:val="22"/>
          <w:szCs w:val="22"/>
        </w:rPr>
      </w:pPr>
      <w:r w:rsidRPr="004C1521">
        <w:rPr>
          <w:rFonts w:ascii="Arial" w:hAnsi="Arial" w:cs="Arial"/>
          <w:b/>
          <w:sz w:val="22"/>
          <w:szCs w:val="22"/>
        </w:rPr>
        <w:lastRenderedPageBreak/>
        <w:t>D ô v o d o v á   s p r á v a</w:t>
      </w:r>
    </w:p>
    <w:p w14:paraId="6692E986" w14:textId="77777777" w:rsidR="00271C7B" w:rsidRDefault="00271C7B" w:rsidP="00271C7B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</w:p>
    <w:p w14:paraId="2D159EC2" w14:textId="7BA245BF" w:rsidR="00271C7B" w:rsidRDefault="00271C7B" w:rsidP="00271C7B">
      <w:pPr>
        <w:spacing w:before="120" w:after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Bratislavský samosprávny kraj</w:t>
      </w:r>
      <w:r w:rsidR="00FD1316">
        <w:rPr>
          <w:rFonts w:ascii="Arial" w:eastAsia="Calibri" w:hAnsi="Arial" w:cs="Arial"/>
          <w:sz w:val="22"/>
          <w:szCs w:val="22"/>
          <w:lang w:eastAsia="en-US"/>
        </w:rPr>
        <w:t xml:space="preserve"> (ďalej len BSK)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za </w:t>
      </w:r>
      <w:r w:rsidRPr="00127040">
        <w:rPr>
          <w:rFonts w:ascii="Arial" w:eastAsia="Calibri" w:hAnsi="Arial" w:cs="Arial"/>
          <w:sz w:val="22"/>
          <w:szCs w:val="22"/>
          <w:lang w:eastAsia="en-US"/>
        </w:rPr>
        <w:t xml:space="preserve">účelom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podpory regionálneho rozvoja podľa zákona č. 539/2008 </w:t>
      </w:r>
      <w:proofErr w:type="spellStart"/>
      <w:r>
        <w:rPr>
          <w:rFonts w:ascii="Arial" w:eastAsia="Calibri" w:hAnsi="Arial" w:cs="Arial"/>
          <w:sz w:val="22"/>
          <w:szCs w:val="22"/>
          <w:lang w:eastAsia="en-US"/>
        </w:rPr>
        <w:t>Z.z</w:t>
      </w:r>
      <w:proofErr w:type="spellEnd"/>
      <w:r>
        <w:rPr>
          <w:rFonts w:ascii="Arial" w:eastAsia="Calibri" w:hAnsi="Arial" w:cs="Arial"/>
          <w:sz w:val="22"/>
          <w:szCs w:val="22"/>
          <w:lang w:eastAsia="en-US"/>
        </w:rPr>
        <w:t>. o podpore regionálneho rozvoja</w:t>
      </w:r>
      <w:r w:rsidRPr="00127040">
        <w:rPr>
          <w:rFonts w:ascii="Arial" w:eastAsia="Calibri" w:hAnsi="Arial" w:cs="Arial"/>
          <w:sz w:val="22"/>
          <w:szCs w:val="22"/>
          <w:lang w:eastAsia="en-US"/>
        </w:rPr>
        <w:t xml:space="preserve"> spracoval strednodobý strategický dokument Program hospodárskeho a sociálneho rozvoja BSK na roky 2014-2020 (ďalej len </w:t>
      </w:r>
      <w:r w:rsidRPr="000952DF">
        <w:rPr>
          <w:rFonts w:ascii="Arial" w:eastAsia="Calibri" w:hAnsi="Arial" w:cs="Arial"/>
          <w:b/>
          <w:sz w:val="22"/>
          <w:szCs w:val="22"/>
          <w:lang w:eastAsia="en-US"/>
        </w:rPr>
        <w:t>PHSR BSK 2014-2020</w:t>
      </w:r>
      <w:r w:rsidRPr="000952DF">
        <w:rPr>
          <w:rFonts w:ascii="Arial" w:eastAsia="Calibri" w:hAnsi="Arial" w:cs="Arial"/>
          <w:sz w:val="22"/>
          <w:szCs w:val="22"/>
          <w:lang w:eastAsia="en-US"/>
        </w:rPr>
        <w:t>)</w:t>
      </w:r>
      <w:r>
        <w:rPr>
          <w:rFonts w:ascii="Arial" w:eastAsia="Calibri" w:hAnsi="Arial" w:cs="Arial"/>
          <w:sz w:val="22"/>
          <w:szCs w:val="22"/>
          <w:lang w:eastAsia="en-US"/>
        </w:rPr>
        <w:t>, ktorý bol schválený</w:t>
      </w:r>
      <w:r w:rsidR="00FD131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FD1316" w:rsidRPr="008F0A86">
        <w:rPr>
          <w:rFonts w:ascii="Arial" w:hAnsi="Arial" w:cs="Arial"/>
          <w:sz w:val="22"/>
          <w:szCs w:val="22"/>
        </w:rPr>
        <w:t xml:space="preserve">Uznesením č. </w:t>
      </w:r>
      <w:r w:rsidR="00FD1316">
        <w:rPr>
          <w:rFonts w:ascii="Arial" w:hAnsi="Arial" w:cs="Arial"/>
          <w:sz w:val="22"/>
          <w:szCs w:val="22"/>
        </w:rPr>
        <w:t xml:space="preserve">46/2013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Zastupiteľstvom Bratislavského samosprávneho kraja dňa 21.6.2013.</w:t>
      </w:r>
      <w:r w:rsidRPr="00560B4B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18CCB7BC" w14:textId="18BBDC5E" w:rsidR="00444EE6" w:rsidRDefault="008F0A86" w:rsidP="00271C7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F0A86">
        <w:rPr>
          <w:rFonts w:ascii="Arial" w:hAnsi="Arial" w:cs="Arial"/>
          <w:sz w:val="22"/>
          <w:szCs w:val="22"/>
        </w:rPr>
        <w:t xml:space="preserve">V súlade s Uznesením č. </w:t>
      </w:r>
      <w:r>
        <w:rPr>
          <w:rFonts w:ascii="Arial" w:hAnsi="Arial" w:cs="Arial"/>
          <w:sz w:val="22"/>
          <w:szCs w:val="22"/>
        </w:rPr>
        <w:t xml:space="preserve">46/2013 Odbor stratégie, územného rozvoja a riadenia projektov spracoval </w:t>
      </w:r>
      <w:r w:rsidRPr="00FD1316">
        <w:rPr>
          <w:rFonts w:ascii="Arial" w:hAnsi="Arial" w:cs="Arial"/>
          <w:b/>
          <w:sz w:val="22"/>
          <w:szCs w:val="22"/>
        </w:rPr>
        <w:t>Správu z hodnotenia PHSR BSK 2014-2020</w:t>
      </w:r>
      <w:r w:rsidR="00C46AC8" w:rsidRPr="00FD1316">
        <w:rPr>
          <w:rFonts w:ascii="Arial" w:hAnsi="Arial" w:cs="Arial"/>
          <w:b/>
          <w:sz w:val="22"/>
          <w:szCs w:val="22"/>
        </w:rPr>
        <w:t xml:space="preserve"> za rok</w:t>
      </w:r>
      <w:r w:rsidR="00C46AC8">
        <w:rPr>
          <w:rFonts w:ascii="Arial" w:hAnsi="Arial" w:cs="Arial"/>
          <w:sz w:val="22"/>
          <w:szCs w:val="22"/>
        </w:rPr>
        <w:t xml:space="preserve"> 2014</w:t>
      </w:r>
      <w:r w:rsidR="00E030D5">
        <w:rPr>
          <w:rFonts w:ascii="Arial" w:hAnsi="Arial" w:cs="Arial"/>
          <w:sz w:val="22"/>
          <w:szCs w:val="22"/>
        </w:rPr>
        <w:t xml:space="preserve"> (ďalej len Správu)</w:t>
      </w:r>
      <w:r>
        <w:rPr>
          <w:rFonts w:ascii="Arial" w:hAnsi="Arial" w:cs="Arial"/>
          <w:sz w:val="22"/>
          <w:szCs w:val="22"/>
        </w:rPr>
        <w:t xml:space="preserve"> prostredníctvom ktorej sa </w:t>
      </w:r>
      <w:r w:rsidR="00C46AC8">
        <w:rPr>
          <w:rFonts w:ascii="Arial" w:hAnsi="Arial" w:cs="Arial"/>
          <w:sz w:val="22"/>
          <w:szCs w:val="22"/>
        </w:rPr>
        <w:t>zabezpečuje</w:t>
      </w:r>
      <w:r>
        <w:rPr>
          <w:rFonts w:ascii="Arial" w:hAnsi="Arial" w:cs="Arial"/>
          <w:sz w:val="22"/>
          <w:szCs w:val="22"/>
        </w:rPr>
        <w:t xml:space="preserve"> </w:t>
      </w:r>
      <w:r w:rsidRPr="00E030D5">
        <w:rPr>
          <w:rFonts w:ascii="Arial" w:hAnsi="Arial" w:cs="Arial"/>
          <w:sz w:val="22"/>
          <w:szCs w:val="22"/>
        </w:rPr>
        <w:t xml:space="preserve">monitorovanie a hodnotenie plnenia </w:t>
      </w:r>
      <w:r w:rsidR="00C46AC8">
        <w:rPr>
          <w:rFonts w:ascii="Arial" w:hAnsi="Arial" w:cs="Arial"/>
          <w:sz w:val="22"/>
          <w:szCs w:val="22"/>
        </w:rPr>
        <w:t xml:space="preserve">PHSR BSK 2014-2020 </w:t>
      </w:r>
      <w:r>
        <w:rPr>
          <w:rFonts w:ascii="Arial" w:hAnsi="Arial" w:cs="Arial"/>
          <w:sz w:val="22"/>
          <w:szCs w:val="22"/>
        </w:rPr>
        <w:t>za rok</w:t>
      </w:r>
      <w:r w:rsidR="00E030D5">
        <w:rPr>
          <w:rFonts w:ascii="Arial" w:hAnsi="Arial" w:cs="Arial"/>
          <w:sz w:val="22"/>
          <w:szCs w:val="22"/>
        </w:rPr>
        <w:t xml:space="preserve"> 2014.</w:t>
      </w:r>
    </w:p>
    <w:p w14:paraId="58F15485" w14:textId="768FD41B" w:rsidR="00BB5A91" w:rsidRDefault="00805846" w:rsidP="00271C7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05846">
        <w:rPr>
          <w:rFonts w:ascii="Arial" w:hAnsi="Arial" w:cs="Arial"/>
          <w:sz w:val="22"/>
          <w:szCs w:val="22"/>
        </w:rPr>
        <w:t xml:space="preserve">Monitorovanie a hodnotenie predstavuje proces, ktorý systematicky skúma prínos z realizácie </w:t>
      </w:r>
      <w:r>
        <w:rPr>
          <w:rFonts w:ascii="Arial" w:hAnsi="Arial" w:cs="Arial"/>
          <w:sz w:val="22"/>
          <w:szCs w:val="22"/>
        </w:rPr>
        <w:t>PHSR BSK</w:t>
      </w:r>
      <w:r w:rsidR="00C46AC8">
        <w:rPr>
          <w:rFonts w:ascii="Arial" w:hAnsi="Arial" w:cs="Arial"/>
          <w:sz w:val="22"/>
          <w:szCs w:val="22"/>
        </w:rPr>
        <w:t xml:space="preserve"> 2014-2020</w:t>
      </w:r>
      <w:r w:rsidRPr="00805846">
        <w:rPr>
          <w:rFonts w:ascii="Arial" w:hAnsi="Arial" w:cs="Arial"/>
          <w:sz w:val="22"/>
          <w:szCs w:val="22"/>
        </w:rPr>
        <w:t xml:space="preserve"> a jeho súlad s cieľmi stanovenými v</w:t>
      </w:r>
      <w:r w:rsidR="00C46AC8">
        <w:rPr>
          <w:rFonts w:ascii="Arial" w:hAnsi="Arial" w:cs="Arial"/>
          <w:sz w:val="22"/>
          <w:szCs w:val="22"/>
        </w:rPr>
        <w:t> strategickej časti</w:t>
      </w:r>
      <w:r w:rsidRPr="00805846">
        <w:rPr>
          <w:rFonts w:ascii="Arial" w:hAnsi="Arial" w:cs="Arial"/>
          <w:sz w:val="22"/>
          <w:szCs w:val="22"/>
        </w:rPr>
        <w:t xml:space="preserve"> a analyzuje účinnosť realizačných procesov a vhodnosť nastavenia jednotlivých opatrení a skupiny aktivít a pripravuje odporúčania na zvýšenie ich efektívnosti.</w:t>
      </w:r>
      <w:r w:rsidR="007D1975">
        <w:rPr>
          <w:rFonts w:ascii="Arial" w:hAnsi="Arial" w:cs="Arial"/>
          <w:sz w:val="22"/>
          <w:szCs w:val="22"/>
        </w:rPr>
        <w:t xml:space="preserve"> </w:t>
      </w:r>
      <w:r w:rsidR="00E030D5">
        <w:rPr>
          <w:rFonts w:ascii="Arial" w:hAnsi="Arial" w:cs="Arial"/>
          <w:sz w:val="22"/>
          <w:szCs w:val="22"/>
        </w:rPr>
        <w:t xml:space="preserve">Správa vychádza z piatich prioritných osí a jedenástich opatrení, ktoré boli definované v strategickej </w:t>
      </w:r>
      <w:r w:rsidR="00C46AC8">
        <w:rPr>
          <w:rFonts w:ascii="Arial" w:hAnsi="Arial" w:cs="Arial"/>
          <w:sz w:val="22"/>
          <w:szCs w:val="22"/>
        </w:rPr>
        <w:t xml:space="preserve">a programovej </w:t>
      </w:r>
      <w:r w:rsidR="00E030D5">
        <w:rPr>
          <w:rFonts w:ascii="Arial" w:hAnsi="Arial" w:cs="Arial"/>
          <w:sz w:val="22"/>
          <w:szCs w:val="22"/>
        </w:rPr>
        <w:t xml:space="preserve">časti PHSR BSK 2014-2020. </w:t>
      </w:r>
    </w:p>
    <w:p w14:paraId="26F2615C" w14:textId="77777777" w:rsidR="00BB5A91" w:rsidRDefault="00BB5A91" w:rsidP="00271C7B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37ACB3E2" w14:textId="3D4465EE" w:rsidR="00E030D5" w:rsidRPr="00FD1316" w:rsidRDefault="00E030D5" w:rsidP="00271C7B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FD1316">
        <w:rPr>
          <w:rFonts w:ascii="Arial" w:hAnsi="Arial" w:cs="Arial"/>
          <w:b/>
          <w:sz w:val="22"/>
          <w:szCs w:val="22"/>
        </w:rPr>
        <w:t>Samotné monitorovanie a následne hodnotenie prebiehalo v troch vrstvách:</w:t>
      </w:r>
    </w:p>
    <w:p w14:paraId="6BB9375A" w14:textId="527641B5" w:rsidR="00E030D5" w:rsidRPr="004C68DC" w:rsidRDefault="00F061BB" w:rsidP="004C68DC">
      <w:pPr>
        <w:pStyle w:val="Odsekzoznamu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030D5" w:rsidRPr="004C68DC">
        <w:rPr>
          <w:rFonts w:ascii="Arial" w:hAnsi="Arial" w:cs="Arial"/>
          <w:sz w:val="22"/>
          <w:szCs w:val="22"/>
        </w:rPr>
        <w:t>yhodnotenie merateľných ukazovateľov definovaných v PHSR BSK 2014-2020</w:t>
      </w:r>
      <w:r w:rsidR="004C68DC" w:rsidRPr="004C68DC">
        <w:rPr>
          <w:rFonts w:ascii="Arial" w:hAnsi="Arial" w:cs="Arial"/>
          <w:sz w:val="22"/>
          <w:szCs w:val="22"/>
        </w:rPr>
        <w:t>;</w:t>
      </w:r>
    </w:p>
    <w:p w14:paraId="3B8D5B6D" w14:textId="72EDFCF7" w:rsidR="00E030D5" w:rsidRPr="004C68DC" w:rsidRDefault="00F061BB" w:rsidP="004C68DC">
      <w:pPr>
        <w:pStyle w:val="Odsekzoznamu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030D5" w:rsidRPr="004C68DC">
        <w:rPr>
          <w:rFonts w:ascii="Arial" w:hAnsi="Arial" w:cs="Arial"/>
          <w:sz w:val="22"/>
          <w:szCs w:val="22"/>
        </w:rPr>
        <w:t>nalýza prostredia vplývajúceho na prioritné osi;</w:t>
      </w:r>
    </w:p>
    <w:p w14:paraId="38F93572" w14:textId="5CEB330A" w:rsidR="00E030D5" w:rsidRPr="004C68DC" w:rsidRDefault="00F061BB" w:rsidP="004C68DC">
      <w:pPr>
        <w:pStyle w:val="Odsekzoznamu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030D5" w:rsidRPr="004C68DC">
        <w:rPr>
          <w:rFonts w:ascii="Arial" w:hAnsi="Arial" w:cs="Arial"/>
          <w:sz w:val="22"/>
          <w:szCs w:val="22"/>
        </w:rPr>
        <w:t>nalýza priebehu projektov</w:t>
      </w:r>
      <w:r w:rsidR="004C68DC">
        <w:rPr>
          <w:rFonts w:ascii="Arial" w:hAnsi="Arial" w:cs="Arial"/>
          <w:sz w:val="22"/>
          <w:szCs w:val="22"/>
        </w:rPr>
        <w:t xml:space="preserve"> definovaných Akčným plánom ÚBSK.</w:t>
      </w:r>
    </w:p>
    <w:p w14:paraId="7AC1F6C5" w14:textId="77777777" w:rsidR="00947640" w:rsidRDefault="00947640" w:rsidP="00271C7B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569A5C7B" w14:textId="0680BFE7" w:rsidR="00805846" w:rsidRDefault="00947640" w:rsidP="00271C7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Záverom správy je návrhová časť, ktorá obsahuje opatrenia na rok 2015, </w:t>
      </w:r>
      <w:r w:rsidR="00910CBA">
        <w:rPr>
          <w:rFonts w:ascii="Arial" w:hAnsi="Arial" w:cs="Arial"/>
          <w:sz w:val="22"/>
          <w:szCs w:val="22"/>
        </w:rPr>
        <w:t>zvyšujúce</w:t>
      </w:r>
      <w:r>
        <w:rPr>
          <w:rFonts w:ascii="Arial" w:hAnsi="Arial" w:cs="Arial"/>
          <w:sz w:val="22"/>
          <w:szCs w:val="22"/>
        </w:rPr>
        <w:t xml:space="preserve"> efektivitu plnenia PHSR BSK 2014-2020.</w:t>
      </w:r>
    </w:p>
    <w:p w14:paraId="7E24D2FB" w14:textId="484466D8" w:rsidR="00947640" w:rsidRDefault="00FD1316" w:rsidP="00271C7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Správa bola v štádiu návrhu predložená na pripomienkovanie príslušným odborom Úradu BSK. </w:t>
      </w:r>
    </w:p>
    <w:p w14:paraId="7D6A773F" w14:textId="77777777" w:rsidR="007D1975" w:rsidRDefault="007D1975" w:rsidP="00271C7B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415D6004" w14:textId="63B89E30" w:rsidR="004C68DC" w:rsidRDefault="00723AF1" w:rsidP="00271C7B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 w:rsidR="004C68DC" w:rsidRPr="004C68DC">
        <w:rPr>
          <w:rFonts w:ascii="Arial" w:hAnsi="Arial" w:cs="Arial"/>
          <w:b/>
          <w:sz w:val="22"/>
          <w:szCs w:val="22"/>
        </w:rPr>
        <w:t>Vyhodnotenie merateľných ukazovateľov definovaných v PHSR BSK 2014-2020</w:t>
      </w:r>
    </w:p>
    <w:p w14:paraId="1B7371BC" w14:textId="4A4289ED" w:rsidR="00D20446" w:rsidRDefault="00D20446" w:rsidP="00271C7B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D20446">
        <w:rPr>
          <w:rFonts w:ascii="Arial" w:hAnsi="Arial" w:cs="Arial"/>
          <w:sz w:val="22"/>
          <w:szCs w:val="22"/>
        </w:rPr>
        <w:t xml:space="preserve">Nasledovný </w:t>
      </w:r>
      <w:r w:rsidR="00FD1316">
        <w:rPr>
          <w:rFonts w:ascii="Arial" w:hAnsi="Arial" w:cs="Arial"/>
          <w:sz w:val="22"/>
          <w:szCs w:val="22"/>
        </w:rPr>
        <w:t>grafický náhľad</w:t>
      </w:r>
      <w:r w:rsidRPr="00D20446">
        <w:rPr>
          <w:rFonts w:ascii="Arial" w:hAnsi="Arial" w:cs="Arial"/>
          <w:sz w:val="22"/>
          <w:szCs w:val="22"/>
        </w:rPr>
        <w:t xml:space="preserve"> prezentuje porovnanie súčasného stavu v roku 2014 </w:t>
      </w:r>
      <w:r w:rsidR="00805846">
        <w:rPr>
          <w:rFonts w:ascii="Arial" w:hAnsi="Arial" w:cs="Arial"/>
          <w:sz w:val="22"/>
          <w:szCs w:val="22"/>
        </w:rPr>
        <w:t xml:space="preserve"> </w:t>
      </w:r>
      <w:r w:rsidRPr="00D20446">
        <w:rPr>
          <w:rFonts w:ascii="Arial" w:hAnsi="Arial" w:cs="Arial"/>
          <w:sz w:val="22"/>
          <w:szCs w:val="22"/>
        </w:rPr>
        <w:t>s cieľovými hodnotami naplánovanými na rok 2020</w:t>
      </w:r>
      <w:r w:rsidR="00805846">
        <w:rPr>
          <w:rFonts w:ascii="Arial" w:hAnsi="Arial" w:cs="Arial"/>
          <w:sz w:val="22"/>
          <w:szCs w:val="22"/>
        </w:rPr>
        <w:t>.</w:t>
      </w:r>
      <w:r w:rsidR="00FD1316">
        <w:rPr>
          <w:rFonts w:ascii="Arial" w:hAnsi="Arial" w:cs="Arial"/>
          <w:sz w:val="22"/>
          <w:szCs w:val="22"/>
        </w:rPr>
        <w:t xml:space="preserve"> Grafické znázornenie bolo spracované na základe </w:t>
      </w:r>
      <w:r w:rsidR="00FC6C2A">
        <w:rPr>
          <w:rFonts w:ascii="Arial" w:hAnsi="Arial" w:cs="Arial"/>
          <w:sz w:val="22"/>
          <w:szCs w:val="22"/>
        </w:rPr>
        <w:t xml:space="preserve">PHSR BSK 2014-2020, </w:t>
      </w:r>
      <w:r w:rsidR="00FD1316">
        <w:rPr>
          <w:rFonts w:ascii="Arial" w:hAnsi="Arial" w:cs="Arial"/>
          <w:sz w:val="22"/>
          <w:szCs w:val="22"/>
        </w:rPr>
        <w:t>kapitoly B.7.6 „Sú</w:t>
      </w:r>
      <w:r w:rsidR="00FC6C2A">
        <w:rPr>
          <w:rFonts w:ascii="Arial" w:hAnsi="Arial" w:cs="Arial"/>
          <w:sz w:val="22"/>
          <w:szCs w:val="22"/>
        </w:rPr>
        <w:t xml:space="preserve">stava merateľných ukazovateľov“, ktorá predstavuje kvantitatívne premietnutie cieľov prostredníctvom sústavy merateľných ukazovateľov. Zdrojom monitorovacích ukazovateľov boli predovšetkým Národná stratégia regionálneho rozvoja SR a Národný program reforiem, ktorý sa predkladá každoročne na vládu SR ako aj Európskej Komisii. Detailnejší popis ukazovateľov je v samotnej Správe. </w:t>
      </w:r>
    </w:p>
    <w:p w14:paraId="57F4643B" w14:textId="77777777" w:rsidR="00BB5A91" w:rsidRDefault="00BB5A91" w:rsidP="00271C7B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1C2704F7" w14:textId="77777777" w:rsidR="007D1975" w:rsidRDefault="007D1975" w:rsidP="00271C7B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1FF644AF" w14:textId="77777777" w:rsidR="007D1975" w:rsidRDefault="007D1975" w:rsidP="00271C7B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45B5B5F4" w14:textId="77777777" w:rsidR="007D1975" w:rsidRDefault="007D1975" w:rsidP="00271C7B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67123D4F" w14:textId="77777777" w:rsidR="007D1975" w:rsidRDefault="007D1975" w:rsidP="00271C7B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41C70093" w14:textId="77777777" w:rsidR="007D1975" w:rsidRDefault="007D1975" w:rsidP="00271C7B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0A6DF16E" w14:textId="77777777" w:rsidR="007D1975" w:rsidRDefault="007D1975" w:rsidP="00271C7B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36D3BD43" w14:textId="77777777" w:rsidR="007D1975" w:rsidRDefault="007D1975" w:rsidP="00271C7B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7A055FA7" w14:textId="77777777" w:rsidR="00910CBA" w:rsidRDefault="00910CBA" w:rsidP="00271C7B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36DEEEB9" w14:textId="31C25086" w:rsidR="00D20446" w:rsidRDefault="00947640" w:rsidP="00271C7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Ukazovatele prioritnej </w:t>
      </w:r>
      <w:r w:rsidR="00D20446" w:rsidRPr="00805846">
        <w:rPr>
          <w:rFonts w:ascii="Arial" w:hAnsi="Arial" w:cs="Arial"/>
          <w:sz w:val="22"/>
          <w:szCs w:val="22"/>
        </w:rPr>
        <w:t>os</w:t>
      </w:r>
      <w:r>
        <w:rPr>
          <w:rFonts w:ascii="Arial" w:hAnsi="Arial" w:cs="Arial"/>
          <w:sz w:val="22"/>
          <w:szCs w:val="22"/>
        </w:rPr>
        <w:t>i</w:t>
      </w:r>
      <w:r w:rsidR="00D20446" w:rsidRPr="00805846">
        <w:rPr>
          <w:rFonts w:ascii="Arial" w:hAnsi="Arial" w:cs="Arial"/>
          <w:sz w:val="22"/>
          <w:szCs w:val="22"/>
        </w:rPr>
        <w:t xml:space="preserve"> 1: Veda, výskum a</w:t>
      </w:r>
      <w:r w:rsidR="00B13463">
        <w:rPr>
          <w:rFonts w:ascii="Arial" w:hAnsi="Arial" w:cs="Arial"/>
          <w:sz w:val="22"/>
          <w:szCs w:val="22"/>
        </w:rPr>
        <w:t> </w:t>
      </w:r>
      <w:r w:rsidR="00D20446" w:rsidRPr="00805846">
        <w:rPr>
          <w:rFonts w:ascii="Arial" w:hAnsi="Arial" w:cs="Arial"/>
          <w:sz w:val="22"/>
          <w:szCs w:val="22"/>
        </w:rPr>
        <w:t>inovácie</w:t>
      </w:r>
    </w:p>
    <w:p w14:paraId="12D2F4D0" w14:textId="37CEF4D7" w:rsidR="00D20446" w:rsidRDefault="00910CBA" w:rsidP="00271C7B">
      <w:pPr>
        <w:spacing w:before="120" w:after="120"/>
        <w:jc w:val="both"/>
        <w:rPr>
          <w:noProof/>
        </w:rPr>
      </w:pPr>
      <w:r>
        <w:rPr>
          <w:noProof/>
        </w:rPr>
        <w:drawing>
          <wp:inline distT="0" distB="0" distL="0" distR="0" wp14:anchorId="472CEDBD" wp14:editId="74D7131E">
            <wp:extent cx="5857240" cy="2371725"/>
            <wp:effectExtent l="0" t="0" r="10160" b="9525"/>
            <wp:docPr id="17" name="Graf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6A886701" w14:textId="77777777" w:rsidR="00910CBA" w:rsidRDefault="00910CBA" w:rsidP="00271C7B">
      <w:pPr>
        <w:spacing w:before="120" w:after="120"/>
        <w:jc w:val="both"/>
        <w:rPr>
          <w:noProof/>
        </w:rPr>
      </w:pPr>
    </w:p>
    <w:p w14:paraId="459D44F7" w14:textId="59C1208B" w:rsidR="00D20446" w:rsidRDefault="00947640" w:rsidP="00271C7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Ukazovatele prioritnej </w:t>
      </w:r>
      <w:r w:rsidRPr="00805846">
        <w:rPr>
          <w:rFonts w:ascii="Arial" w:hAnsi="Arial" w:cs="Arial"/>
          <w:sz w:val="22"/>
          <w:szCs w:val="22"/>
        </w:rPr>
        <w:t>os</w:t>
      </w:r>
      <w:r>
        <w:rPr>
          <w:rFonts w:ascii="Arial" w:hAnsi="Arial" w:cs="Arial"/>
          <w:sz w:val="22"/>
          <w:szCs w:val="22"/>
        </w:rPr>
        <w:t>i</w:t>
      </w:r>
      <w:r w:rsidR="00D20446" w:rsidRPr="00805846">
        <w:rPr>
          <w:rFonts w:ascii="Arial" w:hAnsi="Arial" w:cs="Arial"/>
          <w:sz w:val="22"/>
          <w:szCs w:val="22"/>
        </w:rPr>
        <w:t xml:space="preserve"> 2: Ľudské zdroje</w:t>
      </w:r>
    </w:p>
    <w:p w14:paraId="42068A9B" w14:textId="32DFADC7" w:rsidR="00D20446" w:rsidRDefault="00910CBA" w:rsidP="00271C7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16DF810F" wp14:editId="2C392D76">
            <wp:extent cx="5883966" cy="2695492"/>
            <wp:effectExtent l="0" t="0" r="21590" b="10160"/>
            <wp:docPr id="20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86DA5A5" w14:textId="77777777" w:rsidR="007D1975" w:rsidRDefault="007D1975" w:rsidP="00271C7B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5E6CBB89" w14:textId="65B67088" w:rsidR="00D20446" w:rsidRDefault="00947640" w:rsidP="00271C7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Ukazovatele prioritnej </w:t>
      </w:r>
      <w:r w:rsidRPr="00805846">
        <w:rPr>
          <w:rFonts w:ascii="Arial" w:hAnsi="Arial" w:cs="Arial"/>
          <w:sz w:val="22"/>
          <w:szCs w:val="22"/>
        </w:rPr>
        <w:t>os</w:t>
      </w:r>
      <w:r>
        <w:rPr>
          <w:rFonts w:ascii="Arial" w:hAnsi="Arial" w:cs="Arial"/>
          <w:sz w:val="22"/>
          <w:szCs w:val="22"/>
        </w:rPr>
        <w:t>i</w:t>
      </w:r>
      <w:r w:rsidRPr="00805846">
        <w:rPr>
          <w:rFonts w:ascii="Arial" w:hAnsi="Arial" w:cs="Arial"/>
          <w:sz w:val="22"/>
          <w:szCs w:val="22"/>
        </w:rPr>
        <w:t xml:space="preserve"> </w:t>
      </w:r>
      <w:r w:rsidR="00D20446" w:rsidRPr="00805846">
        <w:rPr>
          <w:rFonts w:ascii="Arial" w:hAnsi="Arial" w:cs="Arial"/>
          <w:sz w:val="22"/>
          <w:szCs w:val="22"/>
        </w:rPr>
        <w:t>3: Zamestnanosť</w:t>
      </w:r>
    </w:p>
    <w:p w14:paraId="2178969E" w14:textId="34B29696" w:rsidR="007D1975" w:rsidRDefault="00910CBA" w:rsidP="00910CB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cs="Arial"/>
          <w:noProof/>
        </w:rPr>
        <w:drawing>
          <wp:inline distT="0" distB="0" distL="0" distR="0" wp14:anchorId="21154698" wp14:editId="3FAA2507">
            <wp:extent cx="5883966" cy="2210463"/>
            <wp:effectExtent l="0" t="0" r="21590" b="18415"/>
            <wp:docPr id="22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 w:rsidR="007D1975">
        <w:rPr>
          <w:rFonts w:ascii="Arial" w:hAnsi="Arial" w:cs="Arial"/>
          <w:sz w:val="22"/>
          <w:szCs w:val="22"/>
        </w:rPr>
        <w:br w:type="page"/>
      </w:r>
    </w:p>
    <w:p w14:paraId="3622F230" w14:textId="0245DCA6" w:rsidR="00D20446" w:rsidRDefault="00947640" w:rsidP="00271C7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Ukazovatele prioritnej </w:t>
      </w:r>
      <w:r w:rsidRPr="00805846">
        <w:rPr>
          <w:rFonts w:ascii="Arial" w:hAnsi="Arial" w:cs="Arial"/>
          <w:sz w:val="22"/>
          <w:szCs w:val="22"/>
        </w:rPr>
        <w:t>os</w:t>
      </w:r>
      <w:r>
        <w:rPr>
          <w:rFonts w:ascii="Arial" w:hAnsi="Arial" w:cs="Arial"/>
          <w:sz w:val="22"/>
          <w:szCs w:val="22"/>
        </w:rPr>
        <w:t>i</w:t>
      </w:r>
      <w:r w:rsidRPr="00805846">
        <w:rPr>
          <w:rFonts w:ascii="Arial" w:hAnsi="Arial" w:cs="Arial"/>
          <w:sz w:val="22"/>
          <w:szCs w:val="22"/>
        </w:rPr>
        <w:t xml:space="preserve"> </w:t>
      </w:r>
      <w:r w:rsidR="00805846">
        <w:rPr>
          <w:rFonts w:ascii="Arial" w:hAnsi="Arial" w:cs="Arial"/>
          <w:sz w:val="22"/>
          <w:szCs w:val="22"/>
        </w:rPr>
        <w:t xml:space="preserve">4: </w:t>
      </w:r>
      <w:r w:rsidR="00805846" w:rsidRPr="00805846">
        <w:rPr>
          <w:rFonts w:ascii="Arial" w:hAnsi="Arial" w:cs="Arial"/>
          <w:sz w:val="22"/>
          <w:szCs w:val="22"/>
        </w:rPr>
        <w:t>Konkurencieschopnosť, rast a podnikateľské prostredie</w:t>
      </w:r>
    </w:p>
    <w:p w14:paraId="75B1E9BC" w14:textId="4540E829" w:rsidR="00D20446" w:rsidRDefault="00910CBA" w:rsidP="00271C7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cs="Arial"/>
          <w:noProof/>
        </w:rPr>
        <w:drawing>
          <wp:inline distT="0" distB="0" distL="0" distR="0" wp14:anchorId="6944A6C8" wp14:editId="09BF34E1">
            <wp:extent cx="5779698" cy="2424023"/>
            <wp:effectExtent l="0" t="0" r="12065" b="14605"/>
            <wp:docPr id="24" name="Graf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68550BFC" w14:textId="77777777" w:rsidR="00947640" w:rsidRDefault="00947640" w:rsidP="00271C7B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4560CA62" w14:textId="0B5EF38B" w:rsidR="00D20446" w:rsidRDefault="00947640" w:rsidP="00271C7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Ukazovatele prioritnej </w:t>
      </w:r>
      <w:r w:rsidRPr="00805846">
        <w:rPr>
          <w:rFonts w:ascii="Arial" w:hAnsi="Arial" w:cs="Arial"/>
          <w:sz w:val="22"/>
          <w:szCs w:val="22"/>
        </w:rPr>
        <w:t>os</w:t>
      </w:r>
      <w:r>
        <w:rPr>
          <w:rFonts w:ascii="Arial" w:hAnsi="Arial" w:cs="Arial"/>
          <w:sz w:val="22"/>
          <w:szCs w:val="22"/>
        </w:rPr>
        <w:t>i</w:t>
      </w:r>
      <w:r w:rsidR="00805846">
        <w:rPr>
          <w:rFonts w:ascii="Arial" w:hAnsi="Arial" w:cs="Arial"/>
          <w:sz w:val="22"/>
          <w:szCs w:val="22"/>
        </w:rPr>
        <w:t xml:space="preserve"> 5: Životné prostredie, zmena klímy a obnoviteľné zdroje energie</w:t>
      </w:r>
    </w:p>
    <w:p w14:paraId="075C56A3" w14:textId="45EB8EA9" w:rsidR="00910CBA" w:rsidRDefault="00910CBA" w:rsidP="00271C7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cs="Arial"/>
          <w:noProof/>
        </w:rPr>
        <w:drawing>
          <wp:inline distT="0" distB="0" distL="0" distR="0" wp14:anchorId="7BD05806" wp14:editId="02CDD53F">
            <wp:extent cx="5779698" cy="2553419"/>
            <wp:effectExtent l="0" t="0" r="12065" b="18415"/>
            <wp:docPr id="26" name="Graf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63882A59" w14:textId="541E496F" w:rsidR="00805846" w:rsidRDefault="00805846" w:rsidP="00271C7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66B31C2C" w14:textId="3C997BEB" w:rsidR="004C68DC" w:rsidRDefault="00723AF1" w:rsidP="004C68DC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2. </w:t>
      </w:r>
      <w:r w:rsidR="004C68DC">
        <w:rPr>
          <w:rFonts w:ascii="Arial" w:hAnsi="Arial" w:cs="Arial"/>
          <w:b/>
          <w:sz w:val="22"/>
          <w:szCs w:val="22"/>
        </w:rPr>
        <w:t>Analýza prostredia vplývajúceho na prioritné osi</w:t>
      </w:r>
    </w:p>
    <w:p w14:paraId="23D34244" w14:textId="740DA27E" w:rsidR="004C68DC" w:rsidRPr="004C68DC" w:rsidRDefault="004C68DC" w:rsidP="004C68DC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C68DC">
        <w:rPr>
          <w:rFonts w:ascii="Arial" w:hAnsi="Arial" w:cs="Arial"/>
          <w:sz w:val="22"/>
          <w:szCs w:val="22"/>
        </w:rPr>
        <w:t>V rámci monitorovania prostredia vplývajúceho na plnenie PHSR BSK 2014-2020 boli </w:t>
      </w:r>
      <w:r w:rsidR="0090058B">
        <w:rPr>
          <w:rFonts w:ascii="Arial" w:hAnsi="Arial" w:cs="Arial"/>
          <w:sz w:val="22"/>
          <w:szCs w:val="22"/>
        </w:rPr>
        <w:t>identifikované</w:t>
      </w:r>
      <w:r w:rsidR="00BB5A91">
        <w:rPr>
          <w:rFonts w:ascii="Arial" w:hAnsi="Arial" w:cs="Arial"/>
          <w:sz w:val="22"/>
          <w:szCs w:val="22"/>
        </w:rPr>
        <w:t xml:space="preserve"> nasledovné trendy, ktoré najviac vplývajú</w:t>
      </w:r>
      <w:r w:rsidRPr="004C68DC">
        <w:rPr>
          <w:rFonts w:ascii="Arial" w:hAnsi="Arial" w:cs="Arial"/>
          <w:sz w:val="22"/>
          <w:szCs w:val="22"/>
        </w:rPr>
        <w:t xml:space="preserve"> na prioritné osi.</w:t>
      </w:r>
      <w:r w:rsidR="0090058B">
        <w:rPr>
          <w:rFonts w:ascii="Arial" w:hAnsi="Arial" w:cs="Arial"/>
          <w:sz w:val="22"/>
          <w:szCs w:val="22"/>
        </w:rPr>
        <w:t xml:space="preserve"> Detailnejšie rozpracovanie analýzy prostredia vplývajúceho na prioritné osi je uvedená priamo v Správe. Analýza je </w:t>
      </w:r>
      <w:r w:rsidR="00FF72D3">
        <w:rPr>
          <w:rFonts w:ascii="Arial" w:hAnsi="Arial" w:cs="Arial"/>
          <w:sz w:val="22"/>
          <w:szCs w:val="22"/>
        </w:rPr>
        <w:t>štruktúrovaná</w:t>
      </w:r>
      <w:r w:rsidR="0090058B">
        <w:rPr>
          <w:rFonts w:ascii="Arial" w:hAnsi="Arial" w:cs="Arial"/>
          <w:sz w:val="22"/>
          <w:szCs w:val="22"/>
        </w:rPr>
        <w:t xml:space="preserve"> do 3 oblastí: legislatívno-strategickej, </w:t>
      </w:r>
      <w:r w:rsidR="00FF72D3">
        <w:rPr>
          <w:rFonts w:ascii="Arial" w:hAnsi="Arial" w:cs="Arial"/>
          <w:sz w:val="22"/>
          <w:szCs w:val="22"/>
        </w:rPr>
        <w:t xml:space="preserve">ekonomicko-finančnej a </w:t>
      </w:r>
      <w:proofErr w:type="spellStart"/>
      <w:r w:rsidR="00FF72D3">
        <w:rPr>
          <w:rFonts w:ascii="Arial" w:hAnsi="Arial" w:cs="Arial"/>
          <w:sz w:val="22"/>
          <w:szCs w:val="22"/>
        </w:rPr>
        <w:t>inštitucionálno-ogranizačnej</w:t>
      </w:r>
      <w:proofErr w:type="spellEnd"/>
      <w:r w:rsidR="00FF72D3">
        <w:rPr>
          <w:rFonts w:ascii="Arial" w:hAnsi="Arial" w:cs="Arial"/>
          <w:sz w:val="22"/>
          <w:szCs w:val="22"/>
        </w:rPr>
        <w:t xml:space="preserve">. Vplyv prostredia bol skúmaný na úrovni prostredia </w:t>
      </w:r>
      <w:r w:rsidR="00CF4C47">
        <w:rPr>
          <w:rFonts w:ascii="Arial" w:hAnsi="Arial" w:cs="Arial"/>
          <w:sz w:val="22"/>
          <w:szCs w:val="22"/>
        </w:rPr>
        <w:t>Európskej únie</w:t>
      </w:r>
      <w:r w:rsidR="00FF72D3">
        <w:rPr>
          <w:rFonts w:ascii="Arial" w:hAnsi="Arial" w:cs="Arial"/>
          <w:sz w:val="22"/>
          <w:szCs w:val="22"/>
        </w:rPr>
        <w:t xml:space="preserve">, prostredia Slovenskej republiky a prostredia </w:t>
      </w:r>
      <w:r w:rsidR="00CF4C47">
        <w:rPr>
          <w:rFonts w:ascii="Arial" w:hAnsi="Arial" w:cs="Arial"/>
          <w:sz w:val="22"/>
          <w:szCs w:val="22"/>
        </w:rPr>
        <w:t>Bratislavského kraja</w:t>
      </w:r>
      <w:r w:rsidR="00FF72D3">
        <w:rPr>
          <w:rFonts w:ascii="Arial" w:hAnsi="Arial" w:cs="Arial"/>
          <w:sz w:val="22"/>
          <w:szCs w:val="22"/>
        </w:rPr>
        <w:t xml:space="preserve">.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17"/>
        <w:gridCol w:w="3519"/>
        <w:gridCol w:w="2952"/>
      </w:tblGrid>
      <w:tr w:rsidR="004C68DC" w14:paraId="7216692B" w14:textId="77777777" w:rsidTr="00FC6C2A">
        <w:tc>
          <w:tcPr>
            <w:tcW w:w="0" w:type="auto"/>
            <w:shd w:val="clear" w:color="auto" w:fill="1F497D" w:themeFill="text2"/>
          </w:tcPr>
          <w:p w14:paraId="7AA1EC90" w14:textId="77777777" w:rsidR="004C68DC" w:rsidRPr="004C68DC" w:rsidRDefault="004C68DC" w:rsidP="004C68DC">
            <w:pPr>
              <w:pStyle w:val="Bezriadkovania"/>
              <w:rPr>
                <w:rFonts w:cs="Arial"/>
                <w:color w:val="FFFFFF" w:themeColor="background1"/>
                <w:sz w:val="22"/>
              </w:rPr>
            </w:pPr>
            <w:r w:rsidRPr="004C68DC">
              <w:rPr>
                <w:rFonts w:cs="Arial"/>
                <w:color w:val="FFFFFF" w:themeColor="background1"/>
                <w:sz w:val="22"/>
              </w:rPr>
              <w:t>Prioritná os</w:t>
            </w:r>
          </w:p>
        </w:tc>
        <w:tc>
          <w:tcPr>
            <w:tcW w:w="0" w:type="auto"/>
            <w:shd w:val="clear" w:color="auto" w:fill="1F497D" w:themeFill="text2"/>
          </w:tcPr>
          <w:p w14:paraId="30FD438E" w14:textId="6EB1E13A" w:rsidR="004C68DC" w:rsidRPr="004C68DC" w:rsidRDefault="00FC6C2A" w:rsidP="004C68DC">
            <w:pPr>
              <w:pStyle w:val="Bezriadkovania"/>
              <w:rPr>
                <w:rFonts w:cs="Arial"/>
                <w:color w:val="FFFFFF" w:themeColor="background1"/>
                <w:sz w:val="22"/>
              </w:rPr>
            </w:pPr>
            <w:r>
              <w:rPr>
                <w:rFonts w:cs="Arial"/>
                <w:color w:val="FFFFFF" w:themeColor="background1"/>
                <w:sz w:val="22"/>
              </w:rPr>
              <w:t>P</w:t>
            </w:r>
            <w:r w:rsidR="004C68DC" w:rsidRPr="004C68DC">
              <w:rPr>
                <w:rFonts w:cs="Arial"/>
                <w:color w:val="FFFFFF" w:themeColor="background1"/>
                <w:sz w:val="22"/>
              </w:rPr>
              <w:t>ozitívne trendy sledovaného obdobia</w:t>
            </w:r>
          </w:p>
        </w:tc>
        <w:tc>
          <w:tcPr>
            <w:tcW w:w="0" w:type="auto"/>
            <w:shd w:val="clear" w:color="auto" w:fill="1F497D" w:themeFill="text2"/>
          </w:tcPr>
          <w:p w14:paraId="7F156025" w14:textId="2E5E13DA" w:rsidR="004C68DC" w:rsidRPr="004C68DC" w:rsidRDefault="00FC6C2A" w:rsidP="004C68DC">
            <w:pPr>
              <w:pStyle w:val="Bezriadkovania"/>
              <w:rPr>
                <w:rFonts w:cs="Arial"/>
                <w:color w:val="FFFFFF" w:themeColor="background1"/>
                <w:sz w:val="22"/>
              </w:rPr>
            </w:pPr>
            <w:r>
              <w:rPr>
                <w:rFonts w:cs="Arial"/>
                <w:color w:val="FFFFFF" w:themeColor="background1"/>
                <w:sz w:val="22"/>
              </w:rPr>
              <w:t>N</w:t>
            </w:r>
            <w:r w:rsidR="004C68DC" w:rsidRPr="004C68DC">
              <w:rPr>
                <w:rFonts w:cs="Arial"/>
                <w:color w:val="FFFFFF" w:themeColor="background1"/>
                <w:sz w:val="22"/>
              </w:rPr>
              <w:t>egatívne trendy sledovaného obdobia</w:t>
            </w:r>
          </w:p>
        </w:tc>
      </w:tr>
      <w:tr w:rsidR="004C68DC" w14:paraId="2334DA87" w14:textId="77777777" w:rsidTr="00FC6C2A">
        <w:tc>
          <w:tcPr>
            <w:tcW w:w="0" w:type="auto"/>
            <w:vAlign w:val="center"/>
          </w:tcPr>
          <w:p w14:paraId="60CD8F07" w14:textId="77777777" w:rsidR="004C68DC" w:rsidRPr="004C68DC" w:rsidRDefault="004C68DC" w:rsidP="004C68DC">
            <w:pPr>
              <w:pStyle w:val="Bezriadkovania"/>
              <w:jc w:val="left"/>
              <w:rPr>
                <w:rFonts w:cs="Arial"/>
                <w:sz w:val="22"/>
              </w:rPr>
            </w:pPr>
            <w:r w:rsidRPr="004C68DC">
              <w:rPr>
                <w:rFonts w:cs="Arial"/>
                <w:sz w:val="22"/>
              </w:rPr>
              <w:t>1. Veda, výskum a inovácie</w:t>
            </w:r>
          </w:p>
        </w:tc>
        <w:tc>
          <w:tcPr>
            <w:tcW w:w="0" w:type="auto"/>
          </w:tcPr>
          <w:p w14:paraId="48F4FBD9" w14:textId="13FBBD4D" w:rsidR="004C68DC" w:rsidRPr="004C68DC" w:rsidRDefault="00FC6C2A" w:rsidP="00FC6C2A">
            <w:pPr>
              <w:pStyle w:val="Bezriadkovania"/>
              <w:rPr>
                <w:rFonts w:cs="Arial"/>
                <w:sz w:val="22"/>
              </w:rPr>
            </w:pPr>
            <w:r w:rsidRPr="00FC6C2A">
              <w:rPr>
                <w:rFonts w:cs="Arial"/>
                <w:sz w:val="22"/>
              </w:rPr>
              <w:t>Zvýšenie výdavkov na výskum a vývoj/ inovácie (mierne stúpajúci trend), novovznikajúca strategicko-legislatívna podpora vedy a výskumu, vznik vedecko-technických parkov (Univerzitný vedecký park Univerzity Komenského v Bratislave, Univerzitný vedecký park STU, Centrum aplikovaného výskumu nových materiálov a transferu technológií SAV).</w:t>
            </w:r>
          </w:p>
        </w:tc>
        <w:tc>
          <w:tcPr>
            <w:tcW w:w="0" w:type="auto"/>
          </w:tcPr>
          <w:p w14:paraId="796E9AC8" w14:textId="229E93BC" w:rsidR="004C68DC" w:rsidRPr="004C68DC" w:rsidRDefault="00FC6C2A" w:rsidP="00FC6C2A">
            <w:pPr>
              <w:pStyle w:val="Bezriadkovania"/>
              <w:rPr>
                <w:rFonts w:cs="Arial"/>
                <w:sz w:val="22"/>
              </w:rPr>
            </w:pPr>
            <w:r w:rsidRPr="00FC6C2A">
              <w:rPr>
                <w:rFonts w:cs="Arial"/>
                <w:sz w:val="22"/>
              </w:rPr>
              <w:t xml:space="preserve">Nízka miera internacionalizácie, nízka miera zastúpenia v Európskych technologických platformách, nízka miera finančnej podpory zo strany štátu a súkromného sektoru, nízka miera efektívnosti (nízky počet medzinárodne uznaných patentov a nízky podiel </w:t>
            </w:r>
            <w:proofErr w:type="spellStart"/>
            <w:r w:rsidRPr="00FC6C2A">
              <w:rPr>
                <w:rFonts w:cs="Arial"/>
                <w:sz w:val="22"/>
              </w:rPr>
              <w:t>high-tech</w:t>
            </w:r>
            <w:proofErr w:type="spellEnd"/>
            <w:r w:rsidRPr="00FC6C2A">
              <w:rPr>
                <w:rFonts w:cs="Arial"/>
                <w:sz w:val="22"/>
              </w:rPr>
              <w:t xml:space="preserve"> výrobkov na celkovom objeme exportu), nízke čerpanie OP Výskum a vývoj.</w:t>
            </w:r>
          </w:p>
        </w:tc>
      </w:tr>
      <w:tr w:rsidR="004C68DC" w14:paraId="70DB7A11" w14:textId="77777777" w:rsidTr="00FC6C2A">
        <w:tc>
          <w:tcPr>
            <w:tcW w:w="0" w:type="auto"/>
            <w:vAlign w:val="center"/>
          </w:tcPr>
          <w:p w14:paraId="3DB027DD" w14:textId="77777777" w:rsidR="004C68DC" w:rsidRPr="004C68DC" w:rsidRDefault="004C68DC" w:rsidP="004C68DC">
            <w:pPr>
              <w:rPr>
                <w:rFonts w:ascii="Arial" w:hAnsi="Arial" w:cs="Arial"/>
                <w:sz w:val="22"/>
                <w:szCs w:val="22"/>
              </w:rPr>
            </w:pPr>
            <w:r w:rsidRPr="004C68DC">
              <w:rPr>
                <w:rFonts w:ascii="Arial" w:hAnsi="Arial" w:cs="Arial"/>
                <w:sz w:val="22"/>
                <w:szCs w:val="22"/>
              </w:rPr>
              <w:t>2. Ľudské zdroje</w:t>
            </w:r>
          </w:p>
        </w:tc>
        <w:tc>
          <w:tcPr>
            <w:tcW w:w="0" w:type="auto"/>
          </w:tcPr>
          <w:p w14:paraId="29F61351" w14:textId="15DC47D6" w:rsidR="004C68DC" w:rsidRPr="004C68DC" w:rsidRDefault="004C68DC" w:rsidP="00FC6C2A">
            <w:pPr>
              <w:pStyle w:val="Bezriadkovania"/>
              <w:rPr>
                <w:rFonts w:cs="Arial"/>
                <w:sz w:val="22"/>
              </w:rPr>
            </w:pPr>
            <w:r w:rsidRPr="004C68DC">
              <w:rPr>
                <w:rFonts w:cs="Arial"/>
                <w:sz w:val="22"/>
              </w:rPr>
              <w:t>Rozvoj a podpora legislatívy, rozvoj koncepcie celoživotného vzdelávania, rozvoj spolupráce školstva s podnikateľskými subjektmi a inštitúciami, rozvoj projektu ESO</w:t>
            </w:r>
            <w:r w:rsidR="00FC6C2A">
              <w:rPr>
                <w:rFonts w:cs="Arial"/>
                <w:sz w:val="22"/>
              </w:rPr>
              <w:t>.</w:t>
            </w:r>
          </w:p>
        </w:tc>
        <w:tc>
          <w:tcPr>
            <w:tcW w:w="0" w:type="auto"/>
          </w:tcPr>
          <w:p w14:paraId="604FCF95" w14:textId="6B6DA52A" w:rsidR="004C68DC" w:rsidRPr="004C68DC" w:rsidRDefault="004C68DC" w:rsidP="00FC6C2A">
            <w:pPr>
              <w:pStyle w:val="Bezriadkovania"/>
              <w:rPr>
                <w:rFonts w:cs="Arial"/>
                <w:sz w:val="22"/>
              </w:rPr>
            </w:pPr>
            <w:r w:rsidRPr="004C68DC">
              <w:rPr>
                <w:rFonts w:cs="Arial"/>
                <w:sz w:val="22"/>
              </w:rPr>
              <w:t>Nízka miera prepojenia vedy, výskumu a školstva s podnikateľskými subjektmi, nízka miera</w:t>
            </w:r>
            <w:r w:rsidR="00FC6C2A">
              <w:rPr>
                <w:rFonts w:cs="Arial"/>
                <w:sz w:val="22"/>
              </w:rPr>
              <w:t xml:space="preserve"> elektronizácie verejnej správy.</w:t>
            </w:r>
          </w:p>
        </w:tc>
      </w:tr>
      <w:tr w:rsidR="004C68DC" w14:paraId="7D327FAB" w14:textId="77777777" w:rsidTr="00FC6C2A">
        <w:tc>
          <w:tcPr>
            <w:tcW w:w="0" w:type="auto"/>
            <w:vAlign w:val="center"/>
          </w:tcPr>
          <w:p w14:paraId="2EE6D071" w14:textId="77777777" w:rsidR="004C68DC" w:rsidRPr="004C68DC" w:rsidRDefault="004C68DC" w:rsidP="004C68DC">
            <w:pPr>
              <w:pStyle w:val="Bezriadkovania"/>
              <w:jc w:val="left"/>
              <w:rPr>
                <w:rFonts w:cs="Arial"/>
                <w:sz w:val="22"/>
              </w:rPr>
            </w:pPr>
            <w:r w:rsidRPr="004C68DC">
              <w:rPr>
                <w:rFonts w:cs="Arial"/>
                <w:sz w:val="22"/>
              </w:rPr>
              <w:t>3. Zamestnanosť</w:t>
            </w:r>
          </w:p>
        </w:tc>
        <w:tc>
          <w:tcPr>
            <w:tcW w:w="0" w:type="auto"/>
          </w:tcPr>
          <w:p w14:paraId="67D7590A" w14:textId="3511A8F5" w:rsidR="004C68DC" w:rsidRPr="004C68DC" w:rsidRDefault="004C68DC" w:rsidP="00FC6C2A">
            <w:pPr>
              <w:pStyle w:val="Bezriadkovania"/>
              <w:rPr>
                <w:rFonts w:cs="Arial"/>
                <w:sz w:val="22"/>
              </w:rPr>
            </w:pPr>
            <w:r w:rsidRPr="004C68DC">
              <w:rPr>
                <w:rFonts w:cs="Arial"/>
                <w:sz w:val="22"/>
              </w:rPr>
              <w:t xml:space="preserve">Zvýšenie podpory zamestnanosti prostredníctvom legislatívy, rozvoj </w:t>
            </w:r>
            <w:proofErr w:type="spellStart"/>
            <w:r w:rsidRPr="004C68DC">
              <w:rPr>
                <w:rFonts w:cs="Arial"/>
                <w:sz w:val="22"/>
              </w:rPr>
              <w:t>startupového</w:t>
            </w:r>
            <w:proofErr w:type="spellEnd"/>
            <w:r w:rsidRPr="004C68DC">
              <w:rPr>
                <w:rFonts w:cs="Arial"/>
                <w:sz w:val="22"/>
              </w:rPr>
              <w:t xml:space="preserve"> ekosystému a</w:t>
            </w:r>
            <w:r w:rsidR="00FC6C2A">
              <w:rPr>
                <w:rFonts w:cs="Arial"/>
                <w:sz w:val="22"/>
              </w:rPr>
              <w:t> </w:t>
            </w:r>
            <w:r w:rsidRPr="004C68DC">
              <w:rPr>
                <w:rFonts w:cs="Arial"/>
                <w:sz w:val="22"/>
              </w:rPr>
              <w:t>infraštruktúry</w:t>
            </w:r>
            <w:r w:rsidR="00FC6C2A">
              <w:rPr>
                <w:rFonts w:cs="Arial"/>
                <w:sz w:val="22"/>
              </w:rPr>
              <w:t>.</w:t>
            </w:r>
          </w:p>
        </w:tc>
        <w:tc>
          <w:tcPr>
            <w:tcW w:w="0" w:type="auto"/>
          </w:tcPr>
          <w:p w14:paraId="4B7FB43E" w14:textId="37D7DFB9" w:rsidR="004C68DC" w:rsidRPr="004C68DC" w:rsidRDefault="004C68DC" w:rsidP="00FC6C2A">
            <w:pPr>
              <w:pStyle w:val="Bezriadkovania"/>
              <w:rPr>
                <w:rFonts w:cs="Arial"/>
                <w:sz w:val="22"/>
              </w:rPr>
            </w:pPr>
            <w:r w:rsidRPr="004C68DC">
              <w:rPr>
                <w:rFonts w:cs="Arial"/>
                <w:sz w:val="22"/>
              </w:rPr>
              <w:t>Nízka miera flexibility podnikateľských subjekto</w:t>
            </w:r>
            <w:r w:rsidR="00FC6C2A">
              <w:rPr>
                <w:rFonts w:cs="Arial"/>
                <w:sz w:val="22"/>
              </w:rPr>
              <w:t>v v nadväznosti na zamestnanosť.</w:t>
            </w:r>
          </w:p>
        </w:tc>
      </w:tr>
      <w:tr w:rsidR="004C68DC" w14:paraId="793E4A99" w14:textId="77777777" w:rsidTr="00FC6C2A">
        <w:tc>
          <w:tcPr>
            <w:tcW w:w="0" w:type="auto"/>
            <w:vAlign w:val="center"/>
          </w:tcPr>
          <w:p w14:paraId="1558B876" w14:textId="439B7990" w:rsidR="004C68DC" w:rsidRPr="004C68DC" w:rsidRDefault="00FC6C2A" w:rsidP="004C68DC">
            <w:pPr>
              <w:pStyle w:val="Bezriadkovania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4.</w:t>
            </w:r>
            <w:r w:rsidR="004C68DC" w:rsidRPr="004C68DC">
              <w:rPr>
                <w:rFonts w:cs="Arial"/>
                <w:sz w:val="22"/>
              </w:rPr>
              <w:t>Konkurencieschopnosť, rast a podnikateľské prostredie</w:t>
            </w:r>
          </w:p>
        </w:tc>
        <w:tc>
          <w:tcPr>
            <w:tcW w:w="0" w:type="auto"/>
          </w:tcPr>
          <w:p w14:paraId="07A94BBB" w14:textId="14A1C9F8" w:rsidR="004C68DC" w:rsidRPr="004C68DC" w:rsidRDefault="004C68DC" w:rsidP="00FC6C2A">
            <w:pPr>
              <w:pStyle w:val="Bezriadkovania"/>
              <w:rPr>
                <w:rFonts w:cs="Arial"/>
                <w:sz w:val="22"/>
              </w:rPr>
            </w:pPr>
            <w:r w:rsidRPr="004C68DC">
              <w:rPr>
                <w:rFonts w:cs="Arial"/>
                <w:sz w:val="22"/>
              </w:rPr>
              <w:t xml:space="preserve">Zvýšenie výdavkov na podporu MSP a </w:t>
            </w:r>
            <w:proofErr w:type="spellStart"/>
            <w:r w:rsidRPr="004C68DC">
              <w:rPr>
                <w:rFonts w:cs="Arial"/>
                <w:sz w:val="22"/>
              </w:rPr>
              <w:t>startupov</w:t>
            </w:r>
            <w:proofErr w:type="spellEnd"/>
            <w:r w:rsidRPr="004C68DC">
              <w:rPr>
                <w:rFonts w:cs="Arial"/>
                <w:sz w:val="22"/>
              </w:rPr>
              <w:t>, rozvoj legislatívy, zvýšenie kvality aj kvantity služieb zameraných na podporu podnikateľského prostredia, rozvoj infraštruktúry podporujúcej MSP a</w:t>
            </w:r>
            <w:r w:rsidR="00FC6C2A">
              <w:rPr>
                <w:rFonts w:cs="Arial"/>
                <w:sz w:val="22"/>
              </w:rPr>
              <w:t> </w:t>
            </w:r>
            <w:r w:rsidRPr="004C68DC">
              <w:rPr>
                <w:rFonts w:cs="Arial"/>
                <w:sz w:val="22"/>
              </w:rPr>
              <w:t>konkurencieschopnosť</w:t>
            </w:r>
            <w:r w:rsidR="00FC6C2A">
              <w:rPr>
                <w:rFonts w:cs="Arial"/>
                <w:sz w:val="22"/>
              </w:rPr>
              <w:t>.</w:t>
            </w:r>
          </w:p>
        </w:tc>
        <w:tc>
          <w:tcPr>
            <w:tcW w:w="0" w:type="auto"/>
          </w:tcPr>
          <w:p w14:paraId="04CAF5A4" w14:textId="65F4013D" w:rsidR="004C68DC" w:rsidRPr="004C68DC" w:rsidRDefault="004C68DC" w:rsidP="00FC6C2A">
            <w:pPr>
              <w:pStyle w:val="Bezriadkovania"/>
              <w:rPr>
                <w:rFonts w:cs="Arial"/>
                <w:sz w:val="22"/>
              </w:rPr>
            </w:pPr>
            <w:r w:rsidRPr="004C68DC">
              <w:rPr>
                <w:rFonts w:cs="Arial"/>
                <w:sz w:val="22"/>
              </w:rPr>
              <w:t>Nízka miera finančnej a nefinančnej podpory verejnej správy a štátu, byrokratické zaťaženie, korupcia</w:t>
            </w:r>
            <w:r w:rsidR="00FC6C2A">
              <w:rPr>
                <w:rFonts w:cs="Arial"/>
                <w:sz w:val="22"/>
              </w:rPr>
              <w:t>.</w:t>
            </w:r>
          </w:p>
        </w:tc>
      </w:tr>
      <w:tr w:rsidR="004C68DC" w14:paraId="65475EAC" w14:textId="77777777" w:rsidTr="00FC6C2A">
        <w:tc>
          <w:tcPr>
            <w:tcW w:w="0" w:type="auto"/>
            <w:vAlign w:val="center"/>
          </w:tcPr>
          <w:p w14:paraId="65C0CE5C" w14:textId="32F1CEE2" w:rsidR="004C68DC" w:rsidRPr="004C68DC" w:rsidRDefault="004C68DC" w:rsidP="00FC6C2A">
            <w:pPr>
              <w:pStyle w:val="Bezriadkovania"/>
              <w:jc w:val="left"/>
              <w:rPr>
                <w:rFonts w:cs="Arial"/>
                <w:sz w:val="22"/>
              </w:rPr>
            </w:pPr>
            <w:r w:rsidRPr="004C68DC">
              <w:rPr>
                <w:rFonts w:cs="Arial"/>
                <w:sz w:val="22"/>
              </w:rPr>
              <w:t xml:space="preserve">5. </w:t>
            </w:r>
            <w:r w:rsidR="00FC6C2A">
              <w:rPr>
                <w:rFonts w:cs="Arial"/>
                <w:sz w:val="22"/>
              </w:rPr>
              <w:t xml:space="preserve">Životné prostredie, zmeny klímy </w:t>
            </w:r>
            <w:r w:rsidRPr="004C68DC">
              <w:rPr>
                <w:rFonts w:cs="Arial"/>
                <w:sz w:val="22"/>
              </w:rPr>
              <w:t>a</w:t>
            </w:r>
            <w:r w:rsidR="00FC6C2A">
              <w:rPr>
                <w:rFonts w:cs="Arial"/>
                <w:sz w:val="22"/>
              </w:rPr>
              <w:t xml:space="preserve"> </w:t>
            </w:r>
            <w:r w:rsidRPr="004C68DC">
              <w:rPr>
                <w:rFonts w:cs="Arial"/>
                <w:sz w:val="22"/>
              </w:rPr>
              <w:t>obnoviteľné zdroje energie</w:t>
            </w:r>
          </w:p>
        </w:tc>
        <w:tc>
          <w:tcPr>
            <w:tcW w:w="0" w:type="auto"/>
          </w:tcPr>
          <w:p w14:paraId="30B98626" w14:textId="1DCDFCCC" w:rsidR="004C68DC" w:rsidRPr="004C68DC" w:rsidRDefault="004C68DC" w:rsidP="00FC6C2A">
            <w:pPr>
              <w:pStyle w:val="Bezriadkovania"/>
              <w:rPr>
                <w:rFonts w:cs="Arial"/>
                <w:sz w:val="22"/>
              </w:rPr>
            </w:pPr>
            <w:r w:rsidRPr="004C68DC">
              <w:rPr>
                <w:rFonts w:cs="Arial"/>
                <w:sz w:val="22"/>
              </w:rPr>
              <w:t>Rozvoj legislatívnej a inštitucionálnej podpory životného prostredia, zvyšovanie opatrení na zlepšenie kvality životného prostredia, efektívnejšie narábanie s komunálnym odpadom</w:t>
            </w:r>
            <w:r w:rsidR="00FC6C2A">
              <w:rPr>
                <w:rFonts w:cs="Arial"/>
                <w:sz w:val="22"/>
              </w:rPr>
              <w:t>.</w:t>
            </w:r>
          </w:p>
        </w:tc>
        <w:tc>
          <w:tcPr>
            <w:tcW w:w="0" w:type="auto"/>
          </w:tcPr>
          <w:p w14:paraId="585C3AC4" w14:textId="764F482E" w:rsidR="004C68DC" w:rsidRPr="004C68DC" w:rsidRDefault="00FC6C2A" w:rsidP="00FC6C2A">
            <w:pPr>
              <w:pStyle w:val="Bezriadkovania"/>
              <w:rPr>
                <w:rFonts w:cs="Arial"/>
                <w:sz w:val="22"/>
              </w:rPr>
            </w:pPr>
            <w:r w:rsidRPr="00FC6C2A">
              <w:rPr>
                <w:rFonts w:cs="Arial"/>
                <w:sz w:val="22"/>
              </w:rPr>
              <w:t>Nedostatočná finančná podpora, prehlbovanie trendu automobilovej dopravy, prehlbovanie problémov s dopravnou infraštruktúrou.</w:t>
            </w:r>
          </w:p>
        </w:tc>
      </w:tr>
    </w:tbl>
    <w:p w14:paraId="7E07D4C8" w14:textId="77777777" w:rsidR="004C68DC" w:rsidRDefault="004C68DC" w:rsidP="004C68DC">
      <w:pPr>
        <w:pStyle w:val="Bezriadkovania"/>
        <w:rPr>
          <w:rFonts w:cs="Arial"/>
          <w:sz w:val="24"/>
          <w:szCs w:val="24"/>
        </w:rPr>
        <w:sectPr w:rsidR="004C68DC" w:rsidSect="004C68D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A4C1FD9" w14:textId="77777777" w:rsidR="004C68DC" w:rsidRDefault="004C68DC" w:rsidP="00271C7B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6193D00E" w14:textId="318F9EBC" w:rsidR="00805846" w:rsidRDefault="00805846" w:rsidP="00271C7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0549439A" w14:textId="6E136771" w:rsidR="004C68DC" w:rsidRPr="00805846" w:rsidRDefault="00723AF1" w:rsidP="00271C7B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3. </w:t>
      </w:r>
      <w:r w:rsidR="00805846" w:rsidRPr="00805846">
        <w:rPr>
          <w:rFonts w:ascii="Arial" w:hAnsi="Arial" w:cs="Arial"/>
          <w:b/>
          <w:sz w:val="22"/>
          <w:szCs w:val="22"/>
        </w:rPr>
        <w:t>Analýza pr</w:t>
      </w:r>
      <w:r w:rsidR="007D1975">
        <w:rPr>
          <w:rFonts w:ascii="Arial" w:hAnsi="Arial" w:cs="Arial"/>
          <w:b/>
          <w:sz w:val="22"/>
          <w:szCs w:val="22"/>
        </w:rPr>
        <w:t>i</w:t>
      </w:r>
      <w:r w:rsidR="00805846" w:rsidRPr="00805846">
        <w:rPr>
          <w:rFonts w:ascii="Arial" w:hAnsi="Arial" w:cs="Arial"/>
          <w:b/>
          <w:sz w:val="22"/>
          <w:szCs w:val="22"/>
        </w:rPr>
        <w:t>ebehu projek</w:t>
      </w:r>
      <w:r w:rsidR="007D1975">
        <w:rPr>
          <w:rFonts w:ascii="Arial" w:hAnsi="Arial" w:cs="Arial"/>
          <w:b/>
          <w:sz w:val="22"/>
          <w:szCs w:val="22"/>
        </w:rPr>
        <w:t xml:space="preserve">tov definovaných Akčným plánom </w:t>
      </w:r>
      <w:r w:rsidR="00805846" w:rsidRPr="00805846">
        <w:rPr>
          <w:rFonts w:ascii="Arial" w:hAnsi="Arial" w:cs="Arial"/>
          <w:b/>
          <w:sz w:val="22"/>
          <w:szCs w:val="22"/>
        </w:rPr>
        <w:t>BSK</w:t>
      </w:r>
    </w:p>
    <w:p w14:paraId="034C3AA2" w14:textId="77777777" w:rsidR="00FB1BA6" w:rsidRDefault="00C57464" w:rsidP="0080584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Detailnejší popis </w:t>
      </w:r>
      <w:r w:rsidR="00FB1BA6">
        <w:rPr>
          <w:rFonts w:ascii="Arial" w:hAnsi="Arial" w:cs="Arial"/>
          <w:sz w:val="22"/>
          <w:szCs w:val="22"/>
        </w:rPr>
        <w:t xml:space="preserve">obsahuje samotná Správa </w:t>
      </w:r>
      <w:r>
        <w:rPr>
          <w:rFonts w:ascii="Arial" w:hAnsi="Arial" w:cs="Arial"/>
          <w:sz w:val="22"/>
          <w:szCs w:val="22"/>
        </w:rPr>
        <w:t>v </w:t>
      </w:r>
      <w:r w:rsidR="00FB1BA6">
        <w:rPr>
          <w:rFonts w:ascii="Arial" w:hAnsi="Arial" w:cs="Arial"/>
          <w:sz w:val="22"/>
          <w:szCs w:val="22"/>
        </w:rPr>
        <w:t>ktorej</w:t>
      </w:r>
      <w:r>
        <w:rPr>
          <w:rFonts w:ascii="Arial" w:hAnsi="Arial" w:cs="Arial"/>
          <w:sz w:val="22"/>
          <w:szCs w:val="22"/>
        </w:rPr>
        <w:t xml:space="preserve"> sme sa zamerali najmä na komplexný pohľad plnenia opatrení projektmi úradu BSK a ich aktuálny</w:t>
      </w:r>
      <w:r w:rsidR="00FB1BA6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 stav</w:t>
      </w:r>
      <w:r w:rsidR="00FB1BA6">
        <w:rPr>
          <w:rFonts w:ascii="Arial" w:hAnsi="Arial" w:cs="Arial"/>
          <w:sz w:val="22"/>
          <w:szCs w:val="22"/>
        </w:rPr>
        <w:t>om rozpracovania</w:t>
      </w:r>
      <w:r>
        <w:rPr>
          <w:rFonts w:ascii="Arial" w:hAnsi="Arial" w:cs="Arial"/>
          <w:sz w:val="22"/>
          <w:szCs w:val="22"/>
        </w:rPr>
        <w:t xml:space="preserve">. Stav projektov je vyjadrený prostredníctvom 4 fáz: zámer, projektová dokumentácia, žiadosť o NFP, realizácia projektu. Každá fáza predstavuje 25% rozpracovanosti projektu. </w:t>
      </w:r>
    </w:p>
    <w:p w14:paraId="5801A4EA" w14:textId="1A2A0EDB" w:rsidR="00805846" w:rsidRPr="00805846" w:rsidRDefault="00FB1BA6" w:rsidP="0080584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Prehľad 65 projektov A</w:t>
      </w:r>
      <w:r w:rsidRPr="00805846">
        <w:rPr>
          <w:rFonts w:ascii="Arial" w:hAnsi="Arial" w:cs="Arial"/>
          <w:sz w:val="22"/>
          <w:szCs w:val="22"/>
        </w:rPr>
        <w:t xml:space="preserve">kčného plánu </w:t>
      </w:r>
      <w:r>
        <w:rPr>
          <w:rFonts w:ascii="Arial" w:hAnsi="Arial" w:cs="Arial"/>
          <w:sz w:val="22"/>
          <w:szCs w:val="22"/>
        </w:rPr>
        <w:t>BSK rozdelených podľa opatrení v grafickom prevedení</w:t>
      </w:r>
    </w:p>
    <w:p w14:paraId="52207F98" w14:textId="77777777" w:rsidR="00805846" w:rsidRPr="006718A7" w:rsidRDefault="00805846" w:rsidP="00805846">
      <w:pPr>
        <w:pStyle w:val="Bezriadkovania"/>
        <w:rPr>
          <w:rFonts w:cs="Arial"/>
        </w:rPr>
      </w:pPr>
      <w:r>
        <w:rPr>
          <w:rFonts w:cs="Arial"/>
          <w:noProof/>
          <w:lang w:eastAsia="sk-SK"/>
        </w:rPr>
        <w:drawing>
          <wp:inline distT="0" distB="0" distL="0" distR="0" wp14:anchorId="7EA57D28" wp14:editId="13CE2FAE">
            <wp:extent cx="5467350" cy="2581275"/>
            <wp:effectExtent l="0" t="0" r="0" b="9525"/>
            <wp:docPr id="14" name="Graf 29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7FAFB0E1" w14:textId="77777777" w:rsidR="007D1975" w:rsidRPr="00FD1316" w:rsidRDefault="007D1975" w:rsidP="007D1975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FD1316">
        <w:rPr>
          <w:rFonts w:ascii="Arial" w:hAnsi="Arial" w:cs="Arial"/>
          <w:b/>
          <w:sz w:val="22"/>
          <w:szCs w:val="22"/>
        </w:rPr>
        <w:t>Prepojenia prioritných osí (PO 1-5) a opatrení (Opatrenia 1-11) PHSR BSK 2014-2020</w:t>
      </w:r>
    </w:p>
    <w:p w14:paraId="1221A0C0" w14:textId="77777777" w:rsidR="007D1975" w:rsidRPr="006718A7" w:rsidRDefault="007D1975" w:rsidP="007D1975">
      <w:pPr>
        <w:pStyle w:val="Bezriadkovania"/>
        <w:jc w:val="left"/>
        <w:rPr>
          <w:rFonts w:cs="Arial"/>
        </w:rPr>
      </w:pPr>
      <w:r w:rsidRPr="005F276E">
        <w:rPr>
          <w:noProof/>
          <w:lang w:eastAsia="sk-SK"/>
        </w:rPr>
        <w:drawing>
          <wp:inline distT="0" distB="0" distL="0" distR="0" wp14:anchorId="12A88077" wp14:editId="655521BB">
            <wp:extent cx="5760720" cy="4371809"/>
            <wp:effectExtent l="76200" t="57150" r="11430" b="86360"/>
            <wp:docPr id="49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</w:p>
    <w:p w14:paraId="38C8BD9C" w14:textId="77EA5397" w:rsidR="007D1975" w:rsidRDefault="007D1975">
      <w:pPr>
        <w:spacing w:after="20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62171DE8" w14:textId="19A116E6" w:rsidR="00BB5A91" w:rsidRDefault="00BB5A91" w:rsidP="00BB5A91">
      <w:pPr>
        <w:pStyle w:val="Bezriadkovania"/>
        <w:rPr>
          <w:rFonts w:cs="Arial"/>
          <w:b/>
          <w:sz w:val="22"/>
        </w:rPr>
      </w:pPr>
      <w:r w:rsidRPr="00723AF1">
        <w:rPr>
          <w:b/>
          <w:sz w:val="22"/>
        </w:rPr>
        <w:t xml:space="preserve">Návrhová časť - </w:t>
      </w:r>
      <w:r w:rsidRPr="00723AF1">
        <w:rPr>
          <w:rFonts w:cs="Arial"/>
          <w:b/>
          <w:sz w:val="22"/>
        </w:rPr>
        <w:t xml:space="preserve">opatrenia na rok 2015 </w:t>
      </w:r>
    </w:p>
    <w:p w14:paraId="233270C0" w14:textId="77777777" w:rsidR="00E50FC7" w:rsidRDefault="00E50FC7" w:rsidP="00E50FC7">
      <w:pPr>
        <w:pStyle w:val="Bezriadkovania"/>
        <w:rPr>
          <w:sz w:val="22"/>
          <w:szCs w:val="24"/>
        </w:rPr>
      </w:pPr>
    </w:p>
    <w:p w14:paraId="742DFC3C" w14:textId="164E7752" w:rsidR="00E50FC7" w:rsidRPr="00E50FC7" w:rsidRDefault="00E50FC7" w:rsidP="00E50FC7">
      <w:pPr>
        <w:pStyle w:val="Bezriadkovania"/>
        <w:rPr>
          <w:sz w:val="22"/>
          <w:szCs w:val="24"/>
        </w:rPr>
      </w:pPr>
      <w:r w:rsidRPr="00E50FC7">
        <w:rPr>
          <w:sz w:val="22"/>
          <w:szCs w:val="24"/>
        </w:rPr>
        <w:t>Vyhodnotenie merateľných ukazovateľov za roky 2010-2014 dominantne neobsahuje vyhodnotenie za rok 2014, nakoľko časť údajov a štatistík za daný rok nebola zverejnená štatistickým úradom</w:t>
      </w:r>
      <w:r>
        <w:rPr>
          <w:sz w:val="22"/>
          <w:szCs w:val="24"/>
        </w:rPr>
        <w:t xml:space="preserve"> Slovenskej republiky, </w:t>
      </w:r>
      <w:proofErr w:type="spellStart"/>
      <w:r>
        <w:rPr>
          <w:sz w:val="22"/>
          <w:szCs w:val="24"/>
        </w:rPr>
        <w:t>Eurostatom</w:t>
      </w:r>
      <w:proofErr w:type="spellEnd"/>
      <w:r>
        <w:rPr>
          <w:sz w:val="22"/>
          <w:szCs w:val="24"/>
        </w:rPr>
        <w:t xml:space="preserve"> – štatistickým úradom Európskej únie</w:t>
      </w:r>
      <w:r w:rsidRPr="00E50FC7">
        <w:rPr>
          <w:sz w:val="22"/>
          <w:szCs w:val="24"/>
        </w:rPr>
        <w:t xml:space="preserve">, ani inými dostupnými zdrojmi. Okrem toho sa v prípade ukazovateľa PO2.6 Osoby v hmotnej núdzi (%) z celkového počtu obyvateľov zmenila metodika výpočtu, ktorá výrazne ovplyvnila vzťah medzi súčasnou a plánovanou hodnotou. Vzhľadom na potrebu dokonalejšieho monitorovania implementácie PHSR BSK 2014-2020 navrhujeme niekoľko zmien v prvom rade v oblasti ukazovateľov. Na rok 2015 bolo celkovo navrhnutých </w:t>
      </w:r>
      <w:r>
        <w:rPr>
          <w:sz w:val="22"/>
          <w:szCs w:val="24"/>
        </w:rPr>
        <w:t>4</w:t>
      </w:r>
      <w:r>
        <w:rPr>
          <w:b/>
          <w:sz w:val="22"/>
          <w:szCs w:val="24"/>
        </w:rPr>
        <w:t xml:space="preserve"> opatrenia</w:t>
      </w:r>
      <w:r>
        <w:rPr>
          <w:sz w:val="22"/>
          <w:szCs w:val="24"/>
        </w:rPr>
        <w:t xml:space="preserve">, ktoré sú </w:t>
      </w:r>
      <w:r w:rsidR="00BC7B8E">
        <w:rPr>
          <w:sz w:val="22"/>
          <w:szCs w:val="24"/>
        </w:rPr>
        <w:t>rozdelené</w:t>
      </w:r>
      <w:r>
        <w:rPr>
          <w:sz w:val="22"/>
          <w:szCs w:val="24"/>
        </w:rPr>
        <w:t xml:space="preserve"> do dvoch kategórií: všeobecné opatrenia zamerané </w:t>
      </w:r>
      <w:r w:rsidR="00BC7B8E">
        <w:rPr>
          <w:sz w:val="22"/>
          <w:szCs w:val="24"/>
        </w:rPr>
        <w:t xml:space="preserve">vo všeobecnosti platné na celé </w:t>
      </w:r>
      <w:r>
        <w:rPr>
          <w:sz w:val="22"/>
          <w:szCs w:val="24"/>
        </w:rPr>
        <w:t xml:space="preserve">PHSR BSK 2014-2020 </w:t>
      </w:r>
      <w:r w:rsidR="00BC7B8E">
        <w:rPr>
          <w:sz w:val="22"/>
          <w:szCs w:val="24"/>
        </w:rPr>
        <w:t>a</w:t>
      </w:r>
      <w:r>
        <w:rPr>
          <w:sz w:val="22"/>
          <w:szCs w:val="24"/>
        </w:rPr>
        <w:t> ide skôr o opatrenia technického charakteru. Druhou kategóriou opatrení sú špe</w:t>
      </w:r>
      <w:r w:rsidR="00BC7B8E">
        <w:rPr>
          <w:sz w:val="22"/>
          <w:szCs w:val="24"/>
        </w:rPr>
        <w:t xml:space="preserve">cifické opatrenia zamerané na konkrétne prioritné osi. Na rok 2015 boli naplánované 3 špecifické opatrenia. </w:t>
      </w:r>
    </w:p>
    <w:p w14:paraId="44F7A518" w14:textId="77777777" w:rsidR="00723AF1" w:rsidRPr="00723AF1" w:rsidRDefault="00723AF1" w:rsidP="00BB5A91">
      <w:pPr>
        <w:pStyle w:val="Bezriadkovania"/>
        <w:rPr>
          <w:rFonts w:cs="Arial"/>
          <w:b/>
          <w:sz w:val="22"/>
        </w:rPr>
      </w:pPr>
    </w:p>
    <w:tbl>
      <w:tblPr>
        <w:tblStyle w:val="Mriekatabuky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6662"/>
      </w:tblGrid>
      <w:tr w:rsidR="00BB5A91" w:rsidRPr="004B6C43" w14:paraId="4B48C89B" w14:textId="77777777" w:rsidTr="004B6C43">
        <w:tc>
          <w:tcPr>
            <w:tcW w:w="2518" w:type="dxa"/>
            <w:shd w:val="clear" w:color="auto" w:fill="1F497D" w:themeFill="text2"/>
          </w:tcPr>
          <w:p w14:paraId="2BE3300A" w14:textId="77777777" w:rsidR="00BB5A91" w:rsidRPr="00411069" w:rsidRDefault="00BB5A91" w:rsidP="004B6C43">
            <w:pPr>
              <w:pStyle w:val="Bezriadkovania"/>
              <w:rPr>
                <w:b/>
                <w:color w:val="FFFFFF" w:themeColor="background1"/>
                <w:sz w:val="22"/>
              </w:rPr>
            </w:pPr>
            <w:r w:rsidRPr="00411069">
              <w:rPr>
                <w:b/>
                <w:color w:val="FFFFFF" w:themeColor="background1"/>
                <w:sz w:val="22"/>
              </w:rPr>
              <w:t>Označenie</w:t>
            </w:r>
          </w:p>
        </w:tc>
        <w:tc>
          <w:tcPr>
            <w:tcW w:w="6662" w:type="dxa"/>
            <w:shd w:val="clear" w:color="auto" w:fill="1F497D" w:themeFill="text2"/>
          </w:tcPr>
          <w:p w14:paraId="45B6BE02" w14:textId="60625D1C" w:rsidR="00BB5A91" w:rsidRPr="00411069" w:rsidRDefault="00FB1BA6" w:rsidP="00FB1BA6">
            <w:pPr>
              <w:pStyle w:val="Bezriadkovania"/>
              <w:rPr>
                <w:b/>
                <w:color w:val="FFFFFF" w:themeColor="background1"/>
                <w:sz w:val="22"/>
              </w:rPr>
            </w:pPr>
            <w:r w:rsidRPr="00411069">
              <w:rPr>
                <w:b/>
                <w:color w:val="FFFFFF" w:themeColor="background1"/>
                <w:sz w:val="22"/>
              </w:rPr>
              <w:t>Všeobecné o</w:t>
            </w:r>
            <w:r w:rsidR="00BB5A91" w:rsidRPr="00411069">
              <w:rPr>
                <w:b/>
                <w:color w:val="FFFFFF" w:themeColor="background1"/>
                <w:sz w:val="22"/>
              </w:rPr>
              <w:t>pat</w:t>
            </w:r>
            <w:r w:rsidRPr="00411069">
              <w:rPr>
                <w:b/>
                <w:color w:val="FFFFFF" w:themeColor="background1"/>
                <w:sz w:val="22"/>
              </w:rPr>
              <w:t>renia</w:t>
            </w:r>
          </w:p>
        </w:tc>
      </w:tr>
      <w:tr w:rsidR="004B6C43" w:rsidRPr="004B6C43" w14:paraId="6C175EF9" w14:textId="77777777" w:rsidTr="004B6C43">
        <w:tc>
          <w:tcPr>
            <w:tcW w:w="9180" w:type="dxa"/>
            <w:gridSpan w:val="2"/>
            <w:shd w:val="clear" w:color="auto" w:fill="1F497D" w:themeFill="text2"/>
          </w:tcPr>
          <w:p w14:paraId="22A9EDE0" w14:textId="7B389D01" w:rsidR="004B6C43" w:rsidRPr="004B6C43" w:rsidRDefault="008A19D6" w:rsidP="004B6C43">
            <w:pPr>
              <w:pStyle w:val="Bezriadkovania"/>
              <w:rPr>
                <w:color w:val="FFFFFF" w:themeColor="background1"/>
                <w:sz w:val="22"/>
              </w:rPr>
            </w:pPr>
            <w:r>
              <w:rPr>
                <w:b/>
                <w:bCs/>
                <w:color w:val="FFFFFF" w:themeColor="background1"/>
                <w:sz w:val="22"/>
              </w:rPr>
              <w:t>PHSR BSK 2014-2020</w:t>
            </w:r>
          </w:p>
        </w:tc>
      </w:tr>
      <w:tr w:rsidR="00FB1BA6" w:rsidRPr="004B6C43" w14:paraId="2E60A2C1" w14:textId="77777777" w:rsidTr="00F061BB">
        <w:tc>
          <w:tcPr>
            <w:tcW w:w="2518" w:type="dxa"/>
            <w:shd w:val="clear" w:color="auto" w:fill="F2F2F2" w:themeFill="background1" w:themeFillShade="F2"/>
            <w:vAlign w:val="center"/>
          </w:tcPr>
          <w:p w14:paraId="07A95958" w14:textId="0CBC3B4D" w:rsidR="00FB1BA6" w:rsidRPr="004B6C43" w:rsidRDefault="008A19D6" w:rsidP="00FB1BA6">
            <w:pPr>
              <w:pStyle w:val="Bezriadkovania"/>
              <w:jc w:val="left"/>
              <w:rPr>
                <w:rFonts w:cs="Arial"/>
                <w:sz w:val="22"/>
              </w:rPr>
            </w:pPr>
            <w:r>
              <w:rPr>
                <w:sz w:val="22"/>
              </w:rPr>
              <w:t>PHSR_</w:t>
            </w:r>
            <w:r w:rsidR="00FB1BA6">
              <w:rPr>
                <w:sz w:val="22"/>
              </w:rPr>
              <w:t>O15.1</w:t>
            </w:r>
          </w:p>
        </w:tc>
        <w:tc>
          <w:tcPr>
            <w:tcW w:w="6662" w:type="dxa"/>
          </w:tcPr>
          <w:p w14:paraId="06D52D6F" w14:textId="6FE4BF96" w:rsidR="00FB1BA6" w:rsidRPr="004B6C43" w:rsidRDefault="00FB1BA6" w:rsidP="00FB1BA6">
            <w:pPr>
              <w:pStyle w:val="Bezriadkovania"/>
              <w:jc w:val="left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color w:val="000000" w:themeColor="text1"/>
                <w:sz w:val="22"/>
              </w:rPr>
              <w:t>Optimalizácia merateľných ukazovateľov a uvedenie do súladu s dostupnou štatistikou</w:t>
            </w:r>
          </w:p>
        </w:tc>
      </w:tr>
      <w:tr w:rsidR="00FB1BA6" w:rsidRPr="004B6C43" w14:paraId="7B1D96DF" w14:textId="77777777" w:rsidTr="004B6C43">
        <w:tc>
          <w:tcPr>
            <w:tcW w:w="9180" w:type="dxa"/>
            <w:gridSpan w:val="2"/>
            <w:shd w:val="clear" w:color="auto" w:fill="F2F2F2" w:themeFill="background1" w:themeFillShade="F2"/>
          </w:tcPr>
          <w:p w14:paraId="79E5ACA8" w14:textId="789D6BAB" w:rsidR="00FB1BA6" w:rsidRPr="008A19D6" w:rsidRDefault="008A19D6" w:rsidP="00AD191B">
            <w:pPr>
              <w:pStyle w:val="Bezriadkovania"/>
              <w:jc w:val="left"/>
              <w:rPr>
                <w:rFonts w:cs="Arial"/>
                <w:sz w:val="22"/>
              </w:rPr>
            </w:pPr>
            <w:r w:rsidRPr="008A19D6">
              <w:rPr>
                <w:rFonts w:cs="Arial"/>
                <w:sz w:val="22"/>
              </w:rPr>
              <w:t xml:space="preserve">PHSR BSK 2014-2020 kvantifikoval prostredníctvom skupiny merateľných ukazovateľov v jednotlivých prioritných osiach strategické ciele. </w:t>
            </w:r>
            <w:r>
              <w:rPr>
                <w:rFonts w:cs="Arial"/>
                <w:sz w:val="22"/>
              </w:rPr>
              <w:t>Ich samotné nastavenie vychádzalo najmä z Národnej stratégie regionálneho rozvoja ako aj Národného programu reforiem 2013. V priebehu implementácie prvého roku PHSR BSK 2014-2020 boli niektoré ukazovatele upravené z hľadiska metodiky výpočtu</w:t>
            </w:r>
            <w:r w:rsidR="00AD191B">
              <w:rPr>
                <w:rFonts w:cs="Arial"/>
                <w:sz w:val="22"/>
              </w:rPr>
              <w:t xml:space="preserve"> (napr. o</w:t>
            </w:r>
            <w:r w:rsidR="00AD191B" w:rsidRPr="000B3C97">
              <w:rPr>
                <w:rFonts w:cs="Arial"/>
                <w:color w:val="000000"/>
                <w:sz w:val="24"/>
                <w:szCs w:val="24"/>
              </w:rPr>
              <w:t>soby v hmotnej núdzi (%) z celkového počtu obyvateľov</w:t>
            </w:r>
            <w:r w:rsidR="00AD191B">
              <w:rPr>
                <w:rFonts w:cs="Arial"/>
                <w:color w:val="000000"/>
                <w:sz w:val="24"/>
                <w:szCs w:val="24"/>
              </w:rPr>
              <w:t>)</w:t>
            </w:r>
            <w:r>
              <w:rPr>
                <w:rFonts w:cs="Arial"/>
                <w:sz w:val="22"/>
              </w:rPr>
              <w:t>, prípadne neboli dostupné pre priebežné monitorovanie</w:t>
            </w:r>
            <w:r w:rsidR="00AD191B">
              <w:rPr>
                <w:rFonts w:cs="Arial"/>
                <w:sz w:val="22"/>
              </w:rPr>
              <w:t xml:space="preserve"> (</w:t>
            </w:r>
            <w:r w:rsidR="00AD191B">
              <w:rPr>
                <w:rFonts w:cs="Arial"/>
                <w:sz w:val="22"/>
              </w:rPr>
              <w:br/>
              <w:t>napr. Emisia skleníkových plynov mimo ETS)</w:t>
            </w:r>
            <w:r>
              <w:rPr>
                <w:rFonts w:cs="Arial"/>
                <w:sz w:val="22"/>
              </w:rPr>
              <w:t>. Ďalším nedostatkom ukazovateľov je neskoršie obdobie publikovania (2 až 3 roky), relevantnými štatistickými zdrojmi</w:t>
            </w:r>
            <w:r w:rsidR="00AD191B">
              <w:rPr>
                <w:rFonts w:cs="Arial"/>
                <w:sz w:val="22"/>
              </w:rPr>
              <w:t xml:space="preserve"> (na</w:t>
            </w:r>
            <w:r w:rsidR="00910CBA">
              <w:rPr>
                <w:rFonts w:cs="Arial"/>
                <w:sz w:val="22"/>
              </w:rPr>
              <w:t>pr. s</w:t>
            </w:r>
            <w:r w:rsidR="00AD191B">
              <w:rPr>
                <w:rFonts w:cs="Arial"/>
                <w:sz w:val="22"/>
              </w:rPr>
              <w:t>potreba elektriny, korupcia, patentové prihlášky na EPÚ, citácie na výskumníka)</w:t>
            </w:r>
            <w:r>
              <w:rPr>
                <w:rFonts w:cs="Arial"/>
                <w:sz w:val="22"/>
              </w:rPr>
              <w:t xml:space="preserve">. Z tohto dôvodu je potrebné zaviesť v jednotlivých prioritných osiach nové ukazovatele, ktoré budú kompenzovať nedostatočný obraz o pokroku v danej téme spôsobenom neskorým publikovaním údajov, alebo úplne nahradiť tie ukazovatele, ktoré sa prestali sledovať. </w:t>
            </w:r>
          </w:p>
        </w:tc>
      </w:tr>
      <w:tr w:rsidR="00FB1BA6" w:rsidRPr="004B6C43" w14:paraId="03A82753" w14:textId="77777777" w:rsidTr="00FB1BA6">
        <w:trPr>
          <w:trHeight w:val="276"/>
        </w:trPr>
        <w:tc>
          <w:tcPr>
            <w:tcW w:w="2518" w:type="dxa"/>
            <w:shd w:val="clear" w:color="auto" w:fill="1F497D" w:themeFill="text2"/>
          </w:tcPr>
          <w:p w14:paraId="63B3BB22" w14:textId="1C1BBF29" w:rsidR="00FB1BA6" w:rsidRPr="00411069" w:rsidRDefault="00FB1BA6" w:rsidP="004B6C43">
            <w:pPr>
              <w:pStyle w:val="Bezriadkovania"/>
              <w:rPr>
                <w:b/>
                <w:sz w:val="22"/>
              </w:rPr>
            </w:pPr>
            <w:r w:rsidRPr="00411069">
              <w:rPr>
                <w:b/>
                <w:color w:val="FFFFFF" w:themeColor="background1"/>
                <w:sz w:val="22"/>
              </w:rPr>
              <w:t>Označenie</w:t>
            </w:r>
          </w:p>
        </w:tc>
        <w:tc>
          <w:tcPr>
            <w:tcW w:w="6662" w:type="dxa"/>
            <w:shd w:val="clear" w:color="auto" w:fill="1F497D" w:themeFill="text2"/>
          </w:tcPr>
          <w:p w14:paraId="59CC09FD" w14:textId="2E7DDB10" w:rsidR="00FB1BA6" w:rsidRPr="00411069" w:rsidRDefault="00FB1BA6" w:rsidP="004B6C43">
            <w:pPr>
              <w:pStyle w:val="Bezriadkovania"/>
              <w:rPr>
                <w:b/>
                <w:sz w:val="22"/>
              </w:rPr>
            </w:pPr>
            <w:r w:rsidRPr="00411069">
              <w:rPr>
                <w:b/>
                <w:color w:val="FFFFFF" w:themeColor="background1"/>
                <w:sz w:val="22"/>
              </w:rPr>
              <w:t>Špecifické opatrenia</w:t>
            </w:r>
          </w:p>
        </w:tc>
      </w:tr>
      <w:tr w:rsidR="00FB1BA6" w:rsidRPr="004B6C43" w14:paraId="26701FBF" w14:textId="77777777" w:rsidTr="00411069">
        <w:trPr>
          <w:trHeight w:val="276"/>
        </w:trPr>
        <w:tc>
          <w:tcPr>
            <w:tcW w:w="9180" w:type="dxa"/>
            <w:gridSpan w:val="2"/>
            <w:shd w:val="clear" w:color="auto" w:fill="1F497D" w:themeFill="text2"/>
          </w:tcPr>
          <w:p w14:paraId="6E03E4DF" w14:textId="3F2098DC" w:rsidR="00FB1BA6" w:rsidRPr="00FB1BA6" w:rsidRDefault="00FB1BA6" w:rsidP="004B6C43">
            <w:pPr>
              <w:pStyle w:val="Bezriadkovania"/>
              <w:rPr>
                <w:color w:val="FFFFFF" w:themeColor="background1"/>
                <w:sz w:val="22"/>
              </w:rPr>
            </w:pPr>
            <w:r w:rsidRPr="004B6C43">
              <w:rPr>
                <w:b/>
                <w:bCs/>
                <w:color w:val="FFFFFF" w:themeColor="background1"/>
                <w:sz w:val="22"/>
              </w:rPr>
              <w:t>PO</w:t>
            </w:r>
            <w:r w:rsidRPr="004B6C43">
              <w:rPr>
                <w:color w:val="FFFFFF" w:themeColor="background1"/>
                <w:sz w:val="22"/>
              </w:rPr>
              <w:t xml:space="preserve">1: </w:t>
            </w:r>
            <w:r w:rsidRPr="004B6C43">
              <w:rPr>
                <w:b/>
                <w:bCs/>
                <w:color w:val="FFFFFF" w:themeColor="background1"/>
                <w:sz w:val="22"/>
              </w:rPr>
              <w:t>Veda, výskum a inovácie</w:t>
            </w:r>
          </w:p>
        </w:tc>
      </w:tr>
      <w:tr w:rsidR="00FB1BA6" w:rsidRPr="004B6C43" w14:paraId="21EF543A" w14:textId="77777777" w:rsidTr="00F061BB">
        <w:trPr>
          <w:trHeight w:val="558"/>
        </w:trPr>
        <w:tc>
          <w:tcPr>
            <w:tcW w:w="2518" w:type="dxa"/>
            <w:shd w:val="clear" w:color="auto" w:fill="F2F2F2" w:themeFill="background1" w:themeFillShade="F2"/>
            <w:vAlign w:val="center"/>
          </w:tcPr>
          <w:p w14:paraId="23316511" w14:textId="3BD29C43" w:rsidR="00FB1BA6" w:rsidRPr="004B6C43" w:rsidRDefault="00FB1BA6" w:rsidP="00FB1BA6">
            <w:pPr>
              <w:pStyle w:val="Bezriadkovania"/>
              <w:jc w:val="left"/>
              <w:rPr>
                <w:sz w:val="22"/>
              </w:rPr>
            </w:pPr>
            <w:r>
              <w:rPr>
                <w:rFonts w:cs="Arial"/>
                <w:sz w:val="22"/>
              </w:rPr>
              <w:t>PO1-O15.2</w:t>
            </w:r>
          </w:p>
        </w:tc>
        <w:tc>
          <w:tcPr>
            <w:tcW w:w="6662" w:type="dxa"/>
          </w:tcPr>
          <w:p w14:paraId="38FEEFAE" w14:textId="6E9BA934" w:rsidR="00FB1BA6" w:rsidRPr="004B6C43" w:rsidRDefault="00FB1BA6" w:rsidP="00FB1BA6">
            <w:pPr>
              <w:pStyle w:val="Bezriadkovania"/>
              <w:jc w:val="left"/>
              <w:rPr>
                <w:color w:val="000000" w:themeColor="text1"/>
                <w:sz w:val="22"/>
              </w:rPr>
            </w:pPr>
            <w:r w:rsidRPr="004B6C43">
              <w:rPr>
                <w:rFonts w:cs="Arial"/>
                <w:b/>
                <w:sz w:val="22"/>
              </w:rPr>
              <w:t>Iniciovanie vzniku Rady pre implementáciu inovačnej stratégie</w:t>
            </w:r>
          </w:p>
        </w:tc>
      </w:tr>
      <w:tr w:rsidR="00FB1BA6" w:rsidRPr="004B6C43" w14:paraId="4BA1567A" w14:textId="77777777" w:rsidTr="004B6C43">
        <w:trPr>
          <w:trHeight w:val="835"/>
        </w:trPr>
        <w:tc>
          <w:tcPr>
            <w:tcW w:w="9180" w:type="dxa"/>
            <w:gridSpan w:val="2"/>
            <w:shd w:val="clear" w:color="auto" w:fill="F2F2F2" w:themeFill="background1" w:themeFillShade="F2"/>
          </w:tcPr>
          <w:p w14:paraId="64F2A498" w14:textId="0690DA9F" w:rsidR="00FB1BA6" w:rsidRPr="004B6C43" w:rsidRDefault="008A19D6" w:rsidP="00FB1BA6">
            <w:pPr>
              <w:pStyle w:val="Bezriadkovania"/>
              <w:jc w:val="left"/>
              <w:rPr>
                <w:rFonts w:cs="Arial"/>
                <w:b/>
                <w:color w:val="000000" w:themeColor="text1"/>
                <w:sz w:val="22"/>
              </w:rPr>
            </w:pPr>
            <w:r w:rsidRPr="004B6C43">
              <w:rPr>
                <w:sz w:val="22"/>
              </w:rPr>
              <w:t>Založenie platformy  vedúcich predstaviteľov organizácií</w:t>
            </w:r>
            <w:r>
              <w:rPr>
                <w:sz w:val="22"/>
              </w:rPr>
              <w:t xml:space="preserve"> aktívnych v oblasti vedy, výskumu a inovácií za účelom zvýšenia efektívnosti a účinnosti inovačnej politiky v regióne s vysokým potenciálom vo vede a výskume.  </w:t>
            </w:r>
          </w:p>
        </w:tc>
      </w:tr>
      <w:tr w:rsidR="00FB1BA6" w:rsidRPr="004B6C43" w14:paraId="12CF0CFA" w14:textId="77777777" w:rsidTr="00411069">
        <w:trPr>
          <w:trHeight w:val="260"/>
        </w:trPr>
        <w:tc>
          <w:tcPr>
            <w:tcW w:w="9180" w:type="dxa"/>
            <w:gridSpan w:val="2"/>
            <w:shd w:val="clear" w:color="auto" w:fill="1F497D" w:themeFill="text2"/>
            <w:vAlign w:val="center"/>
          </w:tcPr>
          <w:p w14:paraId="42034731" w14:textId="68640F97" w:rsidR="00FB1BA6" w:rsidRPr="004B6C43" w:rsidRDefault="00FB1BA6" w:rsidP="00FB1BA6">
            <w:pPr>
              <w:pStyle w:val="Bezriadkovania"/>
              <w:rPr>
                <w:sz w:val="22"/>
              </w:rPr>
            </w:pPr>
            <w:r w:rsidRPr="00F46FA4">
              <w:rPr>
                <w:b/>
                <w:bCs/>
                <w:color w:val="FFFFFF" w:themeColor="background1"/>
                <w:sz w:val="22"/>
              </w:rPr>
              <w:t>PO4: Konkurencieschopnosť, rast a podnikateľské prostredie</w:t>
            </w:r>
          </w:p>
        </w:tc>
      </w:tr>
      <w:tr w:rsidR="00FB1BA6" w:rsidRPr="004B6C43" w14:paraId="08D2B692" w14:textId="77777777" w:rsidTr="00411069">
        <w:tc>
          <w:tcPr>
            <w:tcW w:w="2518" w:type="dxa"/>
            <w:shd w:val="clear" w:color="auto" w:fill="F2F2F2" w:themeFill="background1" w:themeFillShade="F2"/>
            <w:vAlign w:val="center"/>
          </w:tcPr>
          <w:p w14:paraId="3AF5769F" w14:textId="140BE462" w:rsidR="00FB1BA6" w:rsidRPr="004B6C43" w:rsidRDefault="00FB1BA6" w:rsidP="00FB1BA6">
            <w:pPr>
              <w:pStyle w:val="Bezriadkovania"/>
              <w:jc w:val="left"/>
              <w:rPr>
                <w:sz w:val="22"/>
              </w:rPr>
            </w:pPr>
            <w:r>
              <w:rPr>
                <w:sz w:val="22"/>
              </w:rPr>
              <w:t>PO4-O15.3</w:t>
            </w:r>
          </w:p>
        </w:tc>
        <w:tc>
          <w:tcPr>
            <w:tcW w:w="6662" w:type="dxa"/>
            <w:vAlign w:val="center"/>
          </w:tcPr>
          <w:p w14:paraId="75D48BF9" w14:textId="7D4FCE2A" w:rsidR="00FB1BA6" w:rsidRPr="004B6C43" w:rsidRDefault="00411069" w:rsidP="00FB1BA6">
            <w:pPr>
              <w:pStyle w:val="Bezriadkovania"/>
              <w:jc w:val="left"/>
              <w:rPr>
                <w:b/>
                <w:sz w:val="22"/>
              </w:rPr>
            </w:pPr>
            <w:r w:rsidRPr="00F278DE">
              <w:rPr>
                <w:rFonts w:cs="Arial"/>
                <w:b/>
                <w:color w:val="000000" w:themeColor="text1"/>
                <w:sz w:val="22"/>
              </w:rPr>
              <w:t>Podpora občianskych združení založených miestnou samosprávou a partnermi v získaní štatútu Miestnej akčnej skupiny</w:t>
            </w:r>
          </w:p>
        </w:tc>
      </w:tr>
      <w:tr w:rsidR="00FB1BA6" w:rsidRPr="004B6C43" w14:paraId="2717988D" w14:textId="77777777" w:rsidTr="00F46FA4">
        <w:tc>
          <w:tcPr>
            <w:tcW w:w="9180" w:type="dxa"/>
            <w:gridSpan w:val="2"/>
            <w:shd w:val="clear" w:color="auto" w:fill="F2F2F2" w:themeFill="background1" w:themeFillShade="F2"/>
            <w:vAlign w:val="center"/>
          </w:tcPr>
          <w:p w14:paraId="295B1A95" w14:textId="1B4B31CB" w:rsidR="00FB1BA6" w:rsidRPr="004B6C43" w:rsidRDefault="00FB1BA6" w:rsidP="00FB1BA6">
            <w:pPr>
              <w:pStyle w:val="Bezriadkovania"/>
              <w:jc w:val="left"/>
              <w:rPr>
                <w:b/>
                <w:sz w:val="22"/>
              </w:rPr>
            </w:pPr>
            <w:r w:rsidRPr="00F061BB">
              <w:rPr>
                <w:sz w:val="22"/>
                <w:szCs w:val="24"/>
              </w:rPr>
              <w:t>Program rozvoja vidieka 2014-2020 umožňuje vznik Miestnej akčnej skupiny aj na území Bratislavského kraja. Miestna akčná skupina je nástroj prostredníctvom ktorého sú zapojené miestne iniciatívy a malé projekty podporujúce rozvoja vidieka. Financovanie takýchto projektov je podmienený získaním štatútu Miestnej akčnej skupiny o ktorý sa uchádza občianske združenie založené miestnou samosprávou, miestnymi podnikateľmi a neverejným sektorom.</w:t>
            </w:r>
          </w:p>
        </w:tc>
      </w:tr>
      <w:tr w:rsidR="00411069" w:rsidRPr="004B6C43" w14:paraId="0FAF4C9B" w14:textId="77777777" w:rsidTr="00411069">
        <w:tc>
          <w:tcPr>
            <w:tcW w:w="9180" w:type="dxa"/>
            <w:gridSpan w:val="2"/>
            <w:shd w:val="clear" w:color="auto" w:fill="1F497D" w:themeFill="text2"/>
            <w:vAlign w:val="center"/>
          </w:tcPr>
          <w:p w14:paraId="4B8385C2" w14:textId="03139F8D" w:rsidR="00411069" w:rsidRPr="00F061BB" w:rsidRDefault="00411069" w:rsidP="00FB1BA6">
            <w:pPr>
              <w:pStyle w:val="Bezriadkovania"/>
              <w:jc w:val="left"/>
              <w:rPr>
                <w:sz w:val="22"/>
                <w:szCs w:val="24"/>
              </w:rPr>
            </w:pPr>
            <w:r>
              <w:rPr>
                <w:b/>
                <w:bCs/>
                <w:color w:val="FFFFFF" w:themeColor="background1"/>
                <w:sz w:val="22"/>
              </w:rPr>
              <w:t>PO5</w:t>
            </w:r>
            <w:r w:rsidRPr="00F46FA4">
              <w:rPr>
                <w:b/>
                <w:bCs/>
                <w:color w:val="FFFFFF" w:themeColor="background1"/>
                <w:sz w:val="22"/>
              </w:rPr>
              <w:t>: Životné prostredie, zmeny klímy a obnoviteľné zdroje energie</w:t>
            </w:r>
          </w:p>
        </w:tc>
      </w:tr>
      <w:tr w:rsidR="00411069" w:rsidRPr="004B6C43" w14:paraId="600D8407" w14:textId="77777777" w:rsidTr="00411069">
        <w:tc>
          <w:tcPr>
            <w:tcW w:w="2518" w:type="dxa"/>
            <w:shd w:val="clear" w:color="auto" w:fill="F2F2F2" w:themeFill="background1" w:themeFillShade="F2"/>
            <w:vAlign w:val="center"/>
          </w:tcPr>
          <w:p w14:paraId="67F7E2F1" w14:textId="4C85E338" w:rsidR="00411069" w:rsidRDefault="00411069" w:rsidP="00FB1BA6">
            <w:pPr>
              <w:pStyle w:val="Bezriadkovania"/>
              <w:jc w:val="left"/>
              <w:rPr>
                <w:b/>
                <w:bCs/>
                <w:color w:val="FFFFFF" w:themeColor="background1"/>
                <w:sz w:val="22"/>
              </w:rPr>
            </w:pPr>
            <w:r>
              <w:rPr>
                <w:sz w:val="22"/>
              </w:rPr>
              <w:t>PO5-O15.4</w:t>
            </w:r>
          </w:p>
        </w:tc>
        <w:tc>
          <w:tcPr>
            <w:tcW w:w="6662" w:type="dxa"/>
            <w:shd w:val="clear" w:color="auto" w:fill="FFFFFF" w:themeFill="background1"/>
            <w:vAlign w:val="center"/>
          </w:tcPr>
          <w:p w14:paraId="166FF4C2" w14:textId="57A01E2B" w:rsidR="00411069" w:rsidRDefault="00411069" w:rsidP="00FB1BA6">
            <w:pPr>
              <w:pStyle w:val="Bezriadkovania"/>
              <w:jc w:val="left"/>
              <w:rPr>
                <w:b/>
                <w:bCs/>
                <w:color w:val="FFFFFF" w:themeColor="background1"/>
                <w:sz w:val="22"/>
              </w:rPr>
            </w:pPr>
            <w:r w:rsidRPr="004B6C43">
              <w:rPr>
                <w:b/>
                <w:sz w:val="22"/>
              </w:rPr>
              <w:t>Aktualizácia</w:t>
            </w:r>
            <w:r>
              <w:rPr>
                <w:b/>
                <w:sz w:val="22"/>
              </w:rPr>
              <w:t>, respektíve vytvorenie nového</w:t>
            </w:r>
            <w:r w:rsidRPr="004B6C43">
              <w:rPr>
                <w:b/>
                <w:sz w:val="22"/>
              </w:rPr>
              <w:t xml:space="preserve"> Plánu dopravnej obsluhy</w:t>
            </w:r>
          </w:p>
        </w:tc>
      </w:tr>
      <w:tr w:rsidR="00411069" w:rsidRPr="004B6C43" w14:paraId="710FF3ED" w14:textId="77777777" w:rsidTr="00411069">
        <w:tc>
          <w:tcPr>
            <w:tcW w:w="9180" w:type="dxa"/>
            <w:gridSpan w:val="2"/>
            <w:shd w:val="clear" w:color="auto" w:fill="F2F2F2" w:themeFill="background1" w:themeFillShade="F2"/>
            <w:vAlign w:val="center"/>
          </w:tcPr>
          <w:p w14:paraId="6059D367" w14:textId="2E64E639" w:rsidR="00411069" w:rsidRDefault="00411069" w:rsidP="00FB1BA6">
            <w:pPr>
              <w:pStyle w:val="Bezriadkovania"/>
              <w:jc w:val="left"/>
              <w:rPr>
                <w:b/>
                <w:bCs/>
                <w:color w:val="FFFFFF" w:themeColor="background1"/>
                <w:sz w:val="22"/>
              </w:rPr>
            </w:pPr>
            <w:r w:rsidRPr="00F061BB">
              <w:rPr>
                <w:sz w:val="22"/>
                <w:szCs w:val="24"/>
              </w:rPr>
              <w:t>Plán dopravnej obsluhy vytvára základný dokument pre budovanie integrovaného dopravného systému v Bratislavskom kraji. BSK za účelom koordinácie ďalších aktivít v</w:t>
            </w:r>
            <w:r>
              <w:rPr>
                <w:sz w:val="22"/>
                <w:szCs w:val="24"/>
              </w:rPr>
              <w:t> </w:t>
            </w:r>
            <w:r w:rsidRPr="00F061BB">
              <w:rPr>
                <w:sz w:val="22"/>
                <w:szCs w:val="24"/>
              </w:rPr>
              <w:t>regióne</w:t>
            </w:r>
            <w:r>
              <w:rPr>
                <w:sz w:val="22"/>
                <w:szCs w:val="24"/>
              </w:rPr>
              <w:t xml:space="preserve"> v programovom období 2014-2020</w:t>
            </w:r>
            <w:r w:rsidRPr="00F061BB">
              <w:rPr>
                <w:sz w:val="22"/>
                <w:szCs w:val="24"/>
              </w:rPr>
              <w:t xml:space="preserve"> plánuje vypracovať nový Plán dopravnej obsluhy pre zohľadnenie meniacich sa dopravných vzťahov a požiadaviek na zabezpečenie efektívnej mobility obyvateľov kraja</w:t>
            </w:r>
          </w:p>
        </w:tc>
      </w:tr>
    </w:tbl>
    <w:p w14:paraId="2CB37795" w14:textId="77777777" w:rsidR="000E7413" w:rsidRDefault="000E7413" w:rsidP="00E50FC7">
      <w:pPr>
        <w:pStyle w:val="Bezriadkovania"/>
        <w:rPr>
          <w:b/>
          <w:sz w:val="22"/>
          <w:szCs w:val="24"/>
        </w:rPr>
      </w:pPr>
    </w:p>
    <w:p w14:paraId="7BFF5E2D" w14:textId="77777777" w:rsidR="000E7413" w:rsidRDefault="000E7413" w:rsidP="00E50FC7">
      <w:pPr>
        <w:pStyle w:val="Bezriadkovania"/>
        <w:rPr>
          <w:b/>
          <w:sz w:val="22"/>
          <w:szCs w:val="24"/>
        </w:rPr>
      </w:pPr>
    </w:p>
    <w:p w14:paraId="3BC6FBFE" w14:textId="18D8D909" w:rsidR="00E50FC7" w:rsidRPr="00E50FC7" w:rsidRDefault="00E50FC7" w:rsidP="00E50FC7">
      <w:pPr>
        <w:pStyle w:val="Bezriadkovania"/>
        <w:rPr>
          <w:b/>
          <w:sz w:val="22"/>
          <w:szCs w:val="24"/>
        </w:rPr>
      </w:pPr>
      <w:r>
        <w:rPr>
          <w:b/>
          <w:sz w:val="22"/>
          <w:szCs w:val="24"/>
        </w:rPr>
        <w:t xml:space="preserve">PHSR BSK 2014-2020 zohral kľúčovú úlohu počas prípravy nových operačných programov na programové obdobie 2014-2020. </w:t>
      </w:r>
      <w:r w:rsidR="00BC7B8E">
        <w:rPr>
          <w:b/>
          <w:sz w:val="22"/>
          <w:szCs w:val="24"/>
        </w:rPr>
        <w:t>Vzhľadom na pokrok v príprave operačných programov dosiahnutý aj vďaka pripravenosti Bratislavského samosprávneho kraja bolo možné presadiť investície z európskych štrukturálnych a investičných fondov do infraštruktúry vzdelávania, dopravy a sociálnych služieb.</w:t>
      </w:r>
    </w:p>
    <w:p w14:paraId="53C15AD8" w14:textId="77777777" w:rsidR="00E50FC7" w:rsidRDefault="00E50FC7" w:rsidP="00E50FC7">
      <w:pPr>
        <w:pStyle w:val="Bezriadkovania"/>
        <w:rPr>
          <w:b/>
          <w:sz w:val="22"/>
          <w:szCs w:val="24"/>
        </w:rPr>
      </w:pPr>
    </w:p>
    <w:p w14:paraId="08DD89ED" w14:textId="7C9687D7" w:rsidR="00E50FC7" w:rsidRPr="00E50FC7" w:rsidRDefault="00E50FC7" w:rsidP="00E50FC7">
      <w:pPr>
        <w:pStyle w:val="Bezriadkovania"/>
        <w:rPr>
          <w:b/>
          <w:sz w:val="22"/>
          <w:szCs w:val="24"/>
        </w:rPr>
      </w:pPr>
      <w:r w:rsidRPr="00E50FC7">
        <w:rPr>
          <w:b/>
          <w:sz w:val="22"/>
          <w:szCs w:val="24"/>
        </w:rPr>
        <w:t xml:space="preserve">Správa z hodnotenia </w:t>
      </w:r>
      <w:r>
        <w:rPr>
          <w:b/>
          <w:sz w:val="22"/>
          <w:szCs w:val="24"/>
        </w:rPr>
        <w:t xml:space="preserve">PHSR BSK 2014-2020 </w:t>
      </w:r>
      <w:r w:rsidRPr="00E50FC7">
        <w:rPr>
          <w:b/>
          <w:sz w:val="22"/>
          <w:szCs w:val="24"/>
        </w:rPr>
        <w:t>za rok 2014 predstavuje širokospektrálny monitorovací nástroj, ktorý analyzoval trendy vplývajúce na napĺňanie cieľov PHSR BSK 2014-2020, vývoj sledovaných merateľných ukazovateľov, a zostavil opatrenia, ktoré vplývajú na napĺňanie cieľov PHSR BSK 2014-2020, predstavil stav projektov definovaných Akčným plánom BSK a definoval spätnú väzbu pre samotný program PHSR BSK 2014-2020.</w:t>
      </w:r>
      <w:r>
        <w:rPr>
          <w:b/>
          <w:sz w:val="22"/>
          <w:szCs w:val="24"/>
        </w:rPr>
        <w:t xml:space="preserve"> </w:t>
      </w:r>
      <w:r w:rsidR="00BC7B8E">
        <w:rPr>
          <w:b/>
          <w:sz w:val="22"/>
          <w:szCs w:val="24"/>
        </w:rPr>
        <w:t xml:space="preserve">Vzhľadom na to, že systém monitorovania a hodnotenia je dôležitým prvkom v procese implementácie dokumentu naviazaného na finančné zdroje určené na rozvoj, aj ďalšie Správy z hodnotenia PHSR BSK 2014-2020 budú v prvom rade upozorňovať na nedostatočné plnenie a zavádzať opatrenia za účelom dosiahnutia pokroku. </w:t>
      </w:r>
    </w:p>
    <w:p w14:paraId="2EBFA304" w14:textId="77777777" w:rsidR="00E50FC7" w:rsidRDefault="00E50FC7" w:rsidP="00271C7B">
      <w:pPr>
        <w:spacing w:before="120" w:after="120"/>
        <w:jc w:val="both"/>
        <w:rPr>
          <w:b/>
          <w:sz w:val="22"/>
          <w:szCs w:val="22"/>
        </w:rPr>
      </w:pPr>
    </w:p>
    <w:p w14:paraId="00B1724E" w14:textId="77777777" w:rsidR="000952DF" w:rsidRDefault="000952DF" w:rsidP="00271C7B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Prílohy:</w:t>
      </w:r>
    </w:p>
    <w:p w14:paraId="327AC6FF" w14:textId="2C46BA71" w:rsidR="00996F33" w:rsidRPr="00115DDE" w:rsidRDefault="00271C7B" w:rsidP="00AB1CE3">
      <w:pPr>
        <w:jc w:val="both"/>
        <w:rPr>
          <w:rFonts w:ascii="Arial" w:hAnsi="Arial" w:cs="Arial"/>
          <w:sz w:val="22"/>
          <w:szCs w:val="22"/>
        </w:rPr>
      </w:pPr>
      <w:r w:rsidRPr="00F16247">
        <w:rPr>
          <w:rFonts w:ascii="Arial" w:hAnsi="Arial" w:cs="Arial"/>
          <w:b/>
          <w:sz w:val="22"/>
          <w:szCs w:val="22"/>
        </w:rPr>
        <w:t>Príloh</w:t>
      </w:r>
      <w:r w:rsidR="000952DF">
        <w:rPr>
          <w:rFonts w:ascii="Arial" w:hAnsi="Arial" w:cs="Arial"/>
          <w:b/>
          <w:sz w:val="22"/>
          <w:szCs w:val="22"/>
        </w:rPr>
        <w:t>a č. 1</w:t>
      </w:r>
      <w:r w:rsidRPr="00F16247">
        <w:rPr>
          <w:rFonts w:ascii="Arial" w:hAnsi="Arial" w:cs="Arial"/>
          <w:b/>
          <w:sz w:val="22"/>
          <w:szCs w:val="22"/>
        </w:rPr>
        <w:t>:</w:t>
      </w:r>
      <w:r w:rsidR="000952DF">
        <w:rPr>
          <w:rFonts w:ascii="Arial" w:hAnsi="Arial" w:cs="Arial"/>
          <w:b/>
          <w:sz w:val="22"/>
          <w:szCs w:val="22"/>
        </w:rPr>
        <w:t xml:space="preserve"> </w:t>
      </w:r>
      <w:r w:rsidR="00E030D5">
        <w:rPr>
          <w:rFonts w:ascii="Arial" w:hAnsi="Arial" w:cs="Arial"/>
          <w:sz w:val="22"/>
          <w:szCs w:val="22"/>
        </w:rPr>
        <w:t>Správa z hodnotenia PHSR BSK 2014-2020</w:t>
      </w:r>
      <w:r w:rsidR="00AD324C">
        <w:rPr>
          <w:rFonts w:ascii="Arial" w:hAnsi="Arial" w:cs="Arial"/>
          <w:sz w:val="22"/>
          <w:szCs w:val="22"/>
        </w:rPr>
        <w:t xml:space="preserve"> za rok 2014</w:t>
      </w:r>
      <w:r w:rsidR="00AD1E37">
        <w:rPr>
          <w:rFonts w:ascii="Arial" w:hAnsi="Arial" w:cs="Arial"/>
          <w:sz w:val="22"/>
          <w:szCs w:val="22"/>
        </w:rPr>
        <w:t xml:space="preserve"> - </w:t>
      </w:r>
      <w:r w:rsidR="00AD1E37" w:rsidRPr="00AD1E37">
        <w:rPr>
          <w:rFonts w:ascii="Arial" w:hAnsi="Arial" w:cs="Arial"/>
          <w:b/>
          <w:sz w:val="22"/>
          <w:szCs w:val="22"/>
        </w:rPr>
        <w:t>CD</w:t>
      </w:r>
    </w:p>
    <w:p w14:paraId="2B30E201" w14:textId="77777777" w:rsidR="000952DF" w:rsidRDefault="000952DF" w:rsidP="00271C7B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7B667A5B" w14:textId="77777777" w:rsidR="007A35C4" w:rsidRDefault="007A35C4"/>
    <w:p w14:paraId="2570F527" w14:textId="77777777" w:rsidR="00115DDE" w:rsidRDefault="00115DDE">
      <w:bookmarkStart w:id="0" w:name="_GoBack"/>
      <w:bookmarkEnd w:id="0"/>
    </w:p>
    <w:sectPr w:rsidR="00115DDE" w:rsidSect="00914DA5">
      <w:footerReference w:type="default" r:id="rId21"/>
      <w:type w:val="continuous"/>
      <w:pgSz w:w="11906" w:h="16838"/>
      <w:pgMar w:top="1417" w:right="1417" w:bottom="993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9B6434" w14:textId="77777777" w:rsidR="00910CBA" w:rsidRDefault="00910CBA">
      <w:r>
        <w:separator/>
      </w:r>
    </w:p>
  </w:endnote>
  <w:endnote w:type="continuationSeparator" w:id="0">
    <w:p w14:paraId="7EE16F16" w14:textId="77777777" w:rsidR="00910CBA" w:rsidRDefault="00910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B17024" w14:textId="77777777" w:rsidR="00910CBA" w:rsidRDefault="00910CBA">
    <w:pPr>
      <w:pStyle w:val="Pta"/>
      <w:jc w:val="right"/>
    </w:pPr>
  </w:p>
  <w:p w14:paraId="2D27D9B7" w14:textId="77777777" w:rsidR="00910CBA" w:rsidRDefault="00910CBA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607831"/>
      <w:docPartObj>
        <w:docPartGallery w:val="Page Numbers (Bottom of Page)"/>
        <w:docPartUnique/>
      </w:docPartObj>
    </w:sdtPr>
    <w:sdtEndPr/>
    <w:sdtContent>
      <w:p w14:paraId="36109354" w14:textId="77777777" w:rsidR="00910CBA" w:rsidRDefault="00910CB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324C">
          <w:rPr>
            <w:noProof/>
          </w:rPr>
          <w:t>3</w:t>
        </w:r>
        <w:r>
          <w:fldChar w:fldCharType="end"/>
        </w:r>
      </w:p>
    </w:sdtContent>
  </w:sdt>
  <w:p w14:paraId="34F0D4F5" w14:textId="77777777" w:rsidR="00910CBA" w:rsidRDefault="00910CB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681AB4" w14:textId="77777777" w:rsidR="00910CBA" w:rsidRDefault="00910CBA">
      <w:r>
        <w:separator/>
      </w:r>
    </w:p>
  </w:footnote>
  <w:footnote w:type="continuationSeparator" w:id="0">
    <w:p w14:paraId="24DA1324" w14:textId="77777777" w:rsidR="00910CBA" w:rsidRDefault="00910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C1390"/>
    <w:multiLevelType w:val="hybridMultilevel"/>
    <w:tmpl w:val="527E32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FA31DA"/>
    <w:multiLevelType w:val="hybridMultilevel"/>
    <w:tmpl w:val="5156D9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83292D"/>
    <w:multiLevelType w:val="hybridMultilevel"/>
    <w:tmpl w:val="ACB8AD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3A3630"/>
    <w:multiLevelType w:val="hybridMultilevel"/>
    <w:tmpl w:val="93D00C0C"/>
    <w:lvl w:ilvl="0" w:tplc="7862CF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5E5BCF"/>
    <w:multiLevelType w:val="hybridMultilevel"/>
    <w:tmpl w:val="9DB494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AB5E66"/>
    <w:multiLevelType w:val="hybridMultilevel"/>
    <w:tmpl w:val="86224E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586079"/>
    <w:multiLevelType w:val="hybridMultilevel"/>
    <w:tmpl w:val="7FDC88F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CF7C19"/>
    <w:multiLevelType w:val="hybridMultilevel"/>
    <w:tmpl w:val="4BD6C31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F4325FD"/>
    <w:multiLevelType w:val="hybridMultilevel"/>
    <w:tmpl w:val="A9E8D99C"/>
    <w:lvl w:ilvl="0" w:tplc="DD0A7A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9C7346"/>
    <w:multiLevelType w:val="hybridMultilevel"/>
    <w:tmpl w:val="DDDE1F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9"/>
  </w:num>
  <w:num w:numId="6">
    <w:abstractNumId w:val="7"/>
  </w:num>
  <w:num w:numId="7">
    <w:abstractNumId w:val="6"/>
  </w:num>
  <w:num w:numId="8">
    <w:abstractNumId w:val="3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C7B"/>
    <w:rsid w:val="00061190"/>
    <w:rsid w:val="000952DF"/>
    <w:rsid w:val="00097B4A"/>
    <w:rsid w:val="000A24FC"/>
    <w:rsid w:val="000D0885"/>
    <w:rsid w:val="000E7413"/>
    <w:rsid w:val="00115DDE"/>
    <w:rsid w:val="0021697A"/>
    <w:rsid w:val="00243D06"/>
    <w:rsid w:val="00271C7B"/>
    <w:rsid w:val="00276F27"/>
    <w:rsid w:val="0027770B"/>
    <w:rsid w:val="002D55FA"/>
    <w:rsid w:val="0035661F"/>
    <w:rsid w:val="004047EE"/>
    <w:rsid w:val="00411069"/>
    <w:rsid w:val="00444EE6"/>
    <w:rsid w:val="004B6C43"/>
    <w:rsid w:val="004C68DC"/>
    <w:rsid w:val="004E28DE"/>
    <w:rsid w:val="00500127"/>
    <w:rsid w:val="005070BE"/>
    <w:rsid w:val="005907B7"/>
    <w:rsid w:val="00721D6C"/>
    <w:rsid w:val="00723AF1"/>
    <w:rsid w:val="007419A2"/>
    <w:rsid w:val="0076023C"/>
    <w:rsid w:val="007A35C4"/>
    <w:rsid w:val="007D1975"/>
    <w:rsid w:val="00805846"/>
    <w:rsid w:val="00866417"/>
    <w:rsid w:val="00876BEC"/>
    <w:rsid w:val="008A19D6"/>
    <w:rsid w:val="008F0A86"/>
    <w:rsid w:val="0090058B"/>
    <w:rsid w:val="00910CBA"/>
    <w:rsid w:val="00914DA5"/>
    <w:rsid w:val="00947640"/>
    <w:rsid w:val="00983E46"/>
    <w:rsid w:val="00996F33"/>
    <w:rsid w:val="009B14AD"/>
    <w:rsid w:val="009C63B2"/>
    <w:rsid w:val="009D59B7"/>
    <w:rsid w:val="00A575B1"/>
    <w:rsid w:val="00AB1CE3"/>
    <w:rsid w:val="00AD191B"/>
    <w:rsid w:val="00AD1E37"/>
    <w:rsid w:val="00AD324C"/>
    <w:rsid w:val="00B13463"/>
    <w:rsid w:val="00BB5A91"/>
    <w:rsid w:val="00BC4379"/>
    <w:rsid w:val="00BC7B8E"/>
    <w:rsid w:val="00BF1926"/>
    <w:rsid w:val="00C46AC8"/>
    <w:rsid w:val="00C57464"/>
    <w:rsid w:val="00CF4C47"/>
    <w:rsid w:val="00D07D36"/>
    <w:rsid w:val="00D20446"/>
    <w:rsid w:val="00D20941"/>
    <w:rsid w:val="00D40410"/>
    <w:rsid w:val="00DC1A8A"/>
    <w:rsid w:val="00E030D5"/>
    <w:rsid w:val="00E50FC7"/>
    <w:rsid w:val="00EA528F"/>
    <w:rsid w:val="00EB43D3"/>
    <w:rsid w:val="00F061BB"/>
    <w:rsid w:val="00F278DE"/>
    <w:rsid w:val="00F34217"/>
    <w:rsid w:val="00F46FA4"/>
    <w:rsid w:val="00FB1BA6"/>
    <w:rsid w:val="00FC6C2A"/>
    <w:rsid w:val="00FD1316"/>
    <w:rsid w:val="00FF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73DF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71C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Bezriadkovania"/>
    <w:next w:val="Bezriadkovania"/>
    <w:link w:val="Nadpis2Char"/>
    <w:uiPriority w:val="9"/>
    <w:qFormat/>
    <w:rsid w:val="00BB5A91"/>
    <w:pPr>
      <w:spacing w:before="100" w:beforeAutospacing="1" w:after="100" w:afterAutospacing="1"/>
      <w:jc w:val="left"/>
      <w:outlineLvl w:val="1"/>
    </w:pPr>
    <w:rPr>
      <w:rFonts w:eastAsia="Times New Roman" w:cs="Times New Roman"/>
      <w:b/>
      <w:bCs/>
      <w:sz w:val="24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99"/>
    <w:qFormat/>
    <w:rsid w:val="00271C7B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271C7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1C7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952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952DF"/>
    <w:rPr>
      <w:rFonts w:ascii="Tahoma" w:eastAsia="Times New Roman" w:hAnsi="Tahoma" w:cs="Tahoma"/>
      <w:sz w:val="16"/>
      <w:szCs w:val="16"/>
      <w:lang w:eastAsia="sk-SK"/>
    </w:rPr>
  </w:style>
  <w:style w:type="table" w:styleId="Mriekatabuky">
    <w:name w:val="Table Grid"/>
    <w:basedOn w:val="Normlnatabuka"/>
    <w:uiPriority w:val="59"/>
    <w:rsid w:val="002D5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rednpodfarbenie2">
    <w:name w:val="Medium Shading 2"/>
    <w:basedOn w:val="Normlnatabuka"/>
    <w:uiPriority w:val="64"/>
    <w:rsid w:val="002D55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zoznam2zvraznenie1">
    <w:name w:val="Medium List 2 Accent 1"/>
    <w:basedOn w:val="Normlnatabuka"/>
    <w:uiPriority w:val="66"/>
    <w:rsid w:val="002D55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Hlavika">
    <w:name w:val="header"/>
    <w:basedOn w:val="Normlny"/>
    <w:link w:val="HlavikaChar"/>
    <w:uiPriority w:val="99"/>
    <w:unhideWhenUsed/>
    <w:rsid w:val="00914DA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14D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E030D5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Nadpis2Char">
    <w:name w:val="Nadpis 2 Char"/>
    <w:basedOn w:val="Predvolenpsmoodseku"/>
    <w:link w:val="Nadpis2"/>
    <w:uiPriority w:val="9"/>
    <w:rsid w:val="00BB5A91"/>
    <w:rPr>
      <w:rFonts w:ascii="Arial" w:eastAsia="Times New Roman" w:hAnsi="Arial" w:cs="Times New Roman"/>
      <w:b/>
      <w:bCs/>
      <w:sz w:val="24"/>
      <w:szCs w:val="36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4B6C4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71C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Bezriadkovania"/>
    <w:next w:val="Bezriadkovania"/>
    <w:link w:val="Nadpis2Char"/>
    <w:uiPriority w:val="9"/>
    <w:qFormat/>
    <w:rsid w:val="00BB5A91"/>
    <w:pPr>
      <w:spacing w:before="100" w:beforeAutospacing="1" w:after="100" w:afterAutospacing="1"/>
      <w:jc w:val="left"/>
      <w:outlineLvl w:val="1"/>
    </w:pPr>
    <w:rPr>
      <w:rFonts w:eastAsia="Times New Roman" w:cs="Times New Roman"/>
      <w:b/>
      <w:bCs/>
      <w:sz w:val="24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99"/>
    <w:qFormat/>
    <w:rsid w:val="00271C7B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271C7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1C7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952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952DF"/>
    <w:rPr>
      <w:rFonts w:ascii="Tahoma" w:eastAsia="Times New Roman" w:hAnsi="Tahoma" w:cs="Tahoma"/>
      <w:sz w:val="16"/>
      <w:szCs w:val="16"/>
      <w:lang w:eastAsia="sk-SK"/>
    </w:rPr>
  </w:style>
  <w:style w:type="table" w:styleId="Mriekatabuky">
    <w:name w:val="Table Grid"/>
    <w:basedOn w:val="Normlnatabuka"/>
    <w:uiPriority w:val="59"/>
    <w:rsid w:val="002D5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rednpodfarbenie2">
    <w:name w:val="Medium Shading 2"/>
    <w:basedOn w:val="Normlnatabuka"/>
    <w:uiPriority w:val="64"/>
    <w:rsid w:val="002D55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zoznam2zvraznenie1">
    <w:name w:val="Medium List 2 Accent 1"/>
    <w:basedOn w:val="Normlnatabuka"/>
    <w:uiPriority w:val="66"/>
    <w:rsid w:val="002D55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Hlavika">
    <w:name w:val="header"/>
    <w:basedOn w:val="Normlny"/>
    <w:link w:val="HlavikaChar"/>
    <w:uiPriority w:val="99"/>
    <w:unhideWhenUsed/>
    <w:rsid w:val="00914DA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14D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E030D5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Nadpis2Char">
    <w:name w:val="Nadpis 2 Char"/>
    <w:basedOn w:val="Predvolenpsmoodseku"/>
    <w:link w:val="Nadpis2"/>
    <w:uiPriority w:val="9"/>
    <w:rsid w:val="00BB5A91"/>
    <w:rPr>
      <w:rFonts w:ascii="Arial" w:eastAsia="Times New Roman" w:hAnsi="Arial" w:cs="Times New Roman"/>
      <w:b/>
      <w:bCs/>
      <w:sz w:val="24"/>
      <w:szCs w:val="36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4B6C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18" Type="http://schemas.openxmlformats.org/officeDocument/2006/relationships/diagramQuickStyle" Target="diagrams/quickStyle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17" Type="http://schemas.openxmlformats.org/officeDocument/2006/relationships/diagramLayout" Target="diagrams/layout1.xml"/><Relationship Id="rId2" Type="http://schemas.openxmlformats.org/officeDocument/2006/relationships/numbering" Target="numbering.xml"/><Relationship Id="rId16" Type="http://schemas.openxmlformats.org/officeDocument/2006/relationships/diagramData" Target="diagrams/data1.xml"/><Relationship Id="rId20" Type="http://schemas.microsoft.com/office/2007/relationships/diagramDrawing" Target="diagrams/drawing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chart" Target="charts/chart6.xml"/><Relationship Id="rId23" Type="http://schemas.openxmlformats.org/officeDocument/2006/relationships/theme" Target="theme/theme1.xml"/><Relationship Id="rId10" Type="http://schemas.openxmlformats.org/officeDocument/2006/relationships/chart" Target="charts/chart1.xml"/><Relationship Id="rId19" Type="http://schemas.openxmlformats.org/officeDocument/2006/relationships/diagramColors" Target="diagrams/colors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hart" Target="charts/chart5.xm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Pracovn__h_rok_programu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Pracovn__h_rok_programu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Pracovn__h_rok_programu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Pracovn__h_rok_programu_Microsoft_Excel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package" Target="../embeddings/Pracovn__h_rok_programu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31030936668374898"/>
          <c:y val="0.16769549170053499"/>
          <c:w val="0.33261063556646597"/>
          <c:h val="0.72877103417693101"/>
        </c:manualLayout>
      </c:layout>
      <c:radarChart>
        <c:radarStyle val="marker"/>
        <c:varyColors val="0"/>
        <c:ser>
          <c:idx val="0"/>
          <c:order val="0"/>
          <c:tx>
            <c:strRef>
              <c:f>Hárok1!$B$1</c:f>
              <c:strCache>
                <c:ptCount val="1"/>
                <c:pt idx="0">
                  <c:v>2014</c:v>
                </c:pt>
              </c:strCache>
            </c:strRef>
          </c:tx>
          <c:marker>
            <c:symbol val="none"/>
          </c:marker>
          <c:cat>
            <c:strRef>
              <c:f>Hárok1!$A$2:$A$6</c:f>
              <c:strCache>
                <c:ptCount val="5"/>
                <c:pt idx="0">
                  <c:v>Podiel výdavkov na vedu a výskum </c:v>
                </c:pt>
                <c:pt idx="1">
                  <c:v>Citácie na výskumníka</c:v>
                </c:pt>
                <c:pt idx="2">
                  <c:v>High-tech export</c:v>
                </c:pt>
                <c:pt idx="3">
                  <c:v>Patentové prihlášky na EPÚ</c:v>
                </c:pt>
                <c:pt idx="4">
                  <c:v>Počet výskumných pracovníkov</c:v>
                </c:pt>
              </c:strCache>
            </c:strRef>
          </c:cat>
          <c:val>
            <c:numRef>
              <c:f>Hárok1!$B$2:$B$6</c:f>
              <c:numCache>
                <c:formatCode>General</c:formatCode>
                <c:ptCount val="5"/>
                <c:pt idx="0">
                  <c:v>8.5</c:v>
                </c:pt>
                <c:pt idx="1">
                  <c:v>4.5</c:v>
                </c:pt>
                <c:pt idx="2">
                  <c:v>9.5</c:v>
                </c:pt>
                <c:pt idx="3">
                  <c:v>4.2</c:v>
                </c:pt>
                <c:pt idx="4">
                  <c:v>8.8689999999999998</c:v>
                </c:pt>
              </c:numCache>
            </c:numRef>
          </c:val>
        </c:ser>
        <c:ser>
          <c:idx val="1"/>
          <c:order val="1"/>
          <c:tx>
            <c:strRef>
              <c:f>Hárok1!$C$1</c:f>
              <c:strCache>
                <c:ptCount val="1"/>
                <c:pt idx="0">
                  <c:v>2020</c:v>
                </c:pt>
              </c:strCache>
            </c:strRef>
          </c:tx>
          <c:marker>
            <c:symbol val="none"/>
          </c:marker>
          <c:cat>
            <c:strRef>
              <c:f>Hárok1!$A$2:$A$6</c:f>
              <c:strCache>
                <c:ptCount val="5"/>
                <c:pt idx="0">
                  <c:v>Podiel výdavkov na vedu a výskum </c:v>
                </c:pt>
                <c:pt idx="1">
                  <c:v>Citácie na výskumníka</c:v>
                </c:pt>
                <c:pt idx="2">
                  <c:v>High-tech export</c:v>
                </c:pt>
                <c:pt idx="3">
                  <c:v>Patentové prihlášky na EPÚ</c:v>
                </c:pt>
                <c:pt idx="4">
                  <c:v>Počet výskumných pracovníkov</c:v>
                </c:pt>
              </c:strCache>
            </c:strRef>
          </c:cat>
          <c:val>
            <c:numRef>
              <c:f>Hárok1!$C$2:$C$6</c:f>
              <c:numCache>
                <c:formatCode>General</c:formatCode>
                <c:ptCount val="5"/>
                <c:pt idx="0">
                  <c:v>10</c:v>
                </c:pt>
                <c:pt idx="1">
                  <c:v>7</c:v>
                </c:pt>
                <c:pt idx="2">
                  <c:v>14</c:v>
                </c:pt>
                <c:pt idx="3">
                  <c:v>20</c:v>
                </c:pt>
                <c:pt idx="4">
                  <c:v>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1349760"/>
        <c:axId val="204149888"/>
      </c:radarChart>
      <c:catAx>
        <c:axId val="201349760"/>
        <c:scaling>
          <c:orientation val="minMax"/>
        </c:scaling>
        <c:delete val="0"/>
        <c:axPos val="b"/>
        <c:majorGridlines/>
        <c:numFmt formatCode="d/m/yyyy" sourceLinked="1"/>
        <c:majorTickMark val="out"/>
        <c:minorTickMark val="none"/>
        <c:tickLblPos val="nextTo"/>
        <c:crossAx val="204149888"/>
        <c:crosses val="autoZero"/>
        <c:auto val="1"/>
        <c:lblAlgn val="ctr"/>
        <c:lblOffset val="100"/>
        <c:noMultiLvlLbl val="0"/>
      </c:catAx>
      <c:valAx>
        <c:axId val="204149888"/>
        <c:scaling>
          <c:orientation val="minMax"/>
        </c:scaling>
        <c:delete val="0"/>
        <c:axPos val="l"/>
        <c:majorGridlines/>
        <c:numFmt formatCode="General" sourceLinked="1"/>
        <c:majorTickMark val="cross"/>
        <c:minorTickMark val="none"/>
        <c:tickLblPos val="nextTo"/>
        <c:crossAx val="201349760"/>
        <c:crosses val="autoZero"/>
        <c:crossBetween val="between"/>
      </c:valAx>
    </c:plotArea>
    <c:plotVisOnly val="1"/>
    <c:dispBlanksAs val="gap"/>
    <c:showDLblsOverMax val="0"/>
  </c:chart>
  <c:spPr>
    <a:ln>
      <a:solidFill>
        <a:schemeClr val="bg1">
          <a:lumMod val="75000"/>
        </a:schemeClr>
      </a:solidFill>
    </a:ln>
  </c:sp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328773344009965"/>
          <c:y val="0.13394497043231199"/>
          <c:w val="0.35005115885937998"/>
          <c:h val="0.71348520403167004"/>
        </c:manualLayout>
      </c:layout>
      <c:radarChart>
        <c:radarStyle val="marker"/>
        <c:varyColors val="0"/>
        <c:ser>
          <c:idx val="0"/>
          <c:order val="0"/>
          <c:tx>
            <c:strRef>
              <c:f>Hárok1!$B$1</c:f>
              <c:strCache>
                <c:ptCount val="1"/>
                <c:pt idx="0">
                  <c:v>2014</c:v>
                </c:pt>
              </c:strCache>
            </c:strRef>
          </c:tx>
          <c:marker>
            <c:symbol val="none"/>
          </c:marker>
          <c:cat>
            <c:strRef>
              <c:f>Hárok1!$A$2:$A$8</c:f>
              <c:strCache>
                <c:ptCount val="7"/>
                <c:pt idx="0">
                  <c:v>Priemerná hrubá nominálna mesačná mzda</c:v>
                </c:pt>
                <c:pt idx="1">
                  <c:v>Prirodzený prírastok obyvateľstva </c:v>
                </c:pt>
                <c:pt idx="2">
                  <c:v>Saldo sťahovania </c:v>
                </c:pt>
                <c:pt idx="3">
                  <c:v>Celkový prírastok</c:v>
                </c:pt>
                <c:pt idx="4">
                  <c:v>Počet návštevníkov na výstavách</c:v>
                </c:pt>
                <c:pt idx="5">
                  <c:v>Osoby v hmotnej núdzi </c:v>
                </c:pt>
                <c:pt idx="6">
                  <c:v>Korupcia</c:v>
                </c:pt>
              </c:strCache>
            </c:strRef>
          </c:cat>
          <c:val>
            <c:numRef>
              <c:f>Hárok1!$B$2:$B$8</c:f>
              <c:numCache>
                <c:formatCode>General</c:formatCode>
                <c:ptCount val="7"/>
                <c:pt idx="0">
                  <c:v>10.98</c:v>
                </c:pt>
                <c:pt idx="1">
                  <c:v>3.26</c:v>
                </c:pt>
                <c:pt idx="2">
                  <c:v>7.65</c:v>
                </c:pt>
                <c:pt idx="3">
                  <c:v>10.92</c:v>
                </c:pt>
                <c:pt idx="4">
                  <c:v>6.1656199999999997</c:v>
                </c:pt>
                <c:pt idx="6">
                  <c:v>6.2</c:v>
                </c:pt>
              </c:numCache>
            </c:numRef>
          </c:val>
        </c:ser>
        <c:ser>
          <c:idx val="1"/>
          <c:order val="1"/>
          <c:tx>
            <c:strRef>
              <c:f>Hárok1!$C$1</c:f>
              <c:strCache>
                <c:ptCount val="1"/>
                <c:pt idx="0">
                  <c:v>2020</c:v>
                </c:pt>
              </c:strCache>
            </c:strRef>
          </c:tx>
          <c:marker>
            <c:symbol val="none"/>
          </c:marker>
          <c:cat>
            <c:strRef>
              <c:f>Hárok1!$A$2:$A$8</c:f>
              <c:strCache>
                <c:ptCount val="7"/>
                <c:pt idx="0">
                  <c:v>Priemerná hrubá nominálna mesačná mzda</c:v>
                </c:pt>
                <c:pt idx="1">
                  <c:v>Prirodzený prírastok obyvateľstva </c:v>
                </c:pt>
                <c:pt idx="2">
                  <c:v>Saldo sťahovania </c:v>
                </c:pt>
                <c:pt idx="3">
                  <c:v>Celkový prírastok</c:v>
                </c:pt>
                <c:pt idx="4">
                  <c:v>Počet návštevníkov na výstavách</c:v>
                </c:pt>
                <c:pt idx="5">
                  <c:v>Osoby v hmotnej núdzi </c:v>
                </c:pt>
                <c:pt idx="6">
                  <c:v>Korupcia</c:v>
                </c:pt>
              </c:strCache>
            </c:strRef>
          </c:cat>
          <c:val>
            <c:numRef>
              <c:f>Hárok1!$C$2:$C$8</c:f>
              <c:numCache>
                <c:formatCode>General</c:formatCode>
                <c:ptCount val="7"/>
                <c:pt idx="0">
                  <c:v>14</c:v>
                </c:pt>
                <c:pt idx="1">
                  <c:v>4</c:v>
                </c:pt>
                <c:pt idx="2">
                  <c:v>8</c:v>
                </c:pt>
                <c:pt idx="3">
                  <c:v>12</c:v>
                </c:pt>
                <c:pt idx="4">
                  <c:v>8</c:v>
                </c:pt>
                <c:pt idx="6">
                  <c:v>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1739264"/>
        <c:axId val="201741056"/>
      </c:radarChart>
      <c:catAx>
        <c:axId val="201739264"/>
        <c:scaling>
          <c:orientation val="minMax"/>
        </c:scaling>
        <c:delete val="0"/>
        <c:axPos val="b"/>
        <c:majorGridlines/>
        <c:numFmt formatCode="d/m/yyyy" sourceLinked="1"/>
        <c:majorTickMark val="out"/>
        <c:minorTickMark val="none"/>
        <c:tickLblPos val="nextTo"/>
        <c:crossAx val="201741056"/>
        <c:crosses val="autoZero"/>
        <c:auto val="1"/>
        <c:lblAlgn val="ctr"/>
        <c:lblOffset val="100"/>
        <c:noMultiLvlLbl val="0"/>
      </c:catAx>
      <c:valAx>
        <c:axId val="201741056"/>
        <c:scaling>
          <c:orientation val="minMax"/>
        </c:scaling>
        <c:delete val="0"/>
        <c:axPos val="l"/>
        <c:majorGridlines/>
        <c:numFmt formatCode="General" sourceLinked="1"/>
        <c:majorTickMark val="cross"/>
        <c:minorTickMark val="none"/>
        <c:tickLblPos val="nextTo"/>
        <c:crossAx val="201739264"/>
        <c:crosses val="autoZero"/>
        <c:crossBetween val="between"/>
      </c:valAx>
    </c:plotArea>
    <c:plotVisOnly val="1"/>
    <c:dispBlanksAs val="gap"/>
    <c:showDLblsOverMax val="0"/>
  </c:chart>
  <c:spPr>
    <a:ln>
      <a:solidFill>
        <a:schemeClr val="bg1">
          <a:lumMod val="75000"/>
        </a:schemeClr>
      </a:solidFill>
    </a:ln>
  </c:sp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34941203360431999"/>
          <c:y val="0.13277498195001899"/>
          <c:w val="0.27235518827473298"/>
          <c:h val="0.71120616530230474"/>
        </c:manualLayout>
      </c:layout>
      <c:radarChart>
        <c:radarStyle val="marker"/>
        <c:varyColors val="0"/>
        <c:ser>
          <c:idx val="0"/>
          <c:order val="0"/>
          <c:tx>
            <c:strRef>
              <c:f>Hárok1!$B$1</c:f>
              <c:strCache>
                <c:ptCount val="1"/>
                <c:pt idx="0">
                  <c:v>2014</c:v>
                </c:pt>
              </c:strCache>
            </c:strRef>
          </c:tx>
          <c:marker>
            <c:symbol val="none"/>
          </c:marker>
          <c:cat>
            <c:strRef>
              <c:f>Hárok1!$A$2:$A$5</c:f>
              <c:strCache>
                <c:ptCount val="4"/>
                <c:pt idx="0">
                  <c:v>Miera zamestnanosti 20-64</c:v>
                </c:pt>
                <c:pt idx="1">
                  <c:v>Miera nezamestnanosti</c:v>
                </c:pt>
                <c:pt idx="2">
                  <c:v>Miera dlhodobej nezamestnanosti</c:v>
                </c:pt>
                <c:pt idx="3">
                  <c:v>Miera rizika chudoby</c:v>
                </c:pt>
              </c:strCache>
            </c:strRef>
          </c:cat>
          <c:val>
            <c:numRef>
              <c:f>Hárok1!$B$2:$B$5</c:f>
              <c:numCache>
                <c:formatCode>General</c:formatCode>
                <c:ptCount val="4"/>
                <c:pt idx="0">
                  <c:v>7.06</c:v>
                </c:pt>
                <c:pt idx="1">
                  <c:v>6</c:v>
                </c:pt>
                <c:pt idx="2">
                  <c:v>7.4</c:v>
                </c:pt>
                <c:pt idx="3">
                  <c:v>8</c:v>
                </c:pt>
              </c:numCache>
            </c:numRef>
          </c:val>
        </c:ser>
        <c:ser>
          <c:idx val="1"/>
          <c:order val="1"/>
          <c:tx>
            <c:strRef>
              <c:f>Hárok1!$C$1</c:f>
              <c:strCache>
                <c:ptCount val="1"/>
                <c:pt idx="0">
                  <c:v>2020</c:v>
                </c:pt>
              </c:strCache>
            </c:strRef>
          </c:tx>
          <c:marker>
            <c:symbol val="none"/>
          </c:marker>
          <c:cat>
            <c:strRef>
              <c:f>Hárok1!$A$2:$A$5</c:f>
              <c:strCache>
                <c:ptCount val="4"/>
                <c:pt idx="0">
                  <c:v>Miera zamestnanosti 20-64</c:v>
                </c:pt>
                <c:pt idx="1">
                  <c:v>Miera nezamestnanosti</c:v>
                </c:pt>
                <c:pt idx="2">
                  <c:v>Miera dlhodobej nezamestnanosti</c:v>
                </c:pt>
                <c:pt idx="3">
                  <c:v>Miera rizika chudoby</c:v>
                </c:pt>
              </c:strCache>
            </c:strRef>
          </c:cat>
          <c:val>
            <c:numRef>
              <c:f>Hárok1!$C$2:$C$5</c:f>
              <c:numCache>
                <c:formatCode>General</c:formatCode>
                <c:ptCount val="4"/>
                <c:pt idx="0">
                  <c:v>7.8</c:v>
                </c:pt>
                <c:pt idx="1">
                  <c:v>4</c:v>
                </c:pt>
                <c:pt idx="2">
                  <c:v>4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1835264"/>
        <c:axId val="201836800"/>
      </c:radarChart>
      <c:catAx>
        <c:axId val="201835264"/>
        <c:scaling>
          <c:orientation val="minMax"/>
        </c:scaling>
        <c:delete val="0"/>
        <c:axPos val="b"/>
        <c:majorGridlines/>
        <c:numFmt formatCode="d/m/yyyy" sourceLinked="1"/>
        <c:majorTickMark val="out"/>
        <c:minorTickMark val="none"/>
        <c:tickLblPos val="nextTo"/>
        <c:crossAx val="201836800"/>
        <c:crosses val="autoZero"/>
        <c:auto val="1"/>
        <c:lblAlgn val="ctr"/>
        <c:lblOffset val="100"/>
        <c:noMultiLvlLbl val="0"/>
      </c:catAx>
      <c:valAx>
        <c:axId val="201836800"/>
        <c:scaling>
          <c:orientation val="minMax"/>
        </c:scaling>
        <c:delete val="0"/>
        <c:axPos val="l"/>
        <c:majorGridlines/>
        <c:numFmt formatCode="General" sourceLinked="1"/>
        <c:majorTickMark val="cross"/>
        <c:minorTickMark val="none"/>
        <c:tickLblPos val="nextTo"/>
        <c:crossAx val="201835264"/>
        <c:crosses val="autoZero"/>
        <c:crossBetween val="between"/>
      </c:valAx>
    </c:plotArea>
    <c:plotVisOnly val="1"/>
    <c:dispBlanksAs val="gap"/>
    <c:showDLblsOverMax val="0"/>
  </c:chart>
  <c:spPr>
    <a:ln>
      <a:solidFill>
        <a:schemeClr val="bg1">
          <a:lumMod val="75000"/>
        </a:schemeClr>
      </a:solidFill>
    </a:ln>
  </c:sp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34941197717257999"/>
          <c:y val="0.112311853523291"/>
          <c:w val="0.325908438771433"/>
          <c:h val="0.74197274924088796"/>
        </c:manualLayout>
      </c:layout>
      <c:radarChart>
        <c:radarStyle val="marker"/>
        <c:varyColors val="0"/>
        <c:ser>
          <c:idx val="0"/>
          <c:order val="0"/>
          <c:tx>
            <c:strRef>
              <c:f>Hárok1!$B$1</c:f>
              <c:strCache>
                <c:ptCount val="1"/>
                <c:pt idx="0">
                  <c:v>2014</c:v>
                </c:pt>
              </c:strCache>
            </c:strRef>
          </c:tx>
          <c:marker>
            <c:symbol val="none"/>
          </c:marker>
          <c:cat>
            <c:strRef>
              <c:f>Hárok1!$A$2:$A$5</c:f>
              <c:strCache>
                <c:ptCount val="4"/>
                <c:pt idx="0">
                  <c:v>PZI na obyvateľa</c:v>
                </c:pt>
                <c:pt idx="1">
                  <c:v>HDP na obyvateľa</c:v>
                </c:pt>
                <c:pt idx="2">
                  <c:v>Podiel poľnohospodárskej pôdy</c:v>
                </c:pt>
                <c:pt idx="3">
                  <c:v>Počet podnikateľských subjektov</c:v>
                </c:pt>
              </c:strCache>
            </c:strRef>
          </c:cat>
          <c:val>
            <c:numRef>
              <c:f>Hárok1!$B$2:$B$5</c:f>
              <c:numCache>
                <c:formatCode>General</c:formatCode>
                <c:ptCount val="4"/>
                <c:pt idx="0">
                  <c:v>4.83</c:v>
                </c:pt>
                <c:pt idx="1">
                  <c:v>4.8948</c:v>
                </c:pt>
                <c:pt idx="2">
                  <c:v>4.45</c:v>
                </c:pt>
                <c:pt idx="3">
                  <c:v>13.66</c:v>
                </c:pt>
              </c:numCache>
            </c:numRef>
          </c:val>
        </c:ser>
        <c:ser>
          <c:idx val="1"/>
          <c:order val="1"/>
          <c:tx>
            <c:strRef>
              <c:f>Hárok1!$C$1</c:f>
              <c:strCache>
                <c:ptCount val="1"/>
                <c:pt idx="0">
                  <c:v>2020</c:v>
                </c:pt>
              </c:strCache>
            </c:strRef>
          </c:tx>
          <c:marker>
            <c:symbol val="none"/>
          </c:marker>
          <c:cat>
            <c:strRef>
              <c:f>Hárok1!$A$2:$A$5</c:f>
              <c:strCache>
                <c:ptCount val="4"/>
                <c:pt idx="0">
                  <c:v>PZI na obyvateľa</c:v>
                </c:pt>
                <c:pt idx="1">
                  <c:v>HDP na obyvateľa</c:v>
                </c:pt>
                <c:pt idx="2">
                  <c:v>Podiel poľnohospodárskej pôdy</c:v>
                </c:pt>
                <c:pt idx="3">
                  <c:v>Počet podnikateľských subjektov</c:v>
                </c:pt>
              </c:strCache>
            </c:strRef>
          </c:cat>
          <c:val>
            <c:numRef>
              <c:f>Hárok1!$C$2:$C$5</c:f>
              <c:numCache>
                <c:formatCode>General</c:formatCode>
                <c:ptCount val="4"/>
                <c:pt idx="0">
                  <c:v>4.8</c:v>
                </c:pt>
                <c:pt idx="1">
                  <c:v>4.5</c:v>
                </c:pt>
                <c:pt idx="2">
                  <c:v>4.3</c:v>
                </c:pt>
                <c:pt idx="3">
                  <c:v>12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1718016"/>
        <c:axId val="203972608"/>
      </c:radarChart>
      <c:catAx>
        <c:axId val="201718016"/>
        <c:scaling>
          <c:orientation val="minMax"/>
        </c:scaling>
        <c:delete val="0"/>
        <c:axPos val="b"/>
        <c:majorGridlines/>
        <c:numFmt formatCode="d/m/yyyy" sourceLinked="1"/>
        <c:majorTickMark val="out"/>
        <c:minorTickMark val="none"/>
        <c:tickLblPos val="nextTo"/>
        <c:crossAx val="203972608"/>
        <c:crosses val="autoZero"/>
        <c:auto val="1"/>
        <c:lblAlgn val="ctr"/>
        <c:lblOffset val="100"/>
        <c:noMultiLvlLbl val="0"/>
      </c:catAx>
      <c:valAx>
        <c:axId val="203972608"/>
        <c:scaling>
          <c:orientation val="minMax"/>
        </c:scaling>
        <c:delete val="0"/>
        <c:axPos val="l"/>
        <c:majorGridlines/>
        <c:numFmt formatCode="General" sourceLinked="1"/>
        <c:majorTickMark val="cross"/>
        <c:minorTickMark val="none"/>
        <c:tickLblPos val="nextTo"/>
        <c:crossAx val="201718016"/>
        <c:crosses val="autoZero"/>
        <c:crossBetween val="between"/>
      </c:valAx>
    </c:plotArea>
    <c:plotVisOnly val="1"/>
    <c:dispBlanksAs val="gap"/>
    <c:showDLblsOverMax val="0"/>
  </c:chart>
  <c:spPr>
    <a:ln>
      <a:solidFill>
        <a:schemeClr val="bg1">
          <a:lumMod val="75000"/>
        </a:schemeClr>
      </a:solidFill>
    </a:ln>
  </c:spPr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32747322225206998"/>
          <c:y val="0.17931650044252401"/>
          <c:w val="0.32686515727203502"/>
          <c:h val="0.61841362162077396"/>
        </c:manualLayout>
      </c:layout>
      <c:radarChart>
        <c:radarStyle val="marker"/>
        <c:varyColors val="0"/>
        <c:ser>
          <c:idx val="0"/>
          <c:order val="0"/>
          <c:tx>
            <c:strRef>
              <c:f>Hárok1!$B$1</c:f>
              <c:strCache>
                <c:ptCount val="1"/>
                <c:pt idx="0">
                  <c:v>2014</c:v>
                </c:pt>
              </c:strCache>
            </c:strRef>
          </c:tx>
          <c:marker>
            <c:symbol val="none"/>
          </c:marker>
          <c:cat>
            <c:strRef>
              <c:f>Hárok1!$A$2:$A$8</c:f>
              <c:strCache>
                <c:ptCount val="7"/>
                <c:pt idx="0">
                  <c:v>Množstvo komunálneho odpadu</c:v>
                </c:pt>
                <c:pt idx="1">
                  <c:v>Spotreba elektriny</c:v>
                </c:pt>
                <c:pt idx="2">
                  <c:v>Podiel OZE na konečnej spotrebe</c:v>
                </c:pt>
                <c:pt idx="3">
                  <c:v>Produkcia tuhých emisií</c:v>
                </c:pt>
                <c:pt idx="4">
                  <c:v>Produkcia oxidu uhoľnatého</c:v>
                </c:pt>
                <c:pt idx="5">
                  <c:v>Emisie skleníkových plynov</c:v>
                </c:pt>
                <c:pt idx="6">
                  <c:v>Podiel zhodnocovaného komunálneho odpadu</c:v>
                </c:pt>
              </c:strCache>
            </c:strRef>
          </c:cat>
          <c:val>
            <c:numRef>
              <c:f>Hárok1!$B$2:$B$8</c:f>
              <c:numCache>
                <c:formatCode>General</c:formatCode>
                <c:ptCount val="7"/>
                <c:pt idx="0">
                  <c:v>4.2636000000000003</c:v>
                </c:pt>
                <c:pt idx="1">
                  <c:v>2.7349999999999999</c:v>
                </c:pt>
                <c:pt idx="2">
                  <c:v>9.8000000000000007</c:v>
                </c:pt>
                <c:pt idx="3">
                  <c:v>7.6559999999999997</c:v>
                </c:pt>
                <c:pt idx="4">
                  <c:v>2.5476000000000001</c:v>
                </c:pt>
                <c:pt idx="5">
                  <c:v>2.7</c:v>
                </c:pt>
                <c:pt idx="6">
                  <c:v>6.53</c:v>
                </c:pt>
              </c:numCache>
            </c:numRef>
          </c:val>
        </c:ser>
        <c:ser>
          <c:idx val="1"/>
          <c:order val="1"/>
          <c:tx>
            <c:strRef>
              <c:f>Hárok1!$C$1</c:f>
              <c:strCache>
                <c:ptCount val="1"/>
                <c:pt idx="0">
                  <c:v>2020</c:v>
                </c:pt>
              </c:strCache>
            </c:strRef>
          </c:tx>
          <c:marker>
            <c:symbol val="none"/>
          </c:marker>
          <c:cat>
            <c:strRef>
              <c:f>Hárok1!$A$2:$A$8</c:f>
              <c:strCache>
                <c:ptCount val="7"/>
                <c:pt idx="0">
                  <c:v>Množstvo komunálneho odpadu</c:v>
                </c:pt>
                <c:pt idx="1">
                  <c:v>Spotreba elektriny</c:v>
                </c:pt>
                <c:pt idx="2">
                  <c:v>Podiel OZE na konečnej spotrebe</c:v>
                </c:pt>
                <c:pt idx="3">
                  <c:v>Produkcia tuhých emisií</c:v>
                </c:pt>
                <c:pt idx="4">
                  <c:v>Produkcia oxidu uhoľnatého</c:v>
                </c:pt>
                <c:pt idx="5">
                  <c:v>Emisie skleníkových plynov</c:v>
                </c:pt>
                <c:pt idx="6">
                  <c:v>Podiel zhodnocovaného komunálneho odpadu</c:v>
                </c:pt>
              </c:strCache>
            </c:strRef>
          </c:cat>
          <c:val>
            <c:numRef>
              <c:f>Hárok1!$C$2:$C$8</c:f>
              <c:numCache>
                <c:formatCode>General</c:formatCode>
                <c:ptCount val="7"/>
                <c:pt idx="0">
                  <c:v>4</c:v>
                </c:pt>
                <c:pt idx="1">
                  <c:v>2.7</c:v>
                </c:pt>
                <c:pt idx="2">
                  <c:v>14</c:v>
                </c:pt>
                <c:pt idx="3">
                  <c:v>7</c:v>
                </c:pt>
                <c:pt idx="4">
                  <c:v>3</c:v>
                </c:pt>
                <c:pt idx="5">
                  <c:v>13</c:v>
                </c:pt>
                <c:pt idx="6">
                  <c:v>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4144640"/>
        <c:axId val="204146176"/>
      </c:radarChart>
      <c:catAx>
        <c:axId val="204144640"/>
        <c:scaling>
          <c:orientation val="minMax"/>
        </c:scaling>
        <c:delete val="0"/>
        <c:axPos val="b"/>
        <c:majorGridlines/>
        <c:numFmt formatCode="d/m/yyyy" sourceLinked="1"/>
        <c:majorTickMark val="out"/>
        <c:minorTickMark val="none"/>
        <c:tickLblPos val="nextTo"/>
        <c:crossAx val="204146176"/>
        <c:crosses val="autoZero"/>
        <c:auto val="1"/>
        <c:lblAlgn val="ctr"/>
        <c:lblOffset val="100"/>
        <c:noMultiLvlLbl val="0"/>
      </c:catAx>
      <c:valAx>
        <c:axId val="204146176"/>
        <c:scaling>
          <c:orientation val="minMax"/>
        </c:scaling>
        <c:delete val="0"/>
        <c:axPos val="l"/>
        <c:majorGridlines/>
        <c:numFmt formatCode="General" sourceLinked="1"/>
        <c:majorTickMark val="cross"/>
        <c:minorTickMark val="none"/>
        <c:tickLblPos val="nextTo"/>
        <c:crossAx val="204144640"/>
        <c:crosses val="autoZero"/>
        <c:crossBetween val="between"/>
      </c:valAx>
    </c:plotArea>
    <c:plotVisOnly val="1"/>
    <c:dispBlanksAs val="gap"/>
    <c:showDLblsOverMax val="0"/>
  </c:chart>
  <c:spPr>
    <a:ln>
      <a:solidFill>
        <a:schemeClr val="bg1">
          <a:lumMod val="75000"/>
        </a:schemeClr>
      </a:solidFill>
    </a:ln>
  </c:spPr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068771891318401"/>
          <c:y val="3.9111111111111201E-2"/>
          <c:w val="0.62937053600007797"/>
          <c:h val="0.7644784069887999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Hárok1!$B$1</c:f>
              <c:strCache>
                <c:ptCount val="1"/>
                <c:pt idx="0">
                  <c:v>Počet projektov</c:v>
                </c:pt>
              </c:strCache>
            </c:strRef>
          </c:tx>
          <c:spPr>
            <a:solidFill>
              <a:schemeClr val="tx2"/>
            </a:solidFill>
            <a:ln>
              <a:solidFill>
                <a:schemeClr val="tx2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Hárok1!$A$2:$A$12</c:f>
              <c:strCache>
                <c:ptCount val="11"/>
                <c:pt idx="0">
                  <c:v>Opatrenie 11</c:v>
                </c:pt>
                <c:pt idx="1">
                  <c:v>Opatrenie 10</c:v>
                </c:pt>
                <c:pt idx="2">
                  <c:v>Opatrenie 9</c:v>
                </c:pt>
                <c:pt idx="3">
                  <c:v>Opatrenie 8</c:v>
                </c:pt>
                <c:pt idx="4">
                  <c:v>Opatrenie 7</c:v>
                </c:pt>
                <c:pt idx="5">
                  <c:v>Opatrenie 6</c:v>
                </c:pt>
                <c:pt idx="6">
                  <c:v>Opatrenie 5</c:v>
                </c:pt>
                <c:pt idx="7">
                  <c:v>Opatrenie 4</c:v>
                </c:pt>
                <c:pt idx="8">
                  <c:v>Opatrenie 3</c:v>
                </c:pt>
                <c:pt idx="9">
                  <c:v>Opatrenie 2</c:v>
                </c:pt>
                <c:pt idx="10">
                  <c:v>Opatrenie 1</c:v>
                </c:pt>
              </c:strCache>
            </c:strRef>
          </c:cat>
          <c:val>
            <c:numRef>
              <c:f>Hárok1!$B$2:$B$12</c:f>
              <c:numCache>
                <c:formatCode>General</c:formatCode>
                <c:ptCount val="11"/>
                <c:pt idx="0">
                  <c:v>15</c:v>
                </c:pt>
                <c:pt idx="1">
                  <c:v>10</c:v>
                </c:pt>
                <c:pt idx="2">
                  <c:v>11</c:v>
                </c:pt>
                <c:pt idx="3">
                  <c:v>2</c:v>
                </c:pt>
                <c:pt idx="4">
                  <c:v>10</c:v>
                </c:pt>
                <c:pt idx="5">
                  <c:v>12</c:v>
                </c:pt>
                <c:pt idx="6">
                  <c:v>0</c:v>
                </c:pt>
                <c:pt idx="7">
                  <c:v>2</c:v>
                </c:pt>
                <c:pt idx="8">
                  <c:v>2</c:v>
                </c:pt>
                <c:pt idx="9">
                  <c:v>1</c:v>
                </c:pt>
                <c:pt idx="10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04182656"/>
        <c:axId val="204184192"/>
      </c:barChart>
      <c:catAx>
        <c:axId val="204182656"/>
        <c:scaling>
          <c:orientation val="minMax"/>
        </c:scaling>
        <c:delete val="0"/>
        <c:axPos val="l"/>
        <c:majorTickMark val="out"/>
        <c:minorTickMark val="none"/>
        <c:tickLblPos val="nextTo"/>
        <c:crossAx val="204184192"/>
        <c:crosses val="autoZero"/>
        <c:auto val="1"/>
        <c:lblAlgn val="ctr"/>
        <c:lblOffset val="100"/>
        <c:noMultiLvlLbl val="0"/>
      </c:catAx>
      <c:valAx>
        <c:axId val="20418419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20418265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15839739544752199"/>
          <c:y val="0.91957501622260396"/>
          <c:w val="0.18887322011577801"/>
          <c:h val="7.9311023622047894E-2"/>
        </c:manualLayout>
      </c:layout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#6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6AEAE0E-CBFB-4B4F-A4BD-1961A7D570A3}" type="doc">
      <dgm:prSet loTypeId="urn:microsoft.com/office/officeart/2005/8/layout/vList5" loCatId="list" qsTypeId="urn:microsoft.com/office/officeart/2005/8/quickstyle/simple2" qsCatId="simple" csTypeId="urn:microsoft.com/office/officeart/2005/8/colors/colorful1#6" csCatId="colorful" phldr="1"/>
      <dgm:spPr/>
      <dgm:t>
        <a:bodyPr/>
        <a:lstStyle/>
        <a:p>
          <a:endParaRPr lang="sk-SK"/>
        </a:p>
      </dgm:t>
    </dgm:pt>
    <dgm:pt modelId="{CE33401E-44FD-4325-AC5E-C9C944CE461E}">
      <dgm:prSet phldrT="[Text]" custT="1">
        <dgm:style>
          <a:lnRef idx="3">
            <a:schemeClr val="lt1"/>
          </a:lnRef>
          <a:fillRef idx="1">
            <a:schemeClr val="accent4"/>
          </a:fillRef>
          <a:effectRef idx="1">
            <a:schemeClr val="accent4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sk-SK" sz="1000" b="1" dirty="0" smtClean="0"/>
            <a:t>PO 1: Veda, výskum a inovácie</a:t>
          </a:r>
          <a:endParaRPr lang="sk-SK" sz="1000" b="1" dirty="0"/>
        </a:p>
      </dgm:t>
    </dgm:pt>
    <dgm:pt modelId="{607F807C-711C-401C-9184-B71868E517E7}" type="parTrans" cxnId="{1CA30BDF-7D44-457A-8271-0E7CAAB1ABE1}">
      <dgm:prSet/>
      <dgm:spPr/>
      <dgm:t>
        <a:bodyPr/>
        <a:lstStyle/>
        <a:p>
          <a:endParaRPr lang="sk-SK"/>
        </a:p>
      </dgm:t>
    </dgm:pt>
    <dgm:pt modelId="{DA895FB7-C437-4AAF-96CD-EA5650FEE2E6}" type="sibTrans" cxnId="{1CA30BDF-7D44-457A-8271-0E7CAAB1ABE1}">
      <dgm:prSet/>
      <dgm:spPr/>
      <dgm:t>
        <a:bodyPr/>
        <a:lstStyle/>
        <a:p>
          <a:endParaRPr lang="sk-SK"/>
        </a:p>
      </dgm:t>
    </dgm:pt>
    <dgm:pt modelId="{CED00458-C073-4163-8B6F-1E90674B2BD4}">
      <dgm:prSet phldrT="[Text]" custT="1">
        <dgm:style>
          <a:lnRef idx="2">
            <a:schemeClr val="accent4"/>
          </a:lnRef>
          <a:fillRef idx="1">
            <a:schemeClr val="lt1"/>
          </a:fillRef>
          <a:effectRef idx="0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sk-SK" sz="900" b="0" dirty="0" smtClean="0"/>
            <a:t>1. Posilnenie výskumu, technologického rozvoja a inovácií</a:t>
          </a:r>
          <a:endParaRPr lang="sk-SK" sz="900" b="0" dirty="0"/>
        </a:p>
      </dgm:t>
    </dgm:pt>
    <dgm:pt modelId="{38659E9F-B508-413F-B529-7DB329468070}" type="parTrans" cxnId="{0985B717-1493-4981-A07C-563B1224045A}">
      <dgm:prSet/>
      <dgm:spPr/>
      <dgm:t>
        <a:bodyPr/>
        <a:lstStyle/>
        <a:p>
          <a:endParaRPr lang="sk-SK"/>
        </a:p>
      </dgm:t>
    </dgm:pt>
    <dgm:pt modelId="{A1227949-FB17-4661-BE0D-3526A96FC5FA}" type="sibTrans" cxnId="{0985B717-1493-4981-A07C-563B1224045A}">
      <dgm:prSet/>
      <dgm:spPr/>
      <dgm:t>
        <a:bodyPr/>
        <a:lstStyle/>
        <a:p>
          <a:endParaRPr lang="sk-SK"/>
        </a:p>
      </dgm:t>
    </dgm:pt>
    <dgm:pt modelId="{592F1C7B-3DEA-45D8-BFAC-74C1DCFD1D94}">
      <dgm:prSet phldrT="[Text]" custT="1">
        <dgm:style>
          <a:lnRef idx="2">
            <a:schemeClr val="accent4"/>
          </a:lnRef>
          <a:fillRef idx="1">
            <a:schemeClr val="lt1"/>
          </a:fillRef>
          <a:effectRef idx="0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sk-SK" sz="900" b="0" dirty="0" smtClean="0"/>
            <a:t>2. Zlepšenie prístupu k informačno-komunikačným technológiám, ako aj využívanie ich kvality</a:t>
          </a:r>
          <a:endParaRPr lang="sk-SK" sz="900" b="0" dirty="0"/>
        </a:p>
      </dgm:t>
    </dgm:pt>
    <dgm:pt modelId="{3379BDE5-7FA6-45DE-BAE3-027838F2A9B9}" type="parTrans" cxnId="{0E1A3F93-6346-4109-B93B-A7320D9D8A6C}">
      <dgm:prSet/>
      <dgm:spPr/>
      <dgm:t>
        <a:bodyPr/>
        <a:lstStyle/>
        <a:p>
          <a:endParaRPr lang="sk-SK"/>
        </a:p>
      </dgm:t>
    </dgm:pt>
    <dgm:pt modelId="{3DA7B67C-886B-4B5D-B787-DD7D73995FC9}" type="sibTrans" cxnId="{0E1A3F93-6346-4109-B93B-A7320D9D8A6C}">
      <dgm:prSet/>
      <dgm:spPr/>
      <dgm:t>
        <a:bodyPr/>
        <a:lstStyle/>
        <a:p>
          <a:endParaRPr lang="sk-SK"/>
        </a:p>
      </dgm:t>
    </dgm:pt>
    <dgm:pt modelId="{C9EB87B6-7392-40C7-A1B6-DF36B7346E97}">
      <dgm:prSet phldrT="[Text]" custT="1">
        <dgm:style>
          <a:lnRef idx="3">
            <a:schemeClr val="lt1"/>
          </a:lnRef>
          <a:fillRef idx="1">
            <a:schemeClr val="accent2"/>
          </a:fillRef>
          <a:effectRef idx="1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sk-SK" sz="1000" b="1" dirty="0" smtClean="0"/>
            <a:t>PO 2: Ľudské zdroje</a:t>
          </a:r>
          <a:endParaRPr lang="sk-SK" sz="1000" b="1" dirty="0"/>
        </a:p>
      </dgm:t>
    </dgm:pt>
    <dgm:pt modelId="{D5AEB993-E69B-403B-8EA9-E6FF44C4B847}" type="parTrans" cxnId="{154F978C-34C8-4447-AEC9-14D8B342CA74}">
      <dgm:prSet/>
      <dgm:spPr/>
      <dgm:t>
        <a:bodyPr/>
        <a:lstStyle/>
        <a:p>
          <a:endParaRPr lang="sk-SK"/>
        </a:p>
      </dgm:t>
    </dgm:pt>
    <dgm:pt modelId="{16886F88-BF08-4113-A954-DC6FEF0F421E}" type="sibTrans" cxnId="{154F978C-34C8-4447-AEC9-14D8B342CA74}">
      <dgm:prSet/>
      <dgm:spPr/>
      <dgm:t>
        <a:bodyPr/>
        <a:lstStyle/>
        <a:p>
          <a:endParaRPr lang="sk-SK"/>
        </a:p>
      </dgm:t>
    </dgm:pt>
    <dgm:pt modelId="{B387CDD6-3F8E-4ACC-A800-0E6BDC3D941E}">
      <dgm:prSet phldrT="[Text]" custT="1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sk-SK" sz="900" b="0" dirty="0" smtClean="0"/>
            <a:t>10. Investovanie do vzdelávania, zručností a celoživotného vzdelávania</a:t>
          </a:r>
          <a:endParaRPr lang="sk-SK" sz="900" b="0" dirty="0"/>
        </a:p>
      </dgm:t>
    </dgm:pt>
    <dgm:pt modelId="{3E6BD5DA-05BF-4B62-AF1C-6C40B4B39FD4}" type="parTrans" cxnId="{93F4E618-8DCE-4BCE-9546-6ED5772DED38}">
      <dgm:prSet/>
      <dgm:spPr/>
      <dgm:t>
        <a:bodyPr/>
        <a:lstStyle/>
        <a:p>
          <a:endParaRPr lang="sk-SK"/>
        </a:p>
      </dgm:t>
    </dgm:pt>
    <dgm:pt modelId="{B78A9FF0-D784-49D2-8BCC-F12F1CF96FEA}" type="sibTrans" cxnId="{93F4E618-8DCE-4BCE-9546-6ED5772DED38}">
      <dgm:prSet/>
      <dgm:spPr/>
      <dgm:t>
        <a:bodyPr/>
        <a:lstStyle/>
        <a:p>
          <a:endParaRPr lang="sk-SK"/>
        </a:p>
      </dgm:t>
    </dgm:pt>
    <dgm:pt modelId="{CE99A8C5-AA2E-427E-BC65-82104FDE624B}">
      <dgm:prSet phldrT="[Text]" custT="1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sk-SK" sz="900" b="0" dirty="0" smtClean="0"/>
            <a:t>11. Zvyšovanie inštitucionálnych kapacít a zabezpečovanie efektivity verejnej správy,</a:t>
          </a:r>
          <a:endParaRPr lang="sk-SK" sz="900" b="0" dirty="0"/>
        </a:p>
      </dgm:t>
    </dgm:pt>
    <dgm:pt modelId="{7551975F-10AC-422D-BDB9-D5508A37C06D}" type="parTrans" cxnId="{3A99FB73-38F5-45E7-B5FE-65BB7254A9BA}">
      <dgm:prSet/>
      <dgm:spPr/>
      <dgm:t>
        <a:bodyPr/>
        <a:lstStyle/>
        <a:p>
          <a:endParaRPr lang="sk-SK"/>
        </a:p>
      </dgm:t>
    </dgm:pt>
    <dgm:pt modelId="{7AF5B791-73B6-4A59-8393-DC5C5D26D819}" type="sibTrans" cxnId="{3A99FB73-38F5-45E7-B5FE-65BB7254A9BA}">
      <dgm:prSet/>
      <dgm:spPr/>
      <dgm:t>
        <a:bodyPr/>
        <a:lstStyle/>
        <a:p>
          <a:endParaRPr lang="sk-SK"/>
        </a:p>
      </dgm:t>
    </dgm:pt>
    <dgm:pt modelId="{EA5D8E57-7B7F-4EE9-BACA-92CB8F4184E2}">
      <dgm:prSet phldrT="[Text]" custT="1">
        <dgm:style>
          <a:lnRef idx="3">
            <a:schemeClr val="lt1"/>
          </a:lnRef>
          <a:fillRef idx="1">
            <a:schemeClr val="accent1"/>
          </a:fillRef>
          <a:effectRef idx="1">
            <a:schemeClr val="accent1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sk-SK" sz="1000" b="1" dirty="0" smtClean="0"/>
            <a:t>PO 3: Zamestnanosť </a:t>
          </a:r>
          <a:endParaRPr lang="sk-SK" sz="1000" b="1" dirty="0"/>
        </a:p>
      </dgm:t>
    </dgm:pt>
    <dgm:pt modelId="{6C67068D-DC24-4B9B-85DD-D974AF73FBEE}" type="parTrans" cxnId="{57C33E02-E068-49DC-B4E3-6605B8B8A62D}">
      <dgm:prSet/>
      <dgm:spPr/>
      <dgm:t>
        <a:bodyPr/>
        <a:lstStyle/>
        <a:p>
          <a:endParaRPr lang="sk-SK"/>
        </a:p>
      </dgm:t>
    </dgm:pt>
    <dgm:pt modelId="{4411F26D-9ECE-4F65-B727-A191BA00085A}" type="sibTrans" cxnId="{57C33E02-E068-49DC-B4E3-6605B8B8A62D}">
      <dgm:prSet/>
      <dgm:spPr/>
      <dgm:t>
        <a:bodyPr/>
        <a:lstStyle/>
        <a:p>
          <a:endParaRPr lang="sk-SK"/>
        </a:p>
      </dgm:t>
    </dgm:pt>
    <dgm:pt modelId="{715067ED-8E94-4C54-A155-910E3E3CC042}">
      <dgm:prSet phldrT="[Text]"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sk-SK" sz="900" b="0" dirty="0" smtClean="0"/>
            <a:t>1. Posilnenie výskumu, technologického rozvoja a inovácií</a:t>
          </a:r>
          <a:endParaRPr lang="sk-SK" sz="900" b="0" dirty="0"/>
        </a:p>
      </dgm:t>
    </dgm:pt>
    <dgm:pt modelId="{DDEE45A0-CFAF-4A97-B50E-A8C20F53E577}" type="parTrans" cxnId="{45A286CF-3494-4202-B401-037FDC40BFB6}">
      <dgm:prSet/>
      <dgm:spPr/>
      <dgm:t>
        <a:bodyPr/>
        <a:lstStyle/>
        <a:p>
          <a:endParaRPr lang="sk-SK"/>
        </a:p>
      </dgm:t>
    </dgm:pt>
    <dgm:pt modelId="{8376BEB2-B47A-42D2-91D7-1C05B5F7DD7E}" type="sibTrans" cxnId="{45A286CF-3494-4202-B401-037FDC40BFB6}">
      <dgm:prSet/>
      <dgm:spPr/>
      <dgm:t>
        <a:bodyPr/>
        <a:lstStyle/>
        <a:p>
          <a:endParaRPr lang="sk-SK"/>
        </a:p>
      </dgm:t>
    </dgm:pt>
    <dgm:pt modelId="{941E7087-85B8-4D87-A954-37B21187FE92}">
      <dgm:prSet phldrT="[Text]"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sk-SK" sz="900" b="0" dirty="0" smtClean="0"/>
            <a:t>8. Podpora zamestnanosti a podporovanie mobility pracovnej sily</a:t>
          </a:r>
          <a:endParaRPr lang="sk-SK" sz="900" b="0" dirty="0"/>
        </a:p>
      </dgm:t>
    </dgm:pt>
    <dgm:pt modelId="{4BD07C3D-0521-4DEA-BD3A-53F377F60DB0}" type="parTrans" cxnId="{DFEBB138-D47A-48E9-8797-5DF355F90210}">
      <dgm:prSet/>
      <dgm:spPr/>
      <dgm:t>
        <a:bodyPr/>
        <a:lstStyle/>
        <a:p>
          <a:endParaRPr lang="sk-SK"/>
        </a:p>
      </dgm:t>
    </dgm:pt>
    <dgm:pt modelId="{B24D06FA-1E32-4774-BFD0-4D1C65D78C3D}" type="sibTrans" cxnId="{DFEBB138-D47A-48E9-8797-5DF355F90210}">
      <dgm:prSet/>
      <dgm:spPr/>
      <dgm:t>
        <a:bodyPr/>
        <a:lstStyle/>
        <a:p>
          <a:endParaRPr lang="sk-SK"/>
        </a:p>
      </dgm:t>
    </dgm:pt>
    <dgm:pt modelId="{CA6213B4-9E17-4C17-A315-F560C3668EA0}">
      <dgm:prSet phldrT="[Text]" custT="1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sk-SK" sz="900" b="0" dirty="0" smtClean="0"/>
            <a:t>9. Podpora sociálneho začleňovania a boj proti chudobe</a:t>
          </a:r>
          <a:endParaRPr lang="sk-SK" sz="900" b="0" dirty="0"/>
        </a:p>
      </dgm:t>
    </dgm:pt>
    <dgm:pt modelId="{68C3CB51-5D38-4E0C-BD4E-BF603A821C78}" type="parTrans" cxnId="{9B6049BF-6B8D-4A07-81A6-3318D9944290}">
      <dgm:prSet/>
      <dgm:spPr/>
      <dgm:t>
        <a:bodyPr/>
        <a:lstStyle/>
        <a:p>
          <a:endParaRPr lang="sk-SK"/>
        </a:p>
      </dgm:t>
    </dgm:pt>
    <dgm:pt modelId="{7F3BC83B-8A12-48DD-B341-51BF24D6EEA7}" type="sibTrans" cxnId="{9B6049BF-6B8D-4A07-81A6-3318D9944290}">
      <dgm:prSet/>
      <dgm:spPr/>
      <dgm:t>
        <a:bodyPr/>
        <a:lstStyle/>
        <a:p>
          <a:endParaRPr lang="sk-SK"/>
        </a:p>
      </dgm:t>
    </dgm:pt>
    <dgm:pt modelId="{95CC72FA-AC6A-4F42-B09B-4C0493AB9728}">
      <dgm:prSet phldrT="[Text]"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sk-SK" sz="900" b="0" dirty="0" smtClean="0"/>
            <a:t>11. Zvyšovanie inštitucionálnych kapacít a zabezpečovanie efektivity verejnej správy</a:t>
          </a:r>
          <a:endParaRPr lang="sk-SK" sz="900" b="0" dirty="0"/>
        </a:p>
      </dgm:t>
    </dgm:pt>
    <dgm:pt modelId="{8561C348-971D-47FB-866A-257A65DA668C}" type="parTrans" cxnId="{A4918B34-EF0B-4D9F-96AE-8E90F5217511}">
      <dgm:prSet/>
      <dgm:spPr/>
      <dgm:t>
        <a:bodyPr/>
        <a:lstStyle/>
        <a:p>
          <a:endParaRPr lang="sk-SK"/>
        </a:p>
      </dgm:t>
    </dgm:pt>
    <dgm:pt modelId="{ECCDF80F-8F4F-45B3-AEC3-B44916471374}" type="sibTrans" cxnId="{A4918B34-EF0B-4D9F-96AE-8E90F5217511}">
      <dgm:prSet/>
      <dgm:spPr/>
      <dgm:t>
        <a:bodyPr/>
        <a:lstStyle/>
        <a:p>
          <a:endParaRPr lang="sk-SK"/>
        </a:p>
      </dgm:t>
    </dgm:pt>
    <dgm:pt modelId="{FFFE0EB7-C797-4181-B22E-66A90B892B56}">
      <dgm:prSet custT="1">
        <dgm:style>
          <a:lnRef idx="3">
            <a:schemeClr val="lt1"/>
          </a:lnRef>
          <a:fillRef idx="1">
            <a:schemeClr val="accent3"/>
          </a:fillRef>
          <a:effectRef idx="1">
            <a:schemeClr val="accent3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sk-SK" sz="1000" b="1" dirty="0" smtClean="0"/>
            <a:t>PO 5: Životné prostredie, zmeny klímy a obnoviteľné zdroje energie</a:t>
          </a:r>
          <a:endParaRPr lang="sk-SK" sz="1000" b="1" dirty="0"/>
        </a:p>
      </dgm:t>
    </dgm:pt>
    <dgm:pt modelId="{2FEAC91E-4750-498D-BE75-45A214BD5691}" type="parTrans" cxnId="{8F862E42-0E25-42F6-B095-D59B74E361F4}">
      <dgm:prSet/>
      <dgm:spPr/>
      <dgm:t>
        <a:bodyPr/>
        <a:lstStyle/>
        <a:p>
          <a:endParaRPr lang="sk-SK"/>
        </a:p>
      </dgm:t>
    </dgm:pt>
    <dgm:pt modelId="{8196F56D-FC1A-4B7A-B405-B8B7667C595A}" type="sibTrans" cxnId="{8F862E42-0E25-42F6-B095-D59B74E361F4}">
      <dgm:prSet/>
      <dgm:spPr/>
      <dgm:t>
        <a:bodyPr/>
        <a:lstStyle/>
        <a:p>
          <a:endParaRPr lang="sk-SK"/>
        </a:p>
      </dgm:t>
    </dgm:pt>
    <dgm:pt modelId="{C3C5B8C8-B5D3-4197-828B-7330FD77F940}">
      <dgm:prSet custT="1">
        <dgm:style>
          <a:lnRef idx="3">
            <a:schemeClr val="lt1"/>
          </a:lnRef>
          <a:fillRef idx="1">
            <a:schemeClr val="accent6"/>
          </a:fillRef>
          <a:effectRef idx="1">
            <a:schemeClr val="accent6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sk-SK" sz="1000" b="1" dirty="0" smtClean="0"/>
            <a:t>PO 4: Konkurencieschopnosť, rast a podnikateľské prostredie</a:t>
          </a:r>
          <a:endParaRPr lang="sk-SK" sz="1000" b="1" dirty="0"/>
        </a:p>
      </dgm:t>
    </dgm:pt>
    <dgm:pt modelId="{99CB240F-F57F-4B59-BB9B-5BE90B24FBED}" type="parTrans" cxnId="{189F8EFD-8B86-4A1B-BAE1-408AB6FA1CC3}">
      <dgm:prSet/>
      <dgm:spPr/>
      <dgm:t>
        <a:bodyPr/>
        <a:lstStyle/>
        <a:p>
          <a:endParaRPr lang="sk-SK"/>
        </a:p>
      </dgm:t>
    </dgm:pt>
    <dgm:pt modelId="{90C25EA7-2A00-4AD4-BCCE-BFAEA6AF23B0}" type="sibTrans" cxnId="{189F8EFD-8B86-4A1B-BAE1-408AB6FA1CC3}">
      <dgm:prSet/>
      <dgm:spPr/>
      <dgm:t>
        <a:bodyPr/>
        <a:lstStyle/>
        <a:p>
          <a:endParaRPr lang="sk-SK"/>
        </a:p>
      </dgm:t>
    </dgm:pt>
    <dgm:pt modelId="{72014D75-7797-4602-85C7-1A2EC6B2097D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sk-SK" sz="900" b="0" dirty="0" smtClean="0"/>
            <a:t>3. Zvýšenie konkurencieschopnosti malých a stredných podnikov, odvetvia poľnohospodárstva a rybného hospodárstva</a:t>
          </a:r>
          <a:endParaRPr lang="sk-SK" sz="900" b="0" dirty="0"/>
        </a:p>
      </dgm:t>
    </dgm:pt>
    <dgm:pt modelId="{A2EC39C8-53E1-4FB2-A72B-050ED80DCE68}" type="parTrans" cxnId="{4CE10915-4900-4EC4-914F-9F1188DF3B53}">
      <dgm:prSet/>
      <dgm:spPr/>
      <dgm:t>
        <a:bodyPr/>
        <a:lstStyle/>
        <a:p>
          <a:endParaRPr lang="sk-SK"/>
        </a:p>
      </dgm:t>
    </dgm:pt>
    <dgm:pt modelId="{0973095F-6383-4F38-B45C-BDBA76ED41F0}" type="sibTrans" cxnId="{4CE10915-4900-4EC4-914F-9F1188DF3B53}">
      <dgm:prSet/>
      <dgm:spPr/>
      <dgm:t>
        <a:bodyPr/>
        <a:lstStyle/>
        <a:p>
          <a:endParaRPr lang="sk-SK"/>
        </a:p>
      </dgm:t>
    </dgm:pt>
    <dgm:pt modelId="{A6CB253F-5863-45BA-A5A5-D62D4C2D45E1}">
      <dgm:prSet custT="1">
        <dgm:style>
          <a:lnRef idx="2">
            <a:schemeClr val="accent3"/>
          </a:lnRef>
          <a:fillRef idx="1">
            <a:schemeClr val="lt1"/>
          </a:fillRef>
          <a:effectRef idx="0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sk-SK" sz="900" b="0" dirty="0" smtClean="0"/>
            <a:t>4. Podpora prechodu na </a:t>
          </a:r>
          <a:r>
            <a:rPr lang="sk-SK" sz="900" b="0" dirty="0" err="1" smtClean="0"/>
            <a:t>nízkouhlíkové</a:t>
          </a:r>
          <a:r>
            <a:rPr lang="sk-SK" sz="900" b="0" dirty="0" smtClean="0"/>
            <a:t> hospodárstvo vo všetkých sektoroch</a:t>
          </a:r>
          <a:endParaRPr lang="sk-SK" sz="900" b="0" dirty="0"/>
        </a:p>
      </dgm:t>
    </dgm:pt>
    <dgm:pt modelId="{6F150937-54DE-472D-904E-AC3A5D491E76}" type="parTrans" cxnId="{6DEF7756-B25E-4CA7-92E3-F72E4E5DCD68}">
      <dgm:prSet/>
      <dgm:spPr/>
      <dgm:t>
        <a:bodyPr/>
        <a:lstStyle/>
        <a:p>
          <a:endParaRPr lang="sk-SK"/>
        </a:p>
      </dgm:t>
    </dgm:pt>
    <dgm:pt modelId="{89F4B697-C26F-4A7E-9804-1838FA8A7E37}" type="sibTrans" cxnId="{6DEF7756-B25E-4CA7-92E3-F72E4E5DCD68}">
      <dgm:prSet/>
      <dgm:spPr/>
      <dgm:t>
        <a:bodyPr/>
        <a:lstStyle/>
        <a:p>
          <a:endParaRPr lang="sk-SK"/>
        </a:p>
      </dgm:t>
    </dgm:pt>
    <dgm:pt modelId="{001485CC-5A2D-46C0-9665-B5E1D31CF197}">
      <dgm:prSet custT="1">
        <dgm:style>
          <a:lnRef idx="2">
            <a:schemeClr val="accent3"/>
          </a:lnRef>
          <a:fillRef idx="1">
            <a:schemeClr val="lt1"/>
          </a:fillRef>
          <a:effectRef idx="0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sk-SK" sz="900" b="0" dirty="0" smtClean="0"/>
            <a:t>5. Podpora prispôsobenia sa zmenám klímy a predchádzania rizikám a ich riadenia</a:t>
          </a:r>
          <a:endParaRPr lang="sk-SK" sz="900" b="0" dirty="0"/>
        </a:p>
      </dgm:t>
    </dgm:pt>
    <dgm:pt modelId="{37B6D2A1-DC20-4A1B-96E5-334B027083CA}" type="parTrans" cxnId="{25299E02-068B-4409-8E9F-E9F67501B84F}">
      <dgm:prSet/>
      <dgm:spPr/>
      <dgm:t>
        <a:bodyPr/>
        <a:lstStyle/>
        <a:p>
          <a:endParaRPr lang="sk-SK"/>
        </a:p>
      </dgm:t>
    </dgm:pt>
    <dgm:pt modelId="{090E84F1-E964-413B-AD9B-EFF354E8808C}" type="sibTrans" cxnId="{25299E02-068B-4409-8E9F-E9F67501B84F}">
      <dgm:prSet/>
      <dgm:spPr/>
      <dgm:t>
        <a:bodyPr/>
        <a:lstStyle/>
        <a:p>
          <a:endParaRPr lang="sk-SK"/>
        </a:p>
      </dgm:t>
    </dgm:pt>
    <dgm:pt modelId="{E89A0F6C-8D50-4A33-A163-4881D5EFDFF1}">
      <dgm:prSet custT="1">
        <dgm:style>
          <a:lnRef idx="2">
            <a:schemeClr val="accent3"/>
          </a:lnRef>
          <a:fillRef idx="1">
            <a:schemeClr val="lt1"/>
          </a:fillRef>
          <a:effectRef idx="0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sk-SK" sz="900" b="0" dirty="0" smtClean="0"/>
            <a:t>6. Ochrana ŽP a presadzovanie udržateľného využívania zdrojov</a:t>
          </a:r>
          <a:endParaRPr lang="sk-SK" sz="900" b="0" dirty="0"/>
        </a:p>
      </dgm:t>
    </dgm:pt>
    <dgm:pt modelId="{CE65796F-2D48-438D-BC02-5FF17D2CE028}" type="parTrans" cxnId="{5A904995-A88B-4A60-AE2C-A8F71C76D192}">
      <dgm:prSet/>
      <dgm:spPr/>
      <dgm:t>
        <a:bodyPr/>
        <a:lstStyle/>
        <a:p>
          <a:endParaRPr lang="sk-SK"/>
        </a:p>
      </dgm:t>
    </dgm:pt>
    <dgm:pt modelId="{EED77AF0-6546-4921-AC6D-F68EEF7B2BAE}" type="sibTrans" cxnId="{5A904995-A88B-4A60-AE2C-A8F71C76D192}">
      <dgm:prSet/>
      <dgm:spPr/>
      <dgm:t>
        <a:bodyPr/>
        <a:lstStyle/>
        <a:p>
          <a:endParaRPr lang="sk-SK"/>
        </a:p>
      </dgm:t>
    </dgm:pt>
    <dgm:pt modelId="{9D2D5F32-6B73-407D-B707-F150F363962A}">
      <dgm:prSet custT="1">
        <dgm:style>
          <a:lnRef idx="2">
            <a:schemeClr val="accent3"/>
          </a:lnRef>
          <a:fillRef idx="1">
            <a:schemeClr val="lt1"/>
          </a:fillRef>
          <a:effectRef idx="0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sk-SK" sz="900" b="0" dirty="0" smtClean="0"/>
            <a:t>7. Podpora udržateľnej dopravy a odstraňovanie prekážok v kľúčových sieťových infraštruktúrach</a:t>
          </a:r>
          <a:endParaRPr lang="sk-SK" sz="900" b="0" dirty="0"/>
        </a:p>
      </dgm:t>
    </dgm:pt>
    <dgm:pt modelId="{EC419376-A208-482B-A79F-647B13E76604}" type="sibTrans" cxnId="{2683301D-378B-476A-A2B8-2B8909F5D414}">
      <dgm:prSet/>
      <dgm:spPr/>
      <dgm:t>
        <a:bodyPr/>
        <a:lstStyle/>
        <a:p>
          <a:endParaRPr lang="sk-SK"/>
        </a:p>
      </dgm:t>
    </dgm:pt>
    <dgm:pt modelId="{F63967D6-8DB2-4EF3-91EA-C7B7DF56F553}" type="parTrans" cxnId="{2683301D-378B-476A-A2B8-2B8909F5D414}">
      <dgm:prSet/>
      <dgm:spPr/>
      <dgm:t>
        <a:bodyPr/>
        <a:lstStyle/>
        <a:p>
          <a:endParaRPr lang="sk-SK"/>
        </a:p>
      </dgm:t>
    </dgm:pt>
    <dgm:pt modelId="{AC76CA7C-8E13-4A2D-8A32-E72F20E0A857}" type="pres">
      <dgm:prSet presAssocID="{16AEAE0E-CBFB-4B4F-A4BD-1961A7D570A3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64F2D3C8-CD25-4E1D-83B8-B450EBAE3AE0}" type="pres">
      <dgm:prSet presAssocID="{CE33401E-44FD-4325-AC5E-C9C944CE461E}" presName="linNode" presStyleCnt="0"/>
      <dgm:spPr/>
    </dgm:pt>
    <dgm:pt modelId="{4AB4BFBF-5FB4-4797-8AF5-975295914743}" type="pres">
      <dgm:prSet presAssocID="{CE33401E-44FD-4325-AC5E-C9C944CE461E}" presName="parentText" presStyleLbl="node1" presStyleIdx="0" presStyleCnt="5" custScaleX="79798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B9DE856F-6425-4C29-816E-E3C1F57472A7}" type="pres">
      <dgm:prSet presAssocID="{CE33401E-44FD-4325-AC5E-C9C944CE461E}" presName="descendantText" presStyleLbl="alignAccFollowNode1" presStyleIdx="0" presStyleCnt="5" custScaleX="140838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2C062CD3-9E0B-4F7C-A418-929D533A8ECF}" type="pres">
      <dgm:prSet presAssocID="{DA895FB7-C437-4AAF-96CD-EA5650FEE2E6}" presName="sp" presStyleCnt="0"/>
      <dgm:spPr/>
    </dgm:pt>
    <dgm:pt modelId="{CE2FB8CC-3915-4A4C-A81B-DDFA4E50575B}" type="pres">
      <dgm:prSet presAssocID="{C9EB87B6-7392-40C7-A1B6-DF36B7346E97}" presName="linNode" presStyleCnt="0"/>
      <dgm:spPr/>
    </dgm:pt>
    <dgm:pt modelId="{C997F499-3C46-453E-8039-0EFBE09DCE62}" type="pres">
      <dgm:prSet presAssocID="{C9EB87B6-7392-40C7-A1B6-DF36B7346E97}" presName="parentText" presStyleLbl="node1" presStyleIdx="1" presStyleCnt="5" custScaleX="75226" custLinFactNeighborX="-12" custLinFactNeighborY="32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1AFCB851-70E7-40AA-B422-042C59CEEAA6}" type="pres">
      <dgm:prSet presAssocID="{C9EB87B6-7392-40C7-A1B6-DF36B7346E97}" presName="descendantText" presStyleLbl="alignAccFollowNode1" presStyleIdx="1" presStyleCnt="5" custScaleX="135234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05E7CD4C-2664-4DE4-A3C6-B890F35634F7}" type="pres">
      <dgm:prSet presAssocID="{16886F88-BF08-4113-A954-DC6FEF0F421E}" presName="sp" presStyleCnt="0"/>
      <dgm:spPr/>
    </dgm:pt>
    <dgm:pt modelId="{B2274DE9-1D7F-49BB-9660-CADAE316EC2D}" type="pres">
      <dgm:prSet presAssocID="{EA5D8E57-7B7F-4EE9-BACA-92CB8F4184E2}" presName="linNode" presStyleCnt="0"/>
      <dgm:spPr/>
    </dgm:pt>
    <dgm:pt modelId="{B51E1390-1D74-4D3B-82B2-7D86FA300D32}" type="pres">
      <dgm:prSet presAssocID="{EA5D8E57-7B7F-4EE9-BACA-92CB8F4184E2}" presName="parentText" presStyleLbl="node1" presStyleIdx="2" presStyleCnt="5" custScaleX="77319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C2C66D52-62E9-4C68-8CD2-F24578FAB035}" type="pres">
      <dgm:prSet presAssocID="{EA5D8E57-7B7F-4EE9-BACA-92CB8F4184E2}" presName="descendantText" presStyleLbl="alignAccFollowNode1" presStyleIdx="2" presStyleCnt="5" custScaleX="137014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13005350-E7BD-49F2-8FD1-756E15CD2B1C}" type="pres">
      <dgm:prSet presAssocID="{4411F26D-9ECE-4F65-B727-A191BA00085A}" presName="sp" presStyleCnt="0"/>
      <dgm:spPr/>
    </dgm:pt>
    <dgm:pt modelId="{2496AC1F-0F6A-4DF6-A19C-E94CB8FDF020}" type="pres">
      <dgm:prSet presAssocID="{C3C5B8C8-B5D3-4197-828B-7330FD77F940}" presName="linNode" presStyleCnt="0"/>
      <dgm:spPr/>
    </dgm:pt>
    <dgm:pt modelId="{7D5F49E0-9618-4439-8449-C5B505D305E6}" type="pres">
      <dgm:prSet presAssocID="{C3C5B8C8-B5D3-4197-828B-7330FD77F940}" presName="parentText" presStyleLbl="node1" presStyleIdx="3" presStyleCnt="5" custScaleX="95355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67FDCBF2-BD84-45DE-B08A-7792BA27C8B5}" type="pres">
      <dgm:prSet presAssocID="{C3C5B8C8-B5D3-4197-828B-7330FD77F940}" presName="descendantText" presStyleLbl="alignAccFollowNode1" presStyleIdx="3" presStyleCnt="5" custScaleX="171169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F8D1EC25-F8A9-466E-B66C-7C1BEFA38B41}" type="pres">
      <dgm:prSet presAssocID="{90C25EA7-2A00-4AD4-BCCE-BFAEA6AF23B0}" presName="sp" presStyleCnt="0"/>
      <dgm:spPr/>
    </dgm:pt>
    <dgm:pt modelId="{EC9A32AC-ABE8-4411-B9D1-3AAD9759CD9F}" type="pres">
      <dgm:prSet presAssocID="{FFFE0EB7-C797-4181-B22E-66A90B892B56}" presName="linNode" presStyleCnt="0"/>
      <dgm:spPr/>
    </dgm:pt>
    <dgm:pt modelId="{3AF6ABCE-C716-4B9D-A04C-ACD89C0A89E1}" type="pres">
      <dgm:prSet presAssocID="{FFFE0EB7-C797-4181-B22E-66A90B892B56}" presName="parentText" presStyleLbl="node1" presStyleIdx="4" presStyleCnt="5" custScaleX="72195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9B30AFCD-0276-482F-A808-A54DE709CC20}" type="pres">
      <dgm:prSet presAssocID="{FFFE0EB7-C797-4181-B22E-66A90B892B56}" presName="descendantText" presStyleLbl="alignAccFollowNode1" presStyleIdx="4" presStyleCnt="5" custScaleX="133363" custScaleY="108927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</dgm:ptLst>
  <dgm:cxnLst>
    <dgm:cxn modelId="{A4918B34-EF0B-4D9F-96AE-8E90F5217511}" srcId="{EA5D8E57-7B7F-4EE9-BACA-92CB8F4184E2}" destId="{95CC72FA-AC6A-4F42-B09B-4C0493AB9728}" srcOrd="2" destOrd="0" parTransId="{8561C348-971D-47FB-866A-257A65DA668C}" sibTransId="{ECCDF80F-8F4F-45B3-AEC3-B44916471374}"/>
    <dgm:cxn modelId="{93F4E618-8DCE-4BCE-9546-6ED5772DED38}" srcId="{C9EB87B6-7392-40C7-A1B6-DF36B7346E97}" destId="{B387CDD6-3F8E-4ACC-A800-0E6BDC3D941E}" srcOrd="0" destOrd="0" parTransId="{3E6BD5DA-05BF-4B62-AF1C-6C40B4B39FD4}" sibTransId="{B78A9FF0-D784-49D2-8BCC-F12F1CF96FEA}"/>
    <dgm:cxn modelId="{2683301D-378B-476A-A2B8-2B8909F5D414}" srcId="{FFFE0EB7-C797-4181-B22E-66A90B892B56}" destId="{9D2D5F32-6B73-407D-B707-F150F363962A}" srcOrd="0" destOrd="0" parTransId="{F63967D6-8DB2-4EF3-91EA-C7B7DF56F553}" sibTransId="{EC419376-A208-482B-A79F-647B13E76604}"/>
    <dgm:cxn modelId="{DFEBB138-D47A-48E9-8797-5DF355F90210}" srcId="{EA5D8E57-7B7F-4EE9-BACA-92CB8F4184E2}" destId="{941E7087-85B8-4D87-A954-37B21187FE92}" srcOrd="1" destOrd="0" parTransId="{4BD07C3D-0521-4DEA-BD3A-53F377F60DB0}" sibTransId="{B24D06FA-1E32-4774-BFD0-4D1C65D78C3D}"/>
    <dgm:cxn modelId="{338D6C95-A932-4BB8-966A-F85E59CA3B37}" type="presOf" srcId="{CED00458-C073-4163-8B6F-1E90674B2BD4}" destId="{B9DE856F-6425-4C29-816E-E3C1F57472A7}" srcOrd="0" destOrd="0" presId="urn:microsoft.com/office/officeart/2005/8/layout/vList5"/>
    <dgm:cxn modelId="{0985B717-1493-4981-A07C-563B1224045A}" srcId="{CE33401E-44FD-4325-AC5E-C9C944CE461E}" destId="{CED00458-C073-4163-8B6F-1E90674B2BD4}" srcOrd="0" destOrd="0" parTransId="{38659E9F-B508-413F-B529-7DB329468070}" sibTransId="{A1227949-FB17-4661-BE0D-3526A96FC5FA}"/>
    <dgm:cxn modelId="{E8233783-4C68-4490-A30C-CBD48F2FB429}" type="presOf" srcId="{9D2D5F32-6B73-407D-B707-F150F363962A}" destId="{9B30AFCD-0276-482F-A808-A54DE709CC20}" srcOrd="0" destOrd="0" presId="urn:microsoft.com/office/officeart/2005/8/layout/vList5"/>
    <dgm:cxn modelId="{7E23A1A4-E746-49F0-8C67-9B8E6786F02D}" type="presOf" srcId="{A6CB253F-5863-45BA-A5A5-D62D4C2D45E1}" destId="{9B30AFCD-0276-482F-A808-A54DE709CC20}" srcOrd="0" destOrd="1" presId="urn:microsoft.com/office/officeart/2005/8/layout/vList5"/>
    <dgm:cxn modelId="{8F862E42-0E25-42F6-B095-D59B74E361F4}" srcId="{16AEAE0E-CBFB-4B4F-A4BD-1961A7D570A3}" destId="{FFFE0EB7-C797-4181-B22E-66A90B892B56}" srcOrd="4" destOrd="0" parTransId="{2FEAC91E-4750-498D-BE75-45A214BD5691}" sibTransId="{8196F56D-FC1A-4B7A-B405-B8B7667C595A}"/>
    <dgm:cxn modelId="{B7AE7D33-FFC7-4C69-8090-3697335B8DB7}" type="presOf" srcId="{C3C5B8C8-B5D3-4197-828B-7330FD77F940}" destId="{7D5F49E0-9618-4439-8449-C5B505D305E6}" srcOrd="0" destOrd="0" presId="urn:microsoft.com/office/officeart/2005/8/layout/vList5"/>
    <dgm:cxn modelId="{45A286CF-3494-4202-B401-037FDC40BFB6}" srcId="{EA5D8E57-7B7F-4EE9-BACA-92CB8F4184E2}" destId="{715067ED-8E94-4C54-A155-910E3E3CC042}" srcOrd="0" destOrd="0" parTransId="{DDEE45A0-CFAF-4A97-B50E-A8C20F53E577}" sibTransId="{8376BEB2-B47A-42D2-91D7-1C05B5F7DD7E}"/>
    <dgm:cxn modelId="{4CE10915-4900-4EC4-914F-9F1188DF3B53}" srcId="{C3C5B8C8-B5D3-4197-828B-7330FD77F940}" destId="{72014D75-7797-4602-85C7-1A2EC6B2097D}" srcOrd="0" destOrd="0" parTransId="{A2EC39C8-53E1-4FB2-A72B-050ED80DCE68}" sibTransId="{0973095F-6383-4F38-B45C-BDBA76ED41F0}"/>
    <dgm:cxn modelId="{3E135C9B-8C09-44E3-8725-FF449BFEAB9E}" type="presOf" srcId="{E89A0F6C-8D50-4A33-A163-4881D5EFDFF1}" destId="{9B30AFCD-0276-482F-A808-A54DE709CC20}" srcOrd="0" destOrd="3" presId="urn:microsoft.com/office/officeart/2005/8/layout/vList5"/>
    <dgm:cxn modelId="{2B8040DC-8959-4539-91E6-6D116FC49928}" type="presOf" srcId="{EA5D8E57-7B7F-4EE9-BACA-92CB8F4184E2}" destId="{B51E1390-1D74-4D3B-82B2-7D86FA300D32}" srcOrd="0" destOrd="0" presId="urn:microsoft.com/office/officeart/2005/8/layout/vList5"/>
    <dgm:cxn modelId="{6DEF7756-B25E-4CA7-92E3-F72E4E5DCD68}" srcId="{FFFE0EB7-C797-4181-B22E-66A90B892B56}" destId="{A6CB253F-5863-45BA-A5A5-D62D4C2D45E1}" srcOrd="1" destOrd="0" parTransId="{6F150937-54DE-472D-904E-AC3A5D491E76}" sibTransId="{89F4B697-C26F-4A7E-9804-1838FA8A7E37}"/>
    <dgm:cxn modelId="{40EB01BA-1C10-4D8B-970C-9CADC5B9CC22}" type="presOf" srcId="{C9EB87B6-7392-40C7-A1B6-DF36B7346E97}" destId="{C997F499-3C46-453E-8039-0EFBE09DCE62}" srcOrd="0" destOrd="0" presId="urn:microsoft.com/office/officeart/2005/8/layout/vList5"/>
    <dgm:cxn modelId="{3A99FB73-38F5-45E7-B5FE-65BB7254A9BA}" srcId="{C9EB87B6-7392-40C7-A1B6-DF36B7346E97}" destId="{CE99A8C5-AA2E-427E-BC65-82104FDE624B}" srcOrd="1" destOrd="0" parTransId="{7551975F-10AC-422D-BDB9-D5508A37C06D}" sibTransId="{7AF5B791-73B6-4A59-8393-DC5C5D26D819}"/>
    <dgm:cxn modelId="{E06E6532-89B3-472D-AA09-1C2C6E49B379}" type="presOf" srcId="{CE33401E-44FD-4325-AC5E-C9C944CE461E}" destId="{4AB4BFBF-5FB4-4797-8AF5-975295914743}" srcOrd="0" destOrd="0" presId="urn:microsoft.com/office/officeart/2005/8/layout/vList5"/>
    <dgm:cxn modelId="{4210AC7C-08AD-48F8-97E5-3C052F0D0121}" type="presOf" srcId="{CA6213B4-9E17-4C17-A315-F560C3668EA0}" destId="{1AFCB851-70E7-40AA-B422-042C59CEEAA6}" srcOrd="0" destOrd="2" presId="urn:microsoft.com/office/officeart/2005/8/layout/vList5"/>
    <dgm:cxn modelId="{DFEB865C-0720-40EF-957B-42F040FD58C1}" type="presOf" srcId="{941E7087-85B8-4D87-A954-37B21187FE92}" destId="{C2C66D52-62E9-4C68-8CD2-F24578FAB035}" srcOrd="0" destOrd="1" presId="urn:microsoft.com/office/officeart/2005/8/layout/vList5"/>
    <dgm:cxn modelId="{1CA30BDF-7D44-457A-8271-0E7CAAB1ABE1}" srcId="{16AEAE0E-CBFB-4B4F-A4BD-1961A7D570A3}" destId="{CE33401E-44FD-4325-AC5E-C9C944CE461E}" srcOrd="0" destOrd="0" parTransId="{607F807C-711C-401C-9184-B71868E517E7}" sibTransId="{DA895FB7-C437-4AAF-96CD-EA5650FEE2E6}"/>
    <dgm:cxn modelId="{9B6049BF-6B8D-4A07-81A6-3318D9944290}" srcId="{C9EB87B6-7392-40C7-A1B6-DF36B7346E97}" destId="{CA6213B4-9E17-4C17-A315-F560C3668EA0}" srcOrd="2" destOrd="0" parTransId="{68C3CB51-5D38-4E0C-BD4E-BF603A821C78}" sibTransId="{7F3BC83B-8A12-48DD-B341-51BF24D6EEA7}"/>
    <dgm:cxn modelId="{C0A1E43F-0459-494D-8252-757A19FF5460}" type="presOf" srcId="{715067ED-8E94-4C54-A155-910E3E3CC042}" destId="{C2C66D52-62E9-4C68-8CD2-F24578FAB035}" srcOrd="0" destOrd="0" presId="urn:microsoft.com/office/officeart/2005/8/layout/vList5"/>
    <dgm:cxn modelId="{70A4A86A-01B7-4CD7-AB16-1D15B72AF3DA}" type="presOf" srcId="{592F1C7B-3DEA-45D8-BFAC-74C1DCFD1D94}" destId="{B9DE856F-6425-4C29-816E-E3C1F57472A7}" srcOrd="0" destOrd="1" presId="urn:microsoft.com/office/officeart/2005/8/layout/vList5"/>
    <dgm:cxn modelId="{25299E02-068B-4409-8E9F-E9F67501B84F}" srcId="{FFFE0EB7-C797-4181-B22E-66A90B892B56}" destId="{001485CC-5A2D-46C0-9665-B5E1D31CF197}" srcOrd="2" destOrd="0" parTransId="{37B6D2A1-DC20-4A1B-96E5-334B027083CA}" sibTransId="{090E84F1-E964-413B-AD9B-EFF354E8808C}"/>
    <dgm:cxn modelId="{FDDF7228-4C07-4BEA-A810-98AB9D41D687}" type="presOf" srcId="{16AEAE0E-CBFB-4B4F-A4BD-1961A7D570A3}" destId="{AC76CA7C-8E13-4A2D-8A32-E72F20E0A857}" srcOrd="0" destOrd="0" presId="urn:microsoft.com/office/officeart/2005/8/layout/vList5"/>
    <dgm:cxn modelId="{A6A0261A-9C3D-45DF-A69E-8DEC7FD60BE6}" type="presOf" srcId="{001485CC-5A2D-46C0-9665-B5E1D31CF197}" destId="{9B30AFCD-0276-482F-A808-A54DE709CC20}" srcOrd="0" destOrd="2" presId="urn:microsoft.com/office/officeart/2005/8/layout/vList5"/>
    <dgm:cxn modelId="{0E1A3F93-6346-4109-B93B-A7320D9D8A6C}" srcId="{CE33401E-44FD-4325-AC5E-C9C944CE461E}" destId="{592F1C7B-3DEA-45D8-BFAC-74C1DCFD1D94}" srcOrd="1" destOrd="0" parTransId="{3379BDE5-7FA6-45DE-BAE3-027838F2A9B9}" sibTransId="{3DA7B67C-886B-4B5D-B787-DD7D73995FC9}"/>
    <dgm:cxn modelId="{71F5A5E1-D7D7-4700-9AED-96E6F8467AF0}" type="presOf" srcId="{CE99A8C5-AA2E-427E-BC65-82104FDE624B}" destId="{1AFCB851-70E7-40AA-B422-042C59CEEAA6}" srcOrd="0" destOrd="1" presId="urn:microsoft.com/office/officeart/2005/8/layout/vList5"/>
    <dgm:cxn modelId="{0E9EF5EB-D6F5-493F-B7BE-FE8FBD4A4907}" type="presOf" srcId="{B387CDD6-3F8E-4ACC-A800-0E6BDC3D941E}" destId="{1AFCB851-70E7-40AA-B422-042C59CEEAA6}" srcOrd="0" destOrd="0" presId="urn:microsoft.com/office/officeart/2005/8/layout/vList5"/>
    <dgm:cxn modelId="{57C33E02-E068-49DC-B4E3-6605B8B8A62D}" srcId="{16AEAE0E-CBFB-4B4F-A4BD-1961A7D570A3}" destId="{EA5D8E57-7B7F-4EE9-BACA-92CB8F4184E2}" srcOrd="2" destOrd="0" parTransId="{6C67068D-DC24-4B9B-85DD-D974AF73FBEE}" sibTransId="{4411F26D-9ECE-4F65-B727-A191BA00085A}"/>
    <dgm:cxn modelId="{C178342F-09AB-4B91-A8CC-9EE5C3A76D16}" type="presOf" srcId="{95CC72FA-AC6A-4F42-B09B-4C0493AB9728}" destId="{C2C66D52-62E9-4C68-8CD2-F24578FAB035}" srcOrd="0" destOrd="2" presId="urn:microsoft.com/office/officeart/2005/8/layout/vList5"/>
    <dgm:cxn modelId="{189F8EFD-8B86-4A1B-BAE1-408AB6FA1CC3}" srcId="{16AEAE0E-CBFB-4B4F-A4BD-1961A7D570A3}" destId="{C3C5B8C8-B5D3-4197-828B-7330FD77F940}" srcOrd="3" destOrd="0" parTransId="{99CB240F-F57F-4B59-BB9B-5BE90B24FBED}" sibTransId="{90C25EA7-2A00-4AD4-BCCE-BFAEA6AF23B0}"/>
    <dgm:cxn modelId="{154F978C-34C8-4447-AEC9-14D8B342CA74}" srcId="{16AEAE0E-CBFB-4B4F-A4BD-1961A7D570A3}" destId="{C9EB87B6-7392-40C7-A1B6-DF36B7346E97}" srcOrd="1" destOrd="0" parTransId="{D5AEB993-E69B-403B-8EA9-E6FF44C4B847}" sibTransId="{16886F88-BF08-4113-A954-DC6FEF0F421E}"/>
    <dgm:cxn modelId="{5A904995-A88B-4A60-AE2C-A8F71C76D192}" srcId="{FFFE0EB7-C797-4181-B22E-66A90B892B56}" destId="{E89A0F6C-8D50-4A33-A163-4881D5EFDFF1}" srcOrd="3" destOrd="0" parTransId="{CE65796F-2D48-438D-BC02-5FF17D2CE028}" sibTransId="{EED77AF0-6546-4921-AC6D-F68EEF7B2BAE}"/>
    <dgm:cxn modelId="{44CC9719-66C4-4109-AF6B-4874DC3ADB63}" type="presOf" srcId="{FFFE0EB7-C797-4181-B22E-66A90B892B56}" destId="{3AF6ABCE-C716-4B9D-A04C-ACD89C0A89E1}" srcOrd="0" destOrd="0" presId="urn:microsoft.com/office/officeart/2005/8/layout/vList5"/>
    <dgm:cxn modelId="{A2F2A8BE-8F2D-4DBE-ACB5-5EA829A6E4C2}" type="presOf" srcId="{72014D75-7797-4602-85C7-1A2EC6B2097D}" destId="{67FDCBF2-BD84-45DE-B08A-7792BA27C8B5}" srcOrd="0" destOrd="0" presId="urn:microsoft.com/office/officeart/2005/8/layout/vList5"/>
    <dgm:cxn modelId="{2A7788C3-CE10-4AC5-AE56-61E519033200}" type="presParOf" srcId="{AC76CA7C-8E13-4A2D-8A32-E72F20E0A857}" destId="{64F2D3C8-CD25-4E1D-83B8-B450EBAE3AE0}" srcOrd="0" destOrd="0" presId="urn:microsoft.com/office/officeart/2005/8/layout/vList5"/>
    <dgm:cxn modelId="{245E79DD-7D80-45C4-B883-07E0736DA7E1}" type="presParOf" srcId="{64F2D3C8-CD25-4E1D-83B8-B450EBAE3AE0}" destId="{4AB4BFBF-5FB4-4797-8AF5-975295914743}" srcOrd="0" destOrd="0" presId="urn:microsoft.com/office/officeart/2005/8/layout/vList5"/>
    <dgm:cxn modelId="{8AB82F96-D4D8-419A-8D8E-023FCFA4F8F8}" type="presParOf" srcId="{64F2D3C8-CD25-4E1D-83B8-B450EBAE3AE0}" destId="{B9DE856F-6425-4C29-816E-E3C1F57472A7}" srcOrd="1" destOrd="0" presId="urn:microsoft.com/office/officeart/2005/8/layout/vList5"/>
    <dgm:cxn modelId="{5BA324FD-577F-4CA4-A0ED-49A8AFBAF22F}" type="presParOf" srcId="{AC76CA7C-8E13-4A2D-8A32-E72F20E0A857}" destId="{2C062CD3-9E0B-4F7C-A418-929D533A8ECF}" srcOrd="1" destOrd="0" presId="urn:microsoft.com/office/officeart/2005/8/layout/vList5"/>
    <dgm:cxn modelId="{59CB44B7-B28D-4C18-A456-ACF614FEACCA}" type="presParOf" srcId="{AC76CA7C-8E13-4A2D-8A32-E72F20E0A857}" destId="{CE2FB8CC-3915-4A4C-A81B-DDFA4E50575B}" srcOrd="2" destOrd="0" presId="urn:microsoft.com/office/officeart/2005/8/layout/vList5"/>
    <dgm:cxn modelId="{373C5D4D-B5BD-4737-9248-A44D199225AB}" type="presParOf" srcId="{CE2FB8CC-3915-4A4C-A81B-DDFA4E50575B}" destId="{C997F499-3C46-453E-8039-0EFBE09DCE62}" srcOrd="0" destOrd="0" presId="urn:microsoft.com/office/officeart/2005/8/layout/vList5"/>
    <dgm:cxn modelId="{DA9C94D7-072D-4CD3-9207-F6CA2FBBDD27}" type="presParOf" srcId="{CE2FB8CC-3915-4A4C-A81B-DDFA4E50575B}" destId="{1AFCB851-70E7-40AA-B422-042C59CEEAA6}" srcOrd="1" destOrd="0" presId="urn:microsoft.com/office/officeart/2005/8/layout/vList5"/>
    <dgm:cxn modelId="{B3723A1D-0BF0-4FE6-9C05-30678ECB2254}" type="presParOf" srcId="{AC76CA7C-8E13-4A2D-8A32-E72F20E0A857}" destId="{05E7CD4C-2664-4DE4-A3C6-B890F35634F7}" srcOrd="3" destOrd="0" presId="urn:microsoft.com/office/officeart/2005/8/layout/vList5"/>
    <dgm:cxn modelId="{14B3618C-E57E-47F6-822E-D8728E3377D8}" type="presParOf" srcId="{AC76CA7C-8E13-4A2D-8A32-E72F20E0A857}" destId="{B2274DE9-1D7F-49BB-9660-CADAE316EC2D}" srcOrd="4" destOrd="0" presId="urn:microsoft.com/office/officeart/2005/8/layout/vList5"/>
    <dgm:cxn modelId="{29690241-9B2E-41F7-BE98-1A366D965F3A}" type="presParOf" srcId="{B2274DE9-1D7F-49BB-9660-CADAE316EC2D}" destId="{B51E1390-1D74-4D3B-82B2-7D86FA300D32}" srcOrd="0" destOrd="0" presId="urn:microsoft.com/office/officeart/2005/8/layout/vList5"/>
    <dgm:cxn modelId="{F026D64A-0863-4AE4-B420-F05426ABC357}" type="presParOf" srcId="{B2274DE9-1D7F-49BB-9660-CADAE316EC2D}" destId="{C2C66D52-62E9-4C68-8CD2-F24578FAB035}" srcOrd="1" destOrd="0" presId="urn:microsoft.com/office/officeart/2005/8/layout/vList5"/>
    <dgm:cxn modelId="{13012E2F-D9CB-49C7-8A88-2BD26094D587}" type="presParOf" srcId="{AC76CA7C-8E13-4A2D-8A32-E72F20E0A857}" destId="{13005350-E7BD-49F2-8FD1-756E15CD2B1C}" srcOrd="5" destOrd="0" presId="urn:microsoft.com/office/officeart/2005/8/layout/vList5"/>
    <dgm:cxn modelId="{AFBA240A-DB23-4676-8405-D648E1AD1657}" type="presParOf" srcId="{AC76CA7C-8E13-4A2D-8A32-E72F20E0A857}" destId="{2496AC1F-0F6A-4DF6-A19C-E94CB8FDF020}" srcOrd="6" destOrd="0" presId="urn:microsoft.com/office/officeart/2005/8/layout/vList5"/>
    <dgm:cxn modelId="{AAEFA2C9-E19B-403F-85E4-9E708D805B4F}" type="presParOf" srcId="{2496AC1F-0F6A-4DF6-A19C-E94CB8FDF020}" destId="{7D5F49E0-9618-4439-8449-C5B505D305E6}" srcOrd="0" destOrd="0" presId="urn:microsoft.com/office/officeart/2005/8/layout/vList5"/>
    <dgm:cxn modelId="{D1A7CC66-7DAA-4420-B6A6-A86D909AA6D0}" type="presParOf" srcId="{2496AC1F-0F6A-4DF6-A19C-E94CB8FDF020}" destId="{67FDCBF2-BD84-45DE-B08A-7792BA27C8B5}" srcOrd="1" destOrd="0" presId="urn:microsoft.com/office/officeart/2005/8/layout/vList5"/>
    <dgm:cxn modelId="{65B5BCD6-A95A-426F-9AE1-4226353C6C95}" type="presParOf" srcId="{AC76CA7C-8E13-4A2D-8A32-E72F20E0A857}" destId="{F8D1EC25-F8A9-466E-B66C-7C1BEFA38B41}" srcOrd="7" destOrd="0" presId="urn:microsoft.com/office/officeart/2005/8/layout/vList5"/>
    <dgm:cxn modelId="{F026E67A-868D-456A-BB4E-A50DA2898170}" type="presParOf" srcId="{AC76CA7C-8E13-4A2D-8A32-E72F20E0A857}" destId="{EC9A32AC-ABE8-4411-B9D1-3AAD9759CD9F}" srcOrd="8" destOrd="0" presId="urn:microsoft.com/office/officeart/2005/8/layout/vList5"/>
    <dgm:cxn modelId="{FD2BC469-3BB1-4ABB-B756-3DB0A6B435C8}" type="presParOf" srcId="{EC9A32AC-ABE8-4411-B9D1-3AAD9759CD9F}" destId="{3AF6ABCE-C716-4B9D-A04C-ACD89C0A89E1}" srcOrd="0" destOrd="0" presId="urn:microsoft.com/office/officeart/2005/8/layout/vList5"/>
    <dgm:cxn modelId="{B265B976-0735-4B56-851E-8B279D7E9FE7}" type="presParOf" srcId="{EC9A32AC-ABE8-4411-B9D1-3AAD9759CD9F}" destId="{9B30AFCD-0276-482F-A808-A54DE709CC20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9DE856F-6425-4C29-816E-E3C1F57472A7}">
      <dsp:nvSpPr>
        <dsp:cNvPr id="0" name=""/>
        <dsp:cNvSpPr/>
      </dsp:nvSpPr>
      <dsp:spPr>
        <a:xfrm rot="5400000">
          <a:off x="3238971" y="-1761062"/>
          <a:ext cx="671994" cy="4365960"/>
        </a:xfrm>
        <a:prstGeom prst="round2SameRect">
          <a:avLst/>
        </a:prstGeom>
        <a:solidFill>
          <a:schemeClr val="lt1"/>
        </a:solidFill>
        <a:ln w="25400" cap="flat" cmpd="sng" algn="ctr">
          <a:solidFill>
            <a:schemeClr val="accent4"/>
          </a:solidFill>
          <a:prstDash val="solid"/>
        </a:ln>
        <a:effectLst/>
      </dsp:spPr>
      <dsp:style>
        <a:lnRef idx="2">
          <a:schemeClr val="accent4"/>
        </a:lnRef>
        <a:fillRef idx="1">
          <a:schemeClr val="lt1"/>
        </a:fillRef>
        <a:effectRef idx="0">
          <a:schemeClr val="accent4"/>
        </a:effectRef>
        <a:fontRef idx="minor">
          <a:schemeClr val="dk1"/>
        </a:fontRef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900" b="0" kern="1200" dirty="0" smtClean="0"/>
            <a:t>1. Posilnenie výskumu, technologického rozvoja a inovácií</a:t>
          </a:r>
          <a:endParaRPr lang="sk-SK" sz="900" b="0" kern="1200" dirty="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900" b="0" kern="1200" dirty="0" smtClean="0"/>
            <a:t>2. Zlepšenie prístupu k informačno-komunikačným technológiám, ako aj využívanie ich kvality</a:t>
          </a:r>
          <a:endParaRPr lang="sk-SK" sz="900" b="0" kern="1200" dirty="0"/>
        </a:p>
      </dsp:txBody>
      <dsp:txXfrm rot="-5400000">
        <a:off x="1391988" y="118725"/>
        <a:ext cx="4333156" cy="606386"/>
      </dsp:txXfrm>
    </dsp:sp>
    <dsp:sp modelId="{4AB4BFBF-5FB4-4797-8AF5-975295914743}">
      <dsp:nvSpPr>
        <dsp:cNvPr id="0" name=""/>
        <dsp:cNvSpPr/>
      </dsp:nvSpPr>
      <dsp:spPr>
        <a:xfrm>
          <a:off x="516" y="1921"/>
          <a:ext cx="1391471" cy="839993"/>
        </a:xfrm>
        <a:prstGeom prst="roundRect">
          <a:avLst/>
        </a:prstGeom>
        <a:solidFill>
          <a:schemeClr val="accent4"/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4"/>
        </a:fillRef>
        <a:effectRef idx="1">
          <a:schemeClr val="accent4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b="1" kern="1200" dirty="0" smtClean="0"/>
            <a:t>PO 1: Veda, výskum a inovácie</a:t>
          </a:r>
          <a:endParaRPr lang="sk-SK" sz="1000" b="1" kern="1200" dirty="0"/>
        </a:p>
      </dsp:txBody>
      <dsp:txXfrm>
        <a:off x="41521" y="42926"/>
        <a:ext cx="1309461" cy="757983"/>
      </dsp:txXfrm>
    </dsp:sp>
    <dsp:sp modelId="{1AFCB851-70E7-40AA-B422-042C59CEEAA6}">
      <dsp:nvSpPr>
        <dsp:cNvPr id="0" name=""/>
        <dsp:cNvSpPr/>
      </dsp:nvSpPr>
      <dsp:spPr>
        <a:xfrm rot="5400000">
          <a:off x="3230706" y="-889587"/>
          <a:ext cx="671994" cy="4386998"/>
        </a:xfrm>
        <a:prstGeom prst="round2SameRect">
          <a:avLst/>
        </a:prstGeom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</dsp:spPr>
      <dsp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900" b="0" kern="1200" dirty="0" smtClean="0"/>
            <a:t>10. Investovanie do vzdelávania, zručností a celoživotného vzdelávania</a:t>
          </a:r>
          <a:endParaRPr lang="sk-SK" sz="900" b="0" kern="1200" dirty="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900" b="0" kern="1200" dirty="0" smtClean="0"/>
            <a:t>11. Zvyšovanie inštitucionálnych kapacít a zabezpečovanie efektivity verejnej správy,</a:t>
          </a:r>
          <a:endParaRPr lang="sk-SK" sz="900" b="0" kern="1200" dirty="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900" b="0" kern="1200" dirty="0" smtClean="0"/>
            <a:t>9. Podpora sociálneho začleňovania a boj proti chudobe</a:t>
          </a:r>
          <a:endParaRPr lang="sk-SK" sz="900" b="0" kern="1200" dirty="0"/>
        </a:p>
      </dsp:txBody>
      <dsp:txXfrm rot="-5400000">
        <a:off x="1373204" y="1000719"/>
        <a:ext cx="4354194" cy="606386"/>
      </dsp:txXfrm>
    </dsp:sp>
    <dsp:sp modelId="{C997F499-3C46-453E-8039-0EFBE09DCE62}">
      <dsp:nvSpPr>
        <dsp:cNvPr id="0" name=""/>
        <dsp:cNvSpPr/>
      </dsp:nvSpPr>
      <dsp:spPr>
        <a:xfrm>
          <a:off x="127" y="884183"/>
          <a:ext cx="1372688" cy="839993"/>
        </a:xfrm>
        <a:prstGeom prst="roundRect">
          <a:avLst/>
        </a:prstGeom>
        <a:solidFill>
          <a:schemeClr val="accent2"/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2"/>
        </a:fillRef>
        <a:effectRef idx="1">
          <a:schemeClr val="accent2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b="1" kern="1200" dirty="0" smtClean="0"/>
            <a:t>PO 2: Ľudské zdroje</a:t>
          </a:r>
          <a:endParaRPr lang="sk-SK" sz="1000" b="1" kern="1200" dirty="0"/>
        </a:p>
      </dsp:txBody>
      <dsp:txXfrm>
        <a:off x="41132" y="925188"/>
        <a:ext cx="1290678" cy="757983"/>
      </dsp:txXfrm>
    </dsp:sp>
    <dsp:sp modelId="{C2C66D52-62E9-4C68-8CD2-F24578FAB035}">
      <dsp:nvSpPr>
        <dsp:cNvPr id="0" name=""/>
        <dsp:cNvSpPr/>
      </dsp:nvSpPr>
      <dsp:spPr>
        <a:xfrm rot="5400000">
          <a:off x="3237283" y="532"/>
          <a:ext cx="671994" cy="4370744"/>
        </a:xfrm>
        <a:prstGeom prst="round2SameRect">
          <a:avLst/>
        </a:prstGeom>
        <a:solidFill>
          <a:schemeClr val="lt1"/>
        </a:solidFill>
        <a:ln w="25400" cap="flat" cmpd="sng" algn="ctr">
          <a:solidFill>
            <a:schemeClr val="accent1"/>
          </a:solidFill>
          <a:prstDash val="solid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900" b="0" kern="1200" dirty="0" smtClean="0"/>
            <a:t>1. Posilnenie výskumu, technologického rozvoja a inovácií</a:t>
          </a:r>
          <a:endParaRPr lang="sk-SK" sz="900" b="0" kern="1200" dirty="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900" b="0" kern="1200" dirty="0" smtClean="0"/>
            <a:t>8. Podpora zamestnanosti a podporovanie mobility pracovnej sily</a:t>
          </a:r>
          <a:endParaRPr lang="sk-SK" sz="900" b="0" kern="1200" dirty="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900" b="0" kern="1200" dirty="0" smtClean="0"/>
            <a:t>11. Zvyšovanie inštitucionálnych kapacít a zabezpečovanie efektivity verejnej správy</a:t>
          </a:r>
          <a:endParaRPr lang="sk-SK" sz="900" b="0" kern="1200" dirty="0"/>
        </a:p>
      </dsp:txBody>
      <dsp:txXfrm rot="-5400000">
        <a:off x="1387908" y="1882711"/>
        <a:ext cx="4337940" cy="606386"/>
      </dsp:txXfrm>
    </dsp:sp>
    <dsp:sp modelId="{B51E1390-1D74-4D3B-82B2-7D86FA300D32}">
      <dsp:nvSpPr>
        <dsp:cNvPr id="0" name=""/>
        <dsp:cNvSpPr/>
      </dsp:nvSpPr>
      <dsp:spPr>
        <a:xfrm>
          <a:off x="516" y="1765907"/>
          <a:ext cx="1387392" cy="839993"/>
        </a:xfrm>
        <a:prstGeom prst="roundRect">
          <a:avLst/>
        </a:prstGeom>
        <a:solidFill>
          <a:schemeClr val="accent1"/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1"/>
        </a:fillRef>
        <a:effectRef idx="1">
          <a:schemeClr val="accent1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b="1" kern="1200" dirty="0" smtClean="0"/>
            <a:t>PO 3: Zamestnanosť </a:t>
          </a:r>
          <a:endParaRPr lang="sk-SK" sz="1000" b="1" kern="1200" dirty="0"/>
        </a:p>
      </dsp:txBody>
      <dsp:txXfrm>
        <a:off x="41521" y="1806912"/>
        <a:ext cx="1305382" cy="757983"/>
      </dsp:txXfrm>
    </dsp:sp>
    <dsp:sp modelId="{67FDCBF2-BD84-45DE-B08A-7792BA27C8B5}">
      <dsp:nvSpPr>
        <dsp:cNvPr id="0" name=""/>
        <dsp:cNvSpPr/>
      </dsp:nvSpPr>
      <dsp:spPr>
        <a:xfrm rot="5400000">
          <a:off x="3228482" y="877003"/>
          <a:ext cx="671994" cy="4381789"/>
        </a:xfrm>
        <a:prstGeom prst="round2Same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900" b="0" kern="1200" dirty="0" smtClean="0"/>
            <a:t>3. Zvýšenie konkurencieschopnosti malých a stredných podnikov, odvetvia poľnohospodárstva a rybného hospodárstva</a:t>
          </a:r>
          <a:endParaRPr lang="sk-SK" sz="900" b="0" kern="1200" dirty="0"/>
        </a:p>
      </dsp:txBody>
      <dsp:txXfrm rot="-5400000">
        <a:off x="1373585" y="2764704"/>
        <a:ext cx="4348985" cy="606386"/>
      </dsp:txXfrm>
    </dsp:sp>
    <dsp:sp modelId="{7D5F49E0-9618-4439-8449-C5B505D305E6}">
      <dsp:nvSpPr>
        <dsp:cNvPr id="0" name=""/>
        <dsp:cNvSpPr/>
      </dsp:nvSpPr>
      <dsp:spPr>
        <a:xfrm>
          <a:off x="516" y="2647900"/>
          <a:ext cx="1373069" cy="839993"/>
        </a:xfrm>
        <a:prstGeom prst="roundRect">
          <a:avLst/>
        </a:prstGeom>
        <a:solidFill>
          <a:schemeClr val="accent6"/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6"/>
        </a:fillRef>
        <a:effectRef idx="1">
          <a:schemeClr val="accent6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b="1" kern="1200" dirty="0" smtClean="0"/>
            <a:t>PO 4: Konkurencieschopnosť, rast a podnikateľské prostredie</a:t>
          </a:r>
          <a:endParaRPr lang="sk-SK" sz="1000" b="1" kern="1200" dirty="0"/>
        </a:p>
      </dsp:txBody>
      <dsp:txXfrm>
        <a:off x="41521" y="2688905"/>
        <a:ext cx="1291059" cy="757983"/>
      </dsp:txXfrm>
    </dsp:sp>
    <dsp:sp modelId="{9B30AFCD-0276-482F-A808-A54DE709CC20}">
      <dsp:nvSpPr>
        <dsp:cNvPr id="0" name=""/>
        <dsp:cNvSpPr/>
      </dsp:nvSpPr>
      <dsp:spPr>
        <a:xfrm rot="5400000">
          <a:off x="3184589" y="1743524"/>
          <a:ext cx="731983" cy="4412733"/>
        </a:xfrm>
        <a:prstGeom prst="round2SameRect">
          <a:avLst/>
        </a:prstGeom>
        <a:solidFill>
          <a:schemeClr val="lt1"/>
        </a:solidFill>
        <a:ln w="25400" cap="flat" cmpd="sng" algn="ctr">
          <a:solidFill>
            <a:schemeClr val="accent3"/>
          </a:solidFill>
          <a:prstDash val="solid"/>
        </a:ln>
        <a:effectLst/>
      </dsp:spPr>
      <dsp:style>
        <a:lnRef idx="2">
          <a:schemeClr val="accent3"/>
        </a:lnRef>
        <a:fillRef idx="1">
          <a:schemeClr val="lt1"/>
        </a:fillRef>
        <a:effectRef idx="0">
          <a:schemeClr val="accent3"/>
        </a:effectRef>
        <a:fontRef idx="minor">
          <a:schemeClr val="dk1"/>
        </a:fontRef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900" b="0" kern="1200" dirty="0" smtClean="0"/>
            <a:t>7. Podpora udržateľnej dopravy a odstraňovanie prekážok v kľúčových sieťových infraštruktúrach</a:t>
          </a:r>
          <a:endParaRPr lang="sk-SK" sz="900" b="0" kern="1200" dirty="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900" b="0" kern="1200" dirty="0" smtClean="0"/>
            <a:t>4. Podpora prechodu na </a:t>
          </a:r>
          <a:r>
            <a:rPr lang="sk-SK" sz="900" b="0" kern="1200" dirty="0" err="1" smtClean="0"/>
            <a:t>nízkouhlíkové</a:t>
          </a:r>
          <a:r>
            <a:rPr lang="sk-SK" sz="900" b="0" kern="1200" dirty="0" smtClean="0"/>
            <a:t> hospodárstvo vo všetkých sektoroch</a:t>
          </a:r>
          <a:endParaRPr lang="sk-SK" sz="900" b="0" kern="1200" dirty="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900" b="0" kern="1200" dirty="0" smtClean="0"/>
            <a:t>5. Podpora prispôsobenia sa zmenám klímy a predchádzania rizikám a ich riadenia</a:t>
          </a:r>
          <a:endParaRPr lang="sk-SK" sz="900" b="0" kern="1200" dirty="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900" b="0" kern="1200" dirty="0" smtClean="0"/>
            <a:t>6. Ochrana ŽP a presadzovanie udržateľného využívania zdrojov</a:t>
          </a:r>
          <a:endParaRPr lang="sk-SK" sz="900" b="0" kern="1200" dirty="0"/>
        </a:p>
      </dsp:txBody>
      <dsp:txXfrm rot="-5400000">
        <a:off x="1344214" y="3619631"/>
        <a:ext cx="4377001" cy="660519"/>
      </dsp:txXfrm>
    </dsp:sp>
    <dsp:sp modelId="{3AF6ABCE-C716-4B9D-A04C-ACD89C0A89E1}">
      <dsp:nvSpPr>
        <dsp:cNvPr id="0" name=""/>
        <dsp:cNvSpPr/>
      </dsp:nvSpPr>
      <dsp:spPr>
        <a:xfrm>
          <a:off x="516" y="3529894"/>
          <a:ext cx="1343698" cy="839993"/>
        </a:xfrm>
        <a:prstGeom prst="roundRect">
          <a:avLst/>
        </a:prstGeom>
        <a:solidFill>
          <a:schemeClr val="accent3"/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3"/>
        </a:fillRef>
        <a:effectRef idx="1">
          <a:schemeClr val="accent3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b="1" kern="1200" dirty="0" smtClean="0"/>
            <a:t>PO 5: Životné prostredie, zmeny klímy a obnoviteľné zdroje energie</a:t>
          </a:r>
          <a:endParaRPr lang="sk-SK" sz="1000" b="1" kern="1200" dirty="0"/>
        </a:p>
      </dsp:txBody>
      <dsp:txXfrm>
        <a:off x="41521" y="3570899"/>
        <a:ext cx="1261688" cy="75798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rawing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rawings/_rels/drawing2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rawings/_rels/drawing3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rawings/_rels/drawing4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rawings/_rels/drawing5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0.01244</cdr:x>
      <cdr:y>0.05109</cdr:y>
    </cdr:from>
    <cdr:to>
      <cdr:x>0.27697</cdr:x>
      <cdr:y>0.2021</cdr:y>
    </cdr:to>
    <cdr:pic>
      <cdr:nvPicPr>
        <cdr:cNvPr id="2" name="Obrázok 1"/>
        <cdr:cNvPicPr/>
      </cdr:nvPicPr>
      <cdr:blipFill>
        <a:blip xmlns:a="http://schemas.openxmlformats.org/drawingml/2006/main" xmlns:r="http://schemas.openxmlformats.org/officeDocument/2006/relationships" r:embed="rId1">
          <a:extLst>
            <a:ext uri="{28A0092B-C50C-407E-A947-70E740481C1C}">
              <a14:useLocalDpi xmlns:a14="http://schemas.microsoft.com/office/drawing/2010/main" val="0"/>
            </a:ext>
          </a:extLst>
        </a:blip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72859" y="121174"/>
          <a:ext cx="1549400" cy="35814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</cdr:pic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0.01682</cdr:x>
      <cdr:y>0.04124</cdr:y>
    </cdr:from>
    <cdr:to>
      <cdr:x>0.2802</cdr:x>
      <cdr:y>0.17964</cdr:y>
    </cdr:to>
    <cdr:pic>
      <cdr:nvPicPr>
        <cdr:cNvPr id="2" name="Obrázok 1"/>
        <cdr:cNvPicPr/>
      </cdr:nvPicPr>
      <cdr:blipFill>
        <a:blip xmlns:a="http://schemas.openxmlformats.org/drawingml/2006/main" xmlns:r="http://schemas.openxmlformats.org/officeDocument/2006/relationships" r:embed="rId1">
          <a:extLst>
            <a:ext uri="{28A0092B-C50C-407E-A947-70E740481C1C}">
              <a14:useLocalDpi xmlns:a14="http://schemas.microsoft.com/office/drawing/2010/main" val="0"/>
            </a:ext>
          </a:extLst>
        </a:blip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98960" y="111130"/>
          <a:ext cx="1549704" cy="37298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</cdr:pic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0.00863</cdr:x>
      <cdr:y>0.03487</cdr:y>
    </cdr:from>
    <cdr:to>
      <cdr:x>0.27706</cdr:x>
      <cdr:y>0.19689</cdr:y>
    </cdr:to>
    <cdr:pic>
      <cdr:nvPicPr>
        <cdr:cNvPr id="2" name="Obrázok 1"/>
        <cdr:cNvPicPr/>
      </cdr:nvPicPr>
      <cdr:blipFill>
        <a:blip xmlns:a="http://schemas.openxmlformats.org/drawingml/2006/main" xmlns:r="http://schemas.openxmlformats.org/officeDocument/2006/relationships" r:embed="rId1">
          <a:extLst>
            <a:ext uri="{28A0092B-C50C-407E-A947-70E740481C1C}">
              <a14:useLocalDpi xmlns:a14="http://schemas.microsoft.com/office/drawing/2010/main" val="0"/>
            </a:ext>
          </a:extLst>
        </a:blip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49807" y="77083"/>
          <a:ext cx="1549400" cy="35814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</cdr:pic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0.02538</cdr:x>
      <cdr:y>0.08522</cdr:y>
    </cdr:from>
    <cdr:to>
      <cdr:x>0.29348</cdr:x>
      <cdr:y>0.23298</cdr:y>
    </cdr:to>
    <cdr:pic>
      <cdr:nvPicPr>
        <cdr:cNvPr id="2" name="Obrázok 1"/>
        <cdr:cNvPicPr/>
      </cdr:nvPicPr>
      <cdr:blipFill>
        <a:blip xmlns:a="http://schemas.openxmlformats.org/drawingml/2006/main" xmlns:r="http://schemas.openxmlformats.org/officeDocument/2006/relationships" r:embed="rId1">
          <a:extLst>
            <a:ext uri="{28A0092B-C50C-407E-A947-70E740481C1C}">
              <a14:useLocalDpi xmlns:a14="http://schemas.microsoft.com/office/drawing/2010/main" val="0"/>
            </a:ext>
          </a:extLst>
        </a:blip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146649" y="206555"/>
          <a:ext cx="1549400" cy="35814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</cdr:pic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0.02596</cdr:x>
      <cdr:y>0.02984</cdr:y>
    </cdr:from>
    <cdr:to>
      <cdr:x>0.29406</cdr:x>
      <cdr:y>0.17011</cdr:y>
    </cdr:to>
    <cdr:pic>
      <cdr:nvPicPr>
        <cdr:cNvPr id="2" name="Obrázok 1"/>
        <cdr:cNvPicPr/>
      </cdr:nvPicPr>
      <cdr:blipFill>
        <a:blip xmlns:a="http://schemas.openxmlformats.org/drawingml/2006/main" xmlns:r="http://schemas.openxmlformats.org/officeDocument/2006/relationships" r:embed="rId1">
          <a:extLst>
            <a:ext uri="{28A0092B-C50C-407E-A947-70E740481C1C}">
              <a14:useLocalDpi xmlns:a14="http://schemas.microsoft.com/office/drawing/2010/main" val="0"/>
            </a:ext>
          </a:extLst>
        </a:blip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150004" y="76200"/>
          <a:ext cx="1549400" cy="35814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</cdr:pic>
  </cdr:relSizeAnchor>
</c:userShape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CE6898F-6339-4B81-92CE-156BC009C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1762</Words>
  <Characters>10050</Characters>
  <Application>Microsoft Office Word</Application>
  <DocSecurity>0</DocSecurity>
  <Lines>83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Bezek</dc:creator>
  <cp:lastModifiedBy>Martin Bezek</cp:lastModifiedBy>
  <cp:revision>4</cp:revision>
  <cp:lastPrinted>2015-06-08T08:21:00Z</cp:lastPrinted>
  <dcterms:created xsi:type="dcterms:W3CDTF">2015-06-04T15:17:00Z</dcterms:created>
  <dcterms:modified xsi:type="dcterms:W3CDTF">2015-06-08T08:30:00Z</dcterms:modified>
</cp:coreProperties>
</file>