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03" w:rsidRPr="00EB2F9A" w:rsidRDefault="008C3B03" w:rsidP="008C3B03">
      <w:pPr>
        <w:jc w:val="right"/>
        <w:outlineLvl w:val="0"/>
        <w:rPr>
          <w:b/>
          <w:sz w:val="40"/>
          <w:szCs w:val="40"/>
        </w:rPr>
      </w:pPr>
      <w:r>
        <w:rPr>
          <w:b/>
          <w:sz w:val="36"/>
        </w:rPr>
        <w:t xml:space="preserve">Bod č. </w:t>
      </w:r>
    </w:p>
    <w:p w:rsidR="008C3B03" w:rsidRDefault="008C3B03" w:rsidP="008C3B03">
      <w:pPr>
        <w:pStyle w:val="Nadpis6"/>
        <w:rPr>
          <w:szCs w:val="36"/>
        </w:rPr>
      </w:pPr>
      <w:r>
        <w:rPr>
          <w:szCs w:val="36"/>
        </w:rPr>
        <w:t>Zastupiteľstvo Bratislavského samosprávneho kraja</w:t>
      </w:r>
    </w:p>
    <w:p w:rsidR="008C3B03" w:rsidRDefault="008C3B03" w:rsidP="008C3B03">
      <w:pPr>
        <w:jc w:val="center"/>
        <w:rPr>
          <w:b/>
          <w:sz w:val="32"/>
          <w:szCs w:val="32"/>
        </w:rPr>
      </w:pPr>
    </w:p>
    <w:p w:rsidR="008C3B03" w:rsidRDefault="008C3B03" w:rsidP="008C3B03">
      <w:pPr>
        <w:outlineLvl w:val="0"/>
        <w:rPr>
          <w:bCs/>
          <w:sz w:val="22"/>
        </w:rPr>
      </w:pPr>
      <w:r>
        <w:rPr>
          <w:bCs/>
          <w:sz w:val="22"/>
        </w:rPr>
        <w:t>Materiál na rokovanie Zastupiteľstva</w:t>
      </w:r>
    </w:p>
    <w:p w:rsidR="008C3B03" w:rsidRDefault="008C3B03" w:rsidP="008C3B03">
      <w:pPr>
        <w:pStyle w:val="Nadpis7"/>
        <w:rPr>
          <w:b w:val="0"/>
        </w:rPr>
      </w:pPr>
      <w:r>
        <w:rPr>
          <w:b w:val="0"/>
        </w:rPr>
        <w:t>Bratislavského samosprávneho kraja</w:t>
      </w:r>
    </w:p>
    <w:p w:rsidR="008C3B03" w:rsidRDefault="008C3B03" w:rsidP="008C3B03">
      <w:pPr>
        <w:rPr>
          <w:bCs/>
          <w:sz w:val="22"/>
        </w:rPr>
      </w:pPr>
      <w:r>
        <w:rPr>
          <w:bCs/>
          <w:sz w:val="22"/>
        </w:rPr>
        <w:t>dňa 25. septembra 2015</w:t>
      </w:r>
    </w:p>
    <w:p w:rsidR="008C3B03" w:rsidRDefault="008C3B03" w:rsidP="008C3B03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8C3B03" w:rsidRDefault="008C3B03" w:rsidP="008C3B03"/>
    <w:p w:rsidR="008C3B03" w:rsidRDefault="008C3B03" w:rsidP="008C3B03">
      <w:pPr>
        <w:pStyle w:val="Pta"/>
        <w:tabs>
          <w:tab w:val="clear" w:pos="4536"/>
          <w:tab w:val="clear" w:pos="9072"/>
        </w:tabs>
      </w:pPr>
      <w:bookmarkStart w:id="0" w:name="_GoBack"/>
      <w:bookmarkEnd w:id="0"/>
    </w:p>
    <w:p w:rsidR="008C3B03" w:rsidRDefault="008C3B03" w:rsidP="008C3B03"/>
    <w:p w:rsidR="008C3B03" w:rsidRDefault="008C3B03" w:rsidP="008C3B03"/>
    <w:p w:rsidR="008C3B03" w:rsidRDefault="008C3B03" w:rsidP="008C3B03">
      <w:pPr>
        <w:pBdr>
          <w:bottom w:val="single" w:sz="12" w:space="1" w:color="auto"/>
        </w:pBd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Návrh</w:t>
      </w:r>
    </w:p>
    <w:p w:rsidR="008C3B03" w:rsidRDefault="008C3B03" w:rsidP="008C3B03">
      <w:pPr>
        <w:pBdr>
          <w:bottom w:val="single" w:sz="12" w:space="1" w:color="auto"/>
        </w:pBdr>
        <w:outlineLvl w:val="0"/>
        <w:rPr>
          <w:b/>
        </w:rPr>
      </w:pPr>
    </w:p>
    <w:p w:rsidR="008C3B03" w:rsidRPr="00BC35A9" w:rsidRDefault="000E2D01" w:rsidP="008C3B03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</w:rPr>
        <w:t>Na poskytnutie dotácií z Bratislavskej regionálnej dotačnej schémy na podporu kultúry</w:t>
      </w:r>
    </w:p>
    <w:p w:rsidR="008C3B03" w:rsidRDefault="008C3B03" w:rsidP="008C3B03">
      <w:pPr>
        <w:pStyle w:val="Pta"/>
        <w:tabs>
          <w:tab w:val="clear" w:pos="4536"/>
          <w:tab w:val="clear" w:pos="9072"/>
        </w:tabs>
      </w:pPr>
    </w:p>
    <w:p w:rsidR="008C3B03" w:rsidRDefault="008C3B03" w:rsidP="008C3B03"/>
    <w:p w:rsidR="008C3B03" w:rsidRDefault="008C3B03" w:rsidP="008C3B03"/>
    <w:p w:rsidR="008C3B03" w:rsidRDefault="008C3B03" w:rsidP="008C3B03"/>
    <w:p w:rsidR="008C3B03" w:rsidRPr="00991BFD" w:rsidRDefault="008C3B03" w:rsidP="008C3B03">
      <w:pPr>
        <w:outlineLvl w:val="0"/>
        <w:rPr>
          <w:b/>
          <w:bCs/>
          <w:sz w:val="22"/>
        </w:rPr>
      </w:pPr>
      <w:r>
        <w:rPr>
          <w:b/>
          <w:bCs/>
          <w:sz w:val="22"/>
          <w:u w:val="single"/>
        </w:rPr>
        <w:t>Predkladateľ</w:t>
      </w:r>
      <w:r w:rsidRPr="00991BFD">
        <w:rPr>
          <w:b/>
          <w:bCs/>
          <w:sz w:val="22"/>
          <w:u w:val="single"/>
        </w:rPr>
        <w:t>:</w:t>
      </w:r>
      <w:r w:rsidRPr="00991BFD">
        <w:rPr>
          <w:b/>
          <w:bCs/>
          <w:sz w:val="22"/>
        </w:rPr>
        <w:t xml:space="preserve">                                                                        </w:t>
      </w:r>
      <w:r w:rsidRPr="00991BFD">
        <w:rPr>
          <w:b/>
          <w:bCs/>
          <w:sz w:val="22"/>
          <w:u w:val="single"/>
        </w:rPr>
        <w:t xml:space="preserve">Materiál obsahuje:                                                                                   </w:t>
      </w:r>
    </w:p>
    <w:p w:rsidR="008C3B03" w:rsidRDefault="008C3B03" w:rsidP="008C3B03">
      <w:pPr>
        <w:rPr>
          <w:bCs/>
          <w:sz w:val="22"/>
          <w:u w:val="single"/>
        </w:rPr>
      </w:pPr>
    </w:p>
    <w:p w:rsidR="008C3B03" w:rsidRPr="002968D9" w:rsidRDefault="008C3B03" w:rsidP="008C3B03">
      <w:pPr>
        <w:pStyle w:val="Nadpis7"/>
        <w:rPr>
          <w:b w:val="0"/>
        </w:rPr>
      </w:pPr>
      <w:r>
        <w:rPr>
          <w:b w:val="0"/>
          <w:szCs w:val="20"/>
        </w:rPr>
        <w:t xml:space="preserve">PhDr. </w:t>
      </w:r>
      <w:proofErr w:type="spellStart"/>
      <w:r>
        <w:rPr>
          <w:b w:val="0"/>
          <w:szCs w:val="20"/>
        </w:rPr>
        <w:t>Ožvaldová</w:t>
      </w:r>
      <w:proofErr w:type="spellEnd"/>
      <w:r>
        <w:rPr>
          <w:b w:val="0"/>
          <w:szCs w:val="20"/>
        </w:rPr>
        <w:t xml:space="preserve"> Alžbeta</w:t>
      </w:r>
      <w:r w:rsidRPr="002968D9">
        <w:rPr>
          <w:b w:val="0"/>
        </w:rPr>
        <w:t xml:space="preserve">                                                       1. Návrh uznesenia</w:t>
      </w:r>
    </w:p>
    <w:p w:rsidR="008C3B03" w:rsidRDefault="008C3B03" w:rsidP="008C3B03">
      <w:pPr>
        <w:rPr>
          <w:bCs/>
          <w:sz w:val="22"/>
        </w:rPr>
      </w:pPr>
      <w:r>
        <w:rPr>
          <w:bCs/>
          <w:sz w:val="22"/>
        </w:rPr>
        <w:t xml:space="preserve">Podpredsedníčka BSK                                                           2. Dôvodovú správu                                                                                                </w:t>
      </w:r>
    </w:p>
    <w:p w:rsidR="008C3B03" w:rsidRDefault="008C3B03" w:rsidP="008C3B03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3. Zápis zo zasadnutia Rady  </w:t>
      </w:r>
    </w:p>
    <w:p w:rsidR="008C3B03" w:rsidRDefault="008C3B03" w:rsidP="008C3B03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BSK pre kultúru a umenie    </w:t>
      </w:r>
    </w:p>
    <w:p w:rsidR="008C3B03" w:rsidRDefault="008C3B03" w:rsidP="008C3B03">
      <w:pPr>
        <w:rPr>
          <w:sz w:val="22"/>
        </w:rPr>
      </w:pPr>
    </w:p>
    <w:p w:rsidR="008C3B03" w:rsidRDefault="008C3B03" w:rsidP="008C3B03">
      <w:pPr>
        <w:rPr>
          <w:sz w:val="22"/>
        </w:rPr>
      </w:pPr>
    </w:p>
    <w:p w:rsidR="008C3B03" w:rsidRPr="00991BFD" w:rsidRDefault="008C3B03" w:rsidP="008C3B03">
      <w:pPr>
        <w:rPr>
          <w:b/>
          <w:sz w:val="22"/>
        </w:rPr>
      </w:pPr>
      <w:r w:rsidRPr="00991BFD">
        <w:rPr>
          <w:b/>
          <w:sz w:val="22"/>
        </w:rPr>
        <w:t>Zodpovedný:</w:t>
      </w:r>
    </w:p>
    <w:p w:rsidR="008C3B03" w:rsidRDefault="008C3B03" w:rsidP="008C3B03">
      <w:pPr>
        <w:rPr>
          <w:sz w:val="22"/>
        </w:rPr>
      </w:pPr>
    </w:p>
    <w:p w:rsidR="008C3B03" w:rsidRPr="00A444E1" w:rsidRDefault="008C3B03" w:rsidP="008C3B03">
      <w:pPr>
        <w:rPr>
          <w:sz w:val="22"/>
          <w:szCs w:val="22"/>
        </w:rPr>
      </w:pPr>
      <w:r>
        <w:rPr>
          <w:sz w:val="22"/>
          <w:szCs w:val="22"/>
        </w:rPr>
        <w:t>Mgr. art. Zuzana Šajgalíková</w:t>
      </w:r>
      <w:r w:rsidRPr="00A444E1">
        <w:rPr>
          <w:sz w:val="22"/>
          <w:szCs w:val="22"/>
        </w:rPr>
        <w:t xml:space="preserve">  </w:t>
      </w:r>
    </w:p>
    <w:p w:rsidR="008C3B03" w:rsidRDefault="008C3B03" w:rsidP="008C3B03">
      <w:pPr>
        <w:rPr>
          <w:bCs/>
          <w:sz w:val="22"/>
        </w:rPr>
      </w:pPr>
      <w:r>
        <w:rPr>
          <w:bCs/>
          <w:sz w:val="22"/>
        </w:rPr>
        <w:t>Riaditeľka odboru cestovného ruchu a kultúry</w:t>
      </w:r>
    </w:p>
    <w:p w:rsidR="008C3B03" w:rsidRDefault="008C3B03" w:rsidP="008C3B03">
      <w:pPr>
        <w:rPr>
          <w:bCs/>
          <w:sz w:val="22"/>
        </w:rPr>
      </w:pPr>
    </w:p>
    <w:p w:rsidR="008C3B03" w:rsidRDefault="008C3B03" w:rsidP="008C3B03">
      <w:pPr>
        <w:rPr>
          <w:sz w:val="22"/>
        </w:rPr>
      </w:pPr>
    </w:p>
    <w:p w:rsidR="008C3B03" w:rsidRPr="00991BFD" w:rsidRDefault="008C3B03" w:rsidP="008C3B03">
      <w:pPr>
        <w:rPr>
          <w:b/>
          <w:sz w:val="22"/>
        </w:rPr>
      </w:pPr>
      <w:r w:rsidRPr="00991BFD">
        <w:rPr>
          <w:b/>
          <w:sz w:val="22"/>
        </w:rPr>
        <w:t>Spracovateľ:</w:t>
      </w:r>
    </w:p>
    <w:p w:rsidR="008C3B03" w:rsidRDefault="008C3B03" w:rsidP="008C3B03">
      <w:pPr>
        <w:rPr>
          <w:sz w:val="22"/>
        </w:rPr>
      </w:pPr>
    </w:p>
    <w:p w:rsidR="008C3B03" w:rsidRPr="000B3AF2" w:rsidRDefault="008C3B03" w:rsidP="008C3B03">
      <w:pPr>
        <w:rPr>
          <w:sz w:val="22"/>
          <w:szCs w:val="22"/>
        </w:rPr>
      </w:pPr>
      <w:r w:rsidRPr="000B3AF2">
        <w:rPr>
          <w:sz w:val="22"/>
          <w:szCs w:val="22"/>
        </w:rPr>
        <w:t xml:space="preserve">Mgr. </w:t>
      </w:r>
      <w:r>
        <w:rPr>
          <w:sz w:val="22"/>
          <w:szCs w:val="22"/>
        </w:rPr>
        <w:t xml:space="preserve">Rastislav </w:t>
      </w:r>
      <w:proofErr w:type="spellStart"/>
      <w:r>
        <w:rPr>
          <w:sz w:val="22"/>
          <w:szCs w:val="22"/>
        </w:rPr>
        <w:t>Šenkirik</w:t>
      </w:r>
      <w:proofErr w:type="spellEnd"/>
      <w:r>
        <w:rPr>
          <w:sz w:val="22"/>
          <w:szCs w:val="22"/>
        </w:rPr>
        <w:t>, vedúci oddelenia kultúry</w:t>
      </w:r>
      <w:r w:rsidRPr="000B3AF2">
        <w:rPr>
          <w:sz w:val="22"/>
          <w:szCs w:val="22"/>
        </w:rPr>
        <w:t xml:space="preserve">  </w:t>
      </w:r>
    </w:p>
    <w:p w:rsidR="008C3B03" w:rsidRPr="000B3AF2" w:rsidRDefault="008C3B03" w:rsidP="008C3B03">
      <w:pPr>
        <w:rPr>
          <w:bCs/>
          <w:sz w:val="22"/>
        </w:rPr>
      </w:pPr>
      <w:proofErr w:type="spellStart"/>
      <w:r>
        <w:rPr>
          <w:bCs/>
          <w:sz w:val="22"/>
        </w:rPr>
        <w:t>Dott</w:t>
      </w:r>
      <w:proofErr w:type="spellEnd"/>
      <w:r>
        <w:rPr>
          <w:bCs/>
          <w:sz w:val="22"/>
        </w:rPr>
        <w:t>. Michal Denci, referent oddelenia kultúry</w:t>
      </w:r>
    </w:p>
    <w:p w:rsidR="008C3B03" w:rsidRPr="000B3AF2" w:rsidRDefault="008C3B03" w:rsidP="008C3B03">
      <w:pPr>
        <w:outlineLvl w:val="0"/>
        <w:rPr>
          <w:bCs/>
        </w:rPr>
      </w:pPr>
    </w:p>
    <w:p w:rsidR="008C3B03" w:rsidRDefault="008C3B03" w:rsidP="008C3B03">
      <w:pPr>
        <w:jc w:val="both"/>
        <w:outlineLvl w:val="0"/>
        <w:rPr>
          <w:bCs/>
          <w:sz w:val="22"/>
        </w:rPr>
      </w:pPr>
    </w:p>
    <w:p w:rsidR="008C3B03" w:rsidRDefault="008C3B03" w:rsidP="008C3B03">
      <w:pPr>
        <w:jc w:val="center"/>
        <w:outlineLvl w:val="0"/>
        <w:rPr>
          <w:bCs/>
          <w:sz w:val="22"/>
        </w:rPr>
      </w:pPr>
    </w:p>
    <w:p w:rsidR="008C3B03" w:rsidRDefault="008C3B03" w:rsidP="008C3B03">
      <w:pPr>
        <w:jc w:val="center"/>
        <w:outlineLvl w:val="0"/>
        <w:rPr>
          <w:bCs/>
          <w:sz w:val="22"/>
        </w:rPr>
      </w:pPr>
    </w:p>
    <w:p w:rsidR="008C3B03" w:rsidRDefault="008C3B03" w:rsidP="008C3B03">
      <w:pPr>
        <w:jc w:val="center"/>
        <w:outlineLvl w:val="0"/>
        <w:rPr>
          <w:bCs/>
          <w:sz w:val="22"/>
        </w:rPr>
      </w:pPr>
      <w:r>
        <w:rPr>
          <w:bCs/>
          <w:sz w:val="22"/>
        </w:rPr>
        <w:t>Bratislava</w:t>
      </w:r>
    </w:p>
    <w:p w:rsidR="008C3B03" w:rsidRPr="00743BB8" w:rsidRDefault="008C3B03" w:rsidP="008C3B03">
      <w:pPr>
        <w:jc w:val="center"/>
        <w:rPr>
          <w:bCs/>
          <w:sz w:val="22"/>
        </w:rPr>
      </w:pPr>
      <w:r>
        <w:rPr>
          <w:bCs/>
          <w:sz w:val="22"/>
        </w:rPr>
        <w:t>september 2015</w:t>
      </w:r>
    </w:p>
    <w:p w:rsidR="00961A61" w:rsidRDefault="00961A61"/>
    <w:p w:rsidR="001222BD" w:rsidRDefault="001222BD"/>
    <w:p w:rsidR="001222BD" w:rsidRDefault="001222BD"/>
    <w:p w:rsidR="001222BD" w:rsidRDefault="001222BD"/>
    <w:p w:rsidR="001222BD" w:rsidRDefault="001222BD"/>
    <w:p w:rsidR="001222BD" w:rsidRDefault="001222BD"/>
    <w:p w:rsidR="001222BD" w:rsidRDefault="001222BD"/>
    <w:p w:rsidR="001222BD" w:rsidRDefault="001222BD"/>
    <w:p w:rsidR="001222BD" w:rsidRDefault="001222BD" w:rsidP="001222BD">
      <w:pPr>
        <w:jc w:val="center"/>
        <w:rPr>
          <w:b/>
          <w:sz w:val="36"/>
        </w:rPr>
      </w:pPr>
      <w:r>
        <w:lastRenderedPageBreak/>
        <w:t>N á v r h   u z n e s e n i a</w:t>
      </w:r>
    </w:p>
    <w:p w:rsidR="001222BD" w:rsidRDefault="001222BD" w:rsidP="001222BD">
      <w:pPr>
        <w:jc w:val="center"/>
      </w:pPr>
    </w:p>
    <w:p w:rsidR="001222BD" w:rsidRDefault="001222BD" w:rsidP="001222BD">
      <w:pPr>
        <w:jc w:val="center"/>
      </w:pPr>
    </w:p>
    <w:p w:rsidR="001222BD" w:rsidRDefault="001222BD" w:rsidP="001222BD">
      <w:pPr>
        <w:jc w:val="center"/>
      </w:pPr>
    </w:p>
    <w:p w:rsidR="001222BD" w:rsidRDefault="001222BD" w:rsidP="001222BD">
      <w:pPr>
        <w:jc w:val="center"/>
        <w:rPr>
          <w:b/>
        </w:rPr>
      </w:pPr>
      <w:r>
        <w:rPr>
          <w:b/>
        </w:rPr>
        <w:t>UZNESENIE č. ..... /2015</w:t>
      </w:r>
    </w:p>
    <w:p w:rsidR="001222BD" w:rsidRDefault="001222BD" w:rsidP="001222BD">
      <w:pPr>
        <w:jc w:val="center"/>
        <w:rPr>
          <w:b/>
        </w:rPr>
      </w:pPr>
      <w:r>
        <w:rPr>
          <w:b/>
        </w:rPr>
        <w:t>zo dňa 25.9.2015</w:t>
      </w: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  <w:r>
        <w:rPr>
          <w:b/>
        </w:rPr>
        <w:t>Zastupiteľstvo Bratislavského samosprávneho kraja po prerokovaní materiálu</w:t>
      </w: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Default="001222BD" w:rsidP="001222BD">
      <w:pPr>
        <w:jc w:val="center"/>
        <w:rPr>
          <w:b/>
        </w:rPr>
      </w:pPr>
    </w:p>
    <w:p w:rsidR="001222BD" w:rsidRPr="00350A42" w:rsidRDefault="001222BD" w:rsidP="001222BD">
      <w:pPr>
        <w:pStyle w:val="Odsekzoznamu"/>
        <w:numPr>
          <w:ilvl w:val="0"/>
          <w:numId w:val="1"/>
        </w:numPr>
        <w:autoSpaceDE w:val="0"/>
        <w:autoSpaceDN w:val="0"/>
        <w:jc w:val="center"/>
        <w:rPr>
          <w:rFonts w:ascii="Arial" w:hAnsi="Arial" w:cs="Arial"/>
          <w:b/>
          <w:bCs/>
        </w:rPr>
      </w:pPr>
      <w:r w:rsidRPr="00350A42">
        <w:rPr>
          <w:rFonts w:ascii="Arial" w:hAnsi="Arial" w:cs="Arial"/>
          <w:b/>
          <w:bCs/>
        </w:rPr>
        <w:t xml:space="preserve"> s p l n o m o c ň u j e</w:t>
      </w:r>
    </w:p>
    <w:p w:rsidR="001222BD" w:rsidRDefault="001222BD" w:rsidP="001222BD">
      <w:pPr>
        <w:autoSpaceDE w:val="0"/>
        <w:autoSpaceDN w:val="0"/>
        <w:jc w:val="both"/>
      </w:pPr>
    </w:p>
    <w:p w:rsidR="001222BD" w:rsidRPr="001C3481" w:rsidRDefault="001222BD" w:rsidP="001222BD">
      <w:pPr>
        <w:autoSpaceDE w:val="0"/>
        <w:autoSpaceDN w:val="0"/>
        <w:jc w:val="both"/>
      </w:pPr>
      <w:r w:rsidRPr="001C3481">
        <w:t xml:space="preserve">predsedu Bratislavského samosprávneho kraja v zmysle § 11 ods. 2. písm. d) zákona č. 302/2001 Z. z. o samospráve vyšších územných celkov (zákon o samosprávnych krajoch) v znení neskorších predpisov v súlade s § 10 </w:t>
      </w:r>
      <w:r w:rsidRPr="001C3481">
        <w:rPr>
          <w:color w:val="000000"/>
        </w:rPr>
        <w:t xml:space="preserve">a § 14 ods. 2 písm. a) </w:t>
      </w:r>
      <w:r w:rsidRPr="001C3481">
        <w:t xml:space="preserve">zákona č. 583/2004 Z. z. o rozpočtových pravidlách územnej samosprávy a o zmene a doplnení niektorých zákonov v znení neskorších predpisov robiť v priebehu rozpočtového roka presuny </w:t>
      </w:r>
      <w:r w:rsidRPr="001C3481">
        <w:rPr>
          <w:color w:val="000000"/>
        </w:rPr>
        <w:t xml:space="preserve">rozpočtovaných prostriedkov v rámci schváleného rozpočtu, pričom sa nemenia celkové príjmy a celkové výdavky, t. j. </w:t>
      </w:r>
      <w:r w:rsidRPr="001C3481">
        <w:rPr>
          <w:b/>
          <w:bCs/>
          <w:color w:val="000000"/>
        </w:rPr>
        <w:t>robiť presuny medzi bežnými a kapitálovými výdavkami</w:t>
      </w:r>
      <w:r w:rsidRPr="001C3481">
        <w:rPr>
          <w:b/>
          <w:bCs/>
        </w:rPr>
        <w:t xml:space="preserve"> v rámci podprogramu 10.1: Manažment kultúry, kultúrne podujatia a ich marketing,  </w:t>
      </w:r>
      <w:r w:rsidRPr="001C3481">
        <w:t xml:space="preserve">podľa potreby v zmysle bodu </w:t>
      </w:r>
      <w:r>
        <w:t>B</w:t>
      </w:r>
      <w:r w:rsidRPr="001C3481">
        <w:t xml:space="preserve"> </w:t>
      </w:r>
      <w:r>
        <w:t xml:space="preserve">tohto uznesenia </w:t>
      </w:r>
      <w:r w:rsidRPr="001C3481">
        <w:t xml:space="preserve">tak, aby bolo zabezpečené, že </w:t>
      </w:r>
      <w:r w:rsidRPr="00A3621D">
        <w:rPr>
          <w:b/>
        </w:rPr>
        <w:t>bežný rozpočet bude vyrovnaný alebo prebytkový</w:t>
      </w:r>
      <w:r w:rsidRPr="001C3481">
        <w:t xml:space="preserve"> </w:t>
      </w:r>
    </w:p>
    <w:p w:rsidR="001222BD" w:rsidRDefault="001222BD" w:rsidP="001222BD">
      <w:pPr>
        <w:jc w:val="center"/>
        <w:rPr>
          <w:b/>
        </w:rPr>
      </w:pPr>
    </w:p>
    <w:p w:rsidR="001222BD" w:rsidRPr="00350A42" w:rsidRDefault="001222BD" w:rsidP="001222BD">
      <w:pPr>
        <w:suppressAutoHyphens/>
        <w:ind w:left="360"/>
        <w:jc w:val="center"/>
        <w:rPr>
          <w:b/>
        </w:rPr>
      </w:pPr>
      <w:r w:rsidRPr="00350A42">
        <w:rPr>
          <w:b/>
        </w:rPr>
        <w:t xml:space="preserve">B. </w:t>
      </w:r>
      <w:r>
        <w:rPr>
          <w:b/>
        </w:rPr>
        <w:t xml:space="preserve"> </w:t>
      </w:r>
      <w:r w:rsidRPr="00350A42">
        <w:rPr>
          <w:b/>
        </w:rPr>
        <w:t>s c h v a ľ u j e</w:t>
      </w:r>
    </w:p>
    <w:p w:rsidR="001222BD" w:rsidRDefault="001222BD" w:rsidP="001222BD">
      <w:pPr>
        <w:suppressAutoHyphens/>
        <w:jc w:val="center"/>
        <w:rPr>
          <w:b/>
        </w:rPr>
      </w:pPr>
    </w:p>
    <w:p w:rsidR="001222BD" w:rsidRPr="000C7C81" w:rsidRDefault="001222BD" w:rsidP="001222BD">
      <w:pPr>
        <w:suppressAutoHyphens/>
        <w:jc w:val="center"/>
        <w:rPr>
          <w:b/>
        </w:rPr>
      </w:pPr>
    </w:p>
    <w:p w:rsidR="001222BD" w:rsidRDefault="001222BD" w:rsidP="001222BD">
      <w:pPr>
        <w:jc w:val="center"/>
      </w:pPr>
    </w:p>
    <w:p w:rsidR="001222BD" w:rsidRPr="00350A42" w:rsidRDefault="001222BD" w:rsidP="001222BD">
      <w:pPr>
        <w:jc w:val="both"/>
      </w:pPr>
      <w:r w:rsidRPr="0052491D">
        <w:rPr>
          <w:b/>
        </w:rPr>
        <w:t>B.1</w:t>
      </w:r>
      <w:r>
        <w:t xml:space="preserve"> </w:t>
      </w:r>
      <w:r w:rsidRPr="00350A42">
        <w:t xml:space="preserve">v súlade s § 4 ods. 3 Všeobecne záväzného nariadenia Bratislavského samosprávneho kraja č. 6/2012 o poskytovaní dotácií z rozpočtu Bratislavského samosprávneho kraja </w:t>
      </w:r>
      <w:r w:rsidRPr="00350A42">
        <w:rPr>
          <w:b/>
        </w:rPr>
        <w:t xml:space="preserve">výnimku zo stanoveného termínu na predkladanie žiadostí o poskytnutie dotácií </w:t>
      </w:r>
      <w:r w:rsidRPr="00350A42">
        <w:t xml:space="preserve">a </w:t>
      </w:r>
    </w:p>
    <w:p w:rsidR="001222BD" w:rsidRDefault="001222BD" w:rsidP="001222BD">
      <w:pPr>
        <w:jc w:val="both"/>
      </w:pPr>
    </w:p>
    <w:p w:rsidR="001222BD" w:rsidRDefault="001222BD" w:rsidP="001222BD">
      <w:pPr>
        <w:jc w:val="both"/>
      </w:pPr>
    </w:p>
    <w:p w:rsidR="001222BD" w:rsidRPr="001C3481" w:rsidRDefault="001222BD" w:rsidP="001222BD">
      <w:pPr>
        <w:jc w:val="both"/>
      </w:pPr>
    </w:p>
    <w:p w:rsidR="0008044B" w:rsidRDefault="001222BD" w:rsidP="001222BD">
      <w:pPr>
        <w:jc w:val="both"/>
        <w:rPr>
          <w:b/>
        </w:rPr>
      </w:pPr>
      <w:r w:rsidRPr="0052491D">
        <w:rPr>
          <w:b/>
        </w:rPr>
        <w:t>B.2</w:t>
      </w:r>
      <w:r>
        <w:t xml:space="preserve"> </w:t>
      </w:r>
      <w:r w:rsidRPr="0052491D">
        <w:t xml:space="preserve">v súlade § 5. ods. 5 Všeobecne záväzného nariadenia Bratislavského samosprávneho kraja č. 6/2012 o poskytovaní dotácií z rozpočtu Bratislavského samosprávneho kraja </w:t>
      </w:r>
      <w:r w:rsidRPr="0052491D">
        <w:rPr>
          <w:b/>
        </w:rPr>
        <w:t>dotácie na bežné výdavky a kapitálové výdavky v celkovej výške 277.900.- EUR z rozpočtového podprogramu 10.1 (manažment kultúry, kultúrne podujatia a ich marketing) v zmysle odporúčania osobitnej komisie na posudzovanie dotácií takto:</w:t>
      </w:r>
    </w:p>
    <w:p w:rsidR="0008044B" w:rsidRDefault="0008044B" w:rsidP="001222BD">
      <w:pPr>
        <w:jc w:val="both"/>
        <w:rPr>
          <w:b/>
        </w:rPr>
        <w:sectPr w:rsidR="000804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222BD" w:rsidRDefault="001222BD" w:rsidP="001222BD">
      <w:pPr>
        <w:jc w:val="both"/>
        <w:rPr>
          <w:b/>
        </w:rPr>
      </w:pPr>
    </w:p>
    <w:p w:rsidR="0008044B" w:rsidRDefault="0008044B" w:rsidP="001222BD">
      <w:pPr>
        <w:jc w:val="both"/>
        <w:rPr>
          <w:b/>
        </w:rPr>
      </w:pPr>
    </w:p>
    <w:tbl>
      <w:tblPr>
        <w:tblW w:w="12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4"/>
        <w:gridCol w:w="1927"/>
        <w:gridCol w:w="2396"/>
        <w:gridCol w:w="2377"/>
        <w:gridCol w:w="1446"/>
        <w:gridCol w:w="1930"/>
      </w:tblGrid>
      <w:tr w:rsidR="0008044B" w:rsidRPr="0008044B" w:rsidTr="0008044B">
        <w:trPr>
          <w:trHeight w:val="615"/>
        </w:trPr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žiadosť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žiadateľ</w:t>
            </w:r>
          </w:p>
        </w:tc>
        <w:tc>
          <w:tcPr>
            <w:tcW w:w="2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názov</w:t>
            </w:r>
          </w:p>
        </w:tc>
        <w:tc>
          <w:tcPr>
            <w:tcW w:w="2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účel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žiadané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navrhovaná podpora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I. Ochrana kultúrneho dedičstva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I.1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 xml:space="preserve">Albrecht </w:t>
            </w:r>
            <w:proofErr w:type="spellStart"/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Forum</w:t>
            </w:r>
            <w:proofErr w:type="spellEnd"/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, o. z.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 xml:space="preserve">Reštaurovanie nástenných malieb v dome </w:t>
            </w:r>
            <w:proofErr w:type="spellStart"/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Albrechtovcov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reštaurovanie fresiek v nár. kul. pamiatke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16 396,00 €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15 000,00 €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I.9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Modra (mesto)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Modrá z vtáčej perspektívy - sprístupnenie mestskej veže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obnova a rekonštrukcia pamiatky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8 800,00 €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I.13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Slovenská výtvarná únia,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Rekonštrukcia umeleckej besedy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reštaurovanie historických dverí a okien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17 000,00 €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I.14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1D5EE6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Neinvestičný fond židovs</w:t>
            </w:r>
            <w:r w:rsidR="0008044B"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kého kultúrneho dedičstva - </w:t>
            </w:r>
            <w:proofErr w:type="spellStart"/>
            <w:r w:rsidR="0008044B"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Menorah</w:t>
            </w:r>
            <w:proofErr w:type="spellEnd"/>
            <w:r w:rsidR="0008044B"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neinvestičný fond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Webová prezentácia židovských cintorínov v Bratislave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vytvorenie obsahu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webstránky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a jej prevádzka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4 450,00 €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32 000,00 €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II. Podpora ľudovej a neprofesionálnej kultúry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II.11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Bratislava - Jarovce (MČ)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2. festival Podunajskej kultúry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folklórneho festivalu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2 900,00 €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II.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2 900,00 €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III. Podpora pamäťových aktivít a činností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III.1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Bratislavské rožky, o. z.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Bratislavské rožky - história na zjedenie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vytvorenie a prevádzka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webstránky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9 000,00 €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lastRenderedPageBreak/>
              <w:t>III.4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Mestský ústav ochrany pamiatok, príspevková organizácia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Kelti z Bratislavy - recipročná výstava pri príležitosti predsedníctva SR v Rade EÚ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príprava exponátov (reštaurovanie 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facsimile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III.12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Skupina historickéh</w:t>
            </w:r>
            <w:r w:rsidR="001D5EE6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</w:t>
            </w: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šermu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Banderium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 xml:space="preserve">Bratislava 1619 - </w:t>
            </w:r>
            <w:proofErr w:type="spellStart"/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historicko</w:t>
            </w:r>
            <w:proofErr w:type="spellEnd"/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 xml:space="preserve"> - kultúrny festival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kultúrny festival: rekonštrukcia a prezentácia historických udalostí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III.21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Local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Act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Dizajn každodennosti? Pamäť štvrte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Schanze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zmapovanie historickej pamäte miest</w:t>
            </w:r>
            <w:r w:rsidR="001D5EE6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s pomocou umeleckých prostriedk</w:t>
            </w: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ov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9 880,00 €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III.28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Stupava (mesto)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Mestská knižnica Ruda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Morica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v Stupave a informačné centrum pre dolné Záhorie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premiestnenie sídla (stavebné úpravy) a modernizácia knižnice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III.31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Dokumentačné stredisko holokaustu,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Kvalitné a dostupné informácie pre vzdelanie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inovácia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webstránky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sprístupnenie archívov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online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3 719,00 €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3 500,00 €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III.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20 500,00 €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IV. Podpora divadla a tanca</w:t>
            </w:r>
          </w:p>
        </w:tc>
      </w:tr>
      <w:tr w:rsidR="0008044B" w:rsidRPr="0008044B" w:rsidTr="0008044B">
        <w:trPr>
          <w:trHeight w:val="876"/>
        </w:trPr>
        <w:tc>
          <w:tcPr>
            <w:tcW w:w="2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IV.3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Asociácia súčasného tanca,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NU DANCE FEST - 10. ročník medzinárodného festivalu súčasného tanca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tanečného festivalu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S.T.O.K.A.,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Divadlo Stoka 2015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repertoárových predstavení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17 500,00 €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13 500,00 €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Debris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Company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Reprízovanie repertoáru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Debris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Company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v SR a reprezentácia v zahraničí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repertoárových predstavení v SR a v zahraničí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16 440,00 €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13 000,00 €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lastRenderedPageBreak/>
              <w:t>IV.7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Pre súčasnú operu,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5. ročník Festivalu autorského divadla "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Pro-Téza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"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divadelného festivalu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9 500,00 €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6 000,00 €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Pre súčasnú operu,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Vznik predstavenia divadla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SkRAT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- prac. názov "Extrakty a náhrady"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divadelnej inscenácie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12 500,00 €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6 000,00 €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IV.16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A4 - Asociácia združení pre súčasnú kultúru,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A4 - priestor súčasnej kultúry: jeseň 2015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prevádzkové náklady multikultúrneho centra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17 000,00 €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IV.18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TICHO a spol.,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Prevádzka divadla TICHO a spol. v druhom polroku 2015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prevádzkové náklady divadla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6 153,00 €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IV.21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Dream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art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štúdio,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Biele divadlo - zvýšenie kvality a realizácia predstavenia Kým kohút nezaspieva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vytvorenie skúšobne a realizácia predstavenia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14 570,00 €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Katarína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Aulitisová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(SZČO)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Príbehy z konca predmestia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vytvorenie divadelného predstavenia a vytvorenie mobilnej scény (divadelný stan)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IV.39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Haasart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Naštudovanie a realizácia fyzického divadla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Peace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predstavenia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IV.40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Mladý pes, nezisková organizácia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O čom snívam keď snívam o tom, že sa ako chrobák mením na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Kafku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predstavenia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3 550,00 €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IV.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81 500,00 €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V. Podpora audiovizuálneho umenia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lastRenderedPageBreak/>
              <w:t>V.2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Partners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Production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s.r.o.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Medzinárodný filmový festival Bratislava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filmového festivalu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15 000,00 €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V.5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Karlova Ves (MČ)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Obnovenie tradície filmového klubu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Kamel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technické vybavenie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8 705,00 €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V.9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Anča, nezisková organizácia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Kino Fest Anča: Entity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festivalu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7 110,00 €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31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V.12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Punkchart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films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Erik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filmu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16 000,00 €</w:t>
            </w:r>
          </w:p>
        </w:tc>
      </w:tr>
      <w:tr w:rsidR="0008044B" w:rsidRPr="0008044B" w:rsidTr="0008044B">
        <w:trPr>
          <w:trHeight w:val="31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V.13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plutoon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Srdce Veže (vývoj)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filmu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12 200,00 €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6 000,00 €</w:t>
            </w:r>
          </w:p>
        </w:tc>
      </w:tr>
      <w:tr w:rsidR="0008044B" w:rsidRPr="0008044B" w:rsidTr="0008044B">
        <w:trPr>
          <w:trHeight w:val="31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V.19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plackartnyj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39 týždňov, 6 dní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finalizácia filmu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8 200,00 €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8 000,00 €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V.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 w:val="22"/>
                <w:szCs w:val="22"/>
                <w:lang w:eastAsia="sk-SK"/>
              </w:rPr>
              <w:t>53 000,00 €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VI. Podpora literatúry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VI.4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An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Occasional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Worker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/ Príležitostný robotník,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Pracovná pamäť - publikácia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vydanie publikácie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5 100,00 €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VI.10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ars_litera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Živý bič: Živá literatúra útočí na čítanky!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organizovanie vzdelávacích aktivít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VI.17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Galéria mesta Bratislavy, príspevková organizácia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Korunovácie v Bratislave - vydanie reprezentatívnej dvojjazyčnej publikácie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vydanie publikácie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VI.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17 000,00 €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VII. Podpora výtvarného umenia</w:t>
            </w:r>
          </w:p>
        </w:tc>
      </w:tr>
      <w:tr w:rsidR="0008044B" w:rsidRPr="0008044B" w:rsidTr="0008044B">
        <w:trPr>
          <w:trHeight w:val="1152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VII.7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Galéria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Nedbalka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nezisková organizácia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Vydavateľská činnosť Galérie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Nedbalka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vydávanie monografických dvojjazyčných publikácií o autoroch vystavených v galérii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8 000,00 €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1350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lastRenderedPageBreak/>
              <w:t>VII.10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1D5EE6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Vysoká škola výt</w:t>
            </w:r>
            <w:r w:rsidR="0008044B"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varných umení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Verejný priestor Obchodná ulica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prezentácia študentských výtvarných projektov o súčasnej Obchodnej ulici priamo vo verejnom priestore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5 930,00 €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VII.18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FOTOFO,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25. ročník Mesiaca fotografie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výstavy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4 000,00 €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VII.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12 000,00 €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VIII. Podpora hudobného umenia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VIII.2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AMITY,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World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music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Slovakia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realizácia hudobných podujatí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7 000,00 €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Atrakt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Art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, združenie pre aktuálne umenie a kultúru,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Medzinárodný festival súčasnej hudby NEXT 2015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hudobného festivalu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19 500,00 €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Pendant,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Waves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Bratislava 2015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hudobného festivalu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19 930,00 €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VIII.12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Music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Gallery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One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day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jazz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festival 2015 - jeseň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hudobného festivalu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20 000,00 €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VIII.23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ARTE,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Bratislavská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tančiareň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príprava a realizácia swingového večera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10 000,00 €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6 000,00 €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VIII.32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ALLEPH, s.r.o.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Vienna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1728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vydanie CD, príprava a realizácia koncertu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7 500,00 €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5 000,00 €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VIII.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41 000,00 €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21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IX. Podpora medziodborových umeleckých aktivít</w:t>
            </w:r>
          </w:p>
        </w:tc>
      </w:tr>
      <w:tr w:rsidR="0008044B" w:rsidRPr="0008044B" w:rsidTr="0008044B">
        <w:trPr>
          <w:trHeight w:val="86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IX.3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Furia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Film s.r.o.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Festival svetla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príprava a realizácia multikultúrneho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multižánrového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 podujatia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10 500,00 €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3 000,00 €</w:t>
            </w:r>
          </w:p>
        </w:tc>
      </w:tr>
      <w:tr w:rsidR="0008044B" w:rsidRPr="0008044B" w:rsidTr="0008044B">
        <w:trPr>
          <w:trHeight w:val="576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lastRenderedPageBreak/>
              <w:t>IX.19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 xml:space="preserve">Projekt Fórum, </w:t>
            </w:r>
            <w:proofErr w:type="spellStart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o.z</w:t>
            </w:r>
            <w:proofErr w:type="spellEnd"/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St</w:t>
            </w:r>
            <w:r w:rsidR="001D5EE6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r</w:t>
            </w: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edoeurópske fórum 2015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color w:val="000000"/>
                <w:sz w:val="22"/>
                <w:szCs w:val="22"/>
                <w:lang w:eastAsia="sk-SK"/>
              </w:rPr>
              <w:t>kultúrne podujatia - film, divadlo a iné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18 890,00 €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 w:val="22"/>
                <w:szCs w:val="22"/>
                <w:lang w:eastAsia="sk-SK"/>
              </w:rPr>
            </w:pPr>
            <w:r w:rsidRPr="0008044B">
              <w:rPr>
                <w:rFonts w:ascii="Calibri" w:hAnsi="Calibri" w:cs="Times New Roman"/>
                <w:sz w:val="22"/>
                <w:szCs w:val="22"/>
                <w:lang w:eastAsia="sk-SK"/>
              </w:rPr>
              <w:t>15 000,00 €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2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Spolu pre oblasť IX.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szCs w:val="24"/>
                <w:lang w:eastAsia="sk-SK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szCs w:val="24"/>
                <w:lang w:eastAsia="sk-SK"/>
              </w:rPr>
              <w:t>18 000,00 €</w:t>
            </w:r>
          </w:p>
        </w:tc>
      </w:tr>
      <w:tr w:rsidR="0008044B" w:rsidRPr="0008044B" w:rsidTr="0008044B">
        <w:trPr>
          <w:trHeight w:val="324"/>
        </w:trPr>
        <w:tc>
          <w:tcPr>
            <w:tcW w:w="102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08044B" w:rsidRPr="0008044B" w:rsidRDefault="0008044B" w:rsidP="0008044B">
            <w:pPr>
              <w:rPr>
                <w:rFonts w:ascii="Calibri" w:hAnsi="Calibri" w:cs="Times New Roman"/>
                <w:b/>
                <w:bCs/>
                <w:color w:val="000000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color w:val="000000"/>
                <w:szCs w:val="24"/>
                <w:lang w:eastAsia="sk-SK"/>
              </w:rPr>
              <w:t>SPOLU PRE VŠETKY OBLASTI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8044B" w:rsidRPr="0008044B" w:rsidRDefault="0008044B" w:rsidP="0008044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Cs w:val="24"/>
                <w:lang w:eastAsia="sk-SK"/>
              </w:rPr>
            </w:pPr>
            <w:r w:rsidRPr="0008044B">
              <w:rPr>
                <w:rFonts w:ascii="Calibri" w:hAnsi="Calibri" w:cs="Times New Roman"/>
                <w:b/>
                <w:bCs/>
                <w:color w:val="000000"/>
                <w:szCs w:val="24"/>
                <w:lang w:eastAsia="sk-SK"/>
              </w:rPr>
              <w:t>277 900,00 €</w:t>
            </w:r>
          </w:p>
        </w:tc>
      </w:tr>
    </w:tbl>
    <w:p w:rsidR="0008044B" w:rsidRDefault="0008044B">
      <w:pPr>
        <w:spacing w:after="200" w:line="276" w:lineRule="auto"/>
        <w:rPr>
          <w:b/>
        </w:rPr>
        <w:sectPr w:rsidR="0008044B" w:rsidSect="0008044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:rsidR="008F75AF" w:rsidRDefault="008F75AF" w:rsidP="0008044B">
      <w:pPr>
        <w:jc w:val="center"/>
        <w:rPr>
          <w:b/>
        </w:rPr>
      </w:pPr>
      <w:r>
        <w:rPr>
          <w:b/>
        </w:rPr>
        <w:lastRenderedPageBreak/>
        <w:t>D ô v o d o v á    s p r á v a</w:t>
      </w:r>
    </w:p>
    <w:p w:rsidR="008F75AF" w:rsidRDefault="008F75AF" w:rsidP="008F75AF">
      <w:pPr>
        <w:ind w:left="2124" w:firstLine="708"/>
        <w:rPr>
          <w:b/>
        </w:rPr>
      </w:pPr>
    </w:p>
    <w:p w:rsidR="008F75AF" w:rsidRDefault="008F75AF" w:rsidP="008F75AF">
      <w:pPr>
        <w:rPr>
          <w:b/>
        </w:rPr>
      </w:pP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Zastupiteľstvo Bratislavského samosprávneho kraja </w:t>
      </w:r>
      <w:r>
        <w:rPr>
          <w:b/>
          <w:sz w:val="22"/>
          <w:szCs w:val="22"/>
        </w:rPr>
        <w:t>uznesením č. 46/2015</w:t>
      </w:r>
      <w:r>
        <w:rPr>
          <w:sz w:val="22"/>
          <w:szCs w:val="22"/>
        </w:rPr>
        <w:t xml:space="preserve"> schválilo na svojom zasadnutí 26.6.2015 </w:t>
      </w:r>
      <w:r>
        <w:rPr>
          <w:b/>
          <w:sz w:val="22"/>
          <w:szCs w:val="22"/>
        </w:rPr>
        <w:t>Stratégiu rozvoja kultúry v Bratislavskom samosprávnom kraji na roky 2015 – 2020</w:t>
      </w:r>
      <w:r>
        <w:rPr>
          <w:sz w:val="22"/>
          <w:szCs w:val="22"/>
        </w:rPr>
        <w:t xml:space="preserve">. Súčasťou stratégie je vytvorenie otvoreného a efektívneho systému financovania kultúry a umenia (časť III.4.1) prostredníctvom </w:t>
      </w:r>
      <w:r>
        <w:rPr>
          <w:b/>
          <w:sz w:val="22"/>
          <w:szCs w:val="22"/>
        </w:rPr>
        <w:t>Bratislavskej regionálnej dotačnej schémy na podporu kultúry</w:t>
      </w:r>
      <w:r>
        <w:rPr>
          <w:sz w:val="22"/>
          <w:szCs w:val="22"/>
        </w:rPr>
        <w:t xml:space="preserve">. </w:t>
      </w: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Zároveň zastupiteľstvo BSK v časti C citovaného uznesenia formou  úpravy (navýšenia) rozpočtového podprogramu 10.1 (Manažment kultúry, kultúrne podujatia a ich marketing) vyčlenilo na rok 2015 bežné finančné prostriedky v sume 400.000.- EUR na zabezpečenie dotačnej schémy BSK, určenej na podporu kultúry v zmysle Stratégie rozvoja kultúry v Bratislavskom samosprávnom kraji na roky 2015 – 2020.</w:t>
      </w:r>
    </w:p>
    <w:p w:rsidR="008F75AF" w:rsidRDefault="008F75AF" w:rsidP="008F75AF">
      <w:pPr>
        <w:ind w:firstLine="708"/>
        <w:jc w:val="both"/>
        <w:rPr>
          <w:sz w:val="22"/>
          <w:szCs w:val="22"/>
        </w:rPr>
      </w:pP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súlade s uvedeným uznesením Zastupiteľstva BSK, schválenou Stratégiou rozvoja kultúry v BSK na roky 2015 – 2020 a všeobecne záväzným nariadením BSK č. 6/2012 vyhlásil Úrad BSK dňa 15.7.2015 </w:t>
      </w:r>
      <w:r>
        <w:rPr>
          <w:b/>
          <w:sz w:val="22"/>
          <w:szCs w:val="22"/>
        </w:rPr>
        <w:t>Výzvu na predkladanie žiadostí o poskytnutie dotácií z Bratislavskej regionálnej dotačnej schémy na podporu kultúry</w:t>
      </w:r>
      <w:r>
        <w:rPr>
          <w:sz w:val="22"/>
          <w:szCs w:val="22"/>
        </w:rPr>
        <w:t xml:space="preserve"> s termínom na predkladanie žiadostí do 7.8.2015. V stanovenom termíne predložili </w:t>
      </w:r>
      <w:r w:rsidRPr="00206BB1">
        <w:rPr>
          <w:sz w:val="22"/>
          <w:szCs w:val="22"/>
        </w:rPr>
        <w:t xml:space="preserve">žiadatelia </w:t>
      </w:r>
      <w:r w:rsidRPr="00206BB1">
        <w:rPr>
          <w:b/>
          <w:sz w:val="22"/>
          <w:szCs w:val="22"/>
        </w:rPr>
        <w:t xml:space="preserve">234 </w:t>
      </w:r>
      <w:r>
        <w:rPr>
          <w:b/>
          <w:sz w:val="22"/>
          <w:szCs w:val="22"/>
        </w:rPr>
        <w:t>žiadostí</w:t>
      </w:r>
      <w:r>
        <w:rPr>
          <w:sz w:val="22"/>
          <w:szCs w:val="22"/>
        </w:rPr>
        <w:t xml:space="preserve">, ktoré spĺňali požadované náležitosti v úhrnnej požadovanej sume </w:t>
      </w:r>
      <w:r w:rsidRPr="00206BB1">
        <w:rPr>
          <w:b/>
          <w:sz w:val="22"/>
          <w:szCs w:val="22"/>
        </w:rPr>
        <w:t xml:space="preserve">1.852.721,48 </w:t>
      </w:r>
      <w:r>
        <w:rPr>
          <w:b/>
          <w:sz w:val="22"/>
          <w:szCs w:val="22"/>
        </w:rPr>
        <w:t>EUR</w:t>
      </w:r>
      <w:r w:rsidR="001D5EE6">
        <w:rPr>
          <w:sz w:val="22"/>
          <w:szCs w:val="22"/>
        </w:rPr>
        <w:t>.</w:t>
      </w:r>
    </w:p>
    <w:p w:rsidR="001D5EE6" w:rsidRDefault="001D5EE6" w:rsidP="008F75AF">
      <w:pPr>
        <w:ind w:firstLine="708"/>
        <w:jc w:val="both"/>
        <w:rPr>
          <w:sz w:val="22"/>
          <w:szCs w:val="22"/>
        </w:rPr>
      </w:pP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kontrole vecných a formálnych náležitostí posúdili žiadosti </w:t>
      </w:r>
      <w:r>
        <w:rPr>
          <w:b/>
          <w:sz w:val="22"/>
          <w:szCs w:val="22"/>
        </w:rPr>
        <w:t>nezávislí hodnotitelia</w:t>
      </w:r>
      <w:r>
        <w:rPr>
          <w:sz w:val="22"/>
          <w:szCs w:val="22"/>
        </w:rPr>
        <w:t xml:space="preserve"> a členovia </w:t>
      </w:r>
      <w:r>
        <w:rPr>
          <w:b/>
          <w:sz w:val="22"/>
          <w:szCs w:val="22"/>
        </w:rPr>
        <w:t>Rady Bratislavského samosprávneho kraja pre kultúru a umenie</w:t>
      </w:r>
      <w:r>
        <w:rPr>
          <w:sz w:val="22"/>
          <w:szCs w:val="22"/>
        </w:rPr>
        <w:t>, menovaní predsedom BSK v deviatich oblastiach kultúry: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ochrany a prezentácie kultúrneho dedičstva (Prof. Dr. Ing. arch. Henrieta Moravčíková, Katedra architektúry STU)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ľudovej a neprofesionálnej kultúry (Prof. PhDr. Zuzana </w:t>
      </w:r>
      <w:proofErr w:type="spellStart"/>
      <w:r>
        <w:rPr>
          <w:rFonts w:ascii="Arial" w:hAnsi="Arial" w:cs="Arial"/>
          <w:sz w:val="22"/>
          <w:szCs w:val="22"/>
        </w:rPr>
        <w:t>Beňušková</w:t>
      </w:r>
      <w:proofErr w:type="spellEnd"/>
      <w:r>
        <w:rPr>
          <w:rFonts w:ascii="Arial" w:hAnsi="Arial" w:cs="Arial"/>
          <w:sz w:val="22"/>
          <w:szCs w:val="22"/>
        </w:rPr>
        <w:t>, CSc., Etnologický ústav SAV)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pamäťových aktivít a činností (Dr. </w:t>
      </w:r>
      <w:proofErr w:type="spellStart"/>
      <w:r>
        <w:rPr>
          <w:rFonts w:ascii="Arial" w:hAnsi="Arial" w:cs="Arial"/>
          <w:sz w:val="22"/>
          <w:szCs w:val="22"/>
        </w:rPr>
        <w:t>phil</w:t>
      </w:r>
      <w:proofErr w:type="spellEnd"/>
      <w:r>
        <w:rPr>
          <w:rFonts w:ascii="Arial" w:hAnsi="Arial" w:cs="Arial"/>
          <w:sz w:val="22"/>
          <w:szCs w:val="22"/>
        </w:rPr>
        <w:t xml:space="preserve">. Maroš Borský, Židovské </w:t>
      </w:r>
      <w:proofErr w:type="spellStart"/>
      <w:r>
        <w:rPr>
          <w:rFonts w:ascii="Arial" w:hAnsi="Arial" w:cs="Arial"/>
          <w:sz w:val="22"/>
          <w:szCs w:val="22"/>
        </w:rPr>
        <w:t>komunitné</w:t>
      </w:r>
      <w:proofErr w:type="spellEnd"/>
      <w:r>
        <w:rPr>
          <w:rFonts w:ascii="Arial" w:hAnsi="Arial" w:cs="Arial"/>
          <w:sz w:val="22"/>
          <w:szCs w:val="22"/>
        </w:rPr>
        <w:t xml:space="preserve"> múzeum)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divadla a tanca (Rastislav </w:t>
      </w:r>
      <w:proofErr w:type="spellStart"/>
      <w:r>
        <w:rPr>
          <w:rFonts w:ascii="Arial" w:hAnsi="Arial" w:cs="Arial"/>
          <w:sz w:val="22"/>
          <w:szCs w:val="22"/>
        </w:rPr>
        <w:t>Ballek</w:t>
      </w:r>
      <w:proofErr w:type="spellEnd"/>
      <w:r>
        <w:rPr>
          <w:rFonts w:ascii="Arial" w:hAnsi="Arial" w:cs="Arial"/>
          <w:sz w:val="22"/>
          <w:szCs w:val="22"/>
        </w:rPr>
        <w:t>, divadelný režisér)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audiovizuálneho umenia Peter </w:t>
      </w:r>
      <w:proofErr w:type="spellStart"/>
      <w:r>
        <w:rPr>
          <w:rFonts w:ascii="Arial" w:hAnsi="Arial" w:cs="Arial"/>
          <w:sz w:val="22"/>
          <w:szCs w:val="22"/>
        </w:rPr>
        <w:t>Kerekes</w:t>
      </w:r>
      <w:proofErr w:type="spellEnd"/>
      <w:r>
        <w:rPr>
          <w:rFonts w:ascii="Arial" w:hAnsi="Arial" w:cs="Arial"/>
          <w:sz w:val="22"/>
          <w:szCs w:val="22"/>
        </w:rPr>
        <w:t xml:space="preserve"> (filmový režisér, dokumentarista)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literatúry (Michal </w:t>
      </w:r>
      <w:proofErr w:type="spellStart"/>
      <w:r>
        <w:rPr>
          <w:rFonts w:ascii="Arial" w:hAnsi="Arial" w:cs="Arial"/>
          <w:sz w:val="22"/>
          <w:szCs w:val="22"/>
        </w:rPr>
        <w:t>Hvorecký</w:t>
      </w:r>
      <w:proofErr w:type="spellEnd"/>
      <w:r>
        <w:rPr>
          <w:rFonts w:ascii="Arial" w:hAnsi="Arial" w:cs="Arial"/>
          <w:sz w:val="22"/>
          <w:szCs w:val="22"/>
        </w:rPr>
        <w:t>, spisovateľ, publicista)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výtvarného umenia Mgr. Lucia Gregorová </w:t>
      </w:r>
      <w:proofErr w:type="spellStart"/>
      <w:r>
        <w:rPr>
          <w:rFonts w:ascii="Arial" w:hAnsi="Arial" w:cs="Arial"/>
          <w:sz w:val="22"/>
          <w:szCs w:val="22"/>
        </w:rPr>
        <w:t>Stach</w:t>
      </w:r>
      <w:proofErr w:type="spellEnd"/>
      <w:r>
        <w:rPr>
          <w:rFonts w:ascii="Arial" w:hAnsi="Arial" w:cs="Arial"/>
          <w:sz w:val="22"/>
          <w:szCs w:val="22"/>
        </w:rPr>
        <w:t>, PhD., teoretička a historička umenia SNG)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hudobného umenia ( Mgr. </w:t>
      </w:r>
      <w:proofErr w:type="spellStart"/>
      <w:r>
        <w:rPr>
          <w:rFonts w:ascii="Arial" w:hAnsi="Arial" w:cs="Arial"/>
          <w:sz w:val="22"/>
          <w:szCs w:val="22"/>
        </w:rPr>
        <w:t>Adrian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Rajter</w:t>
      </w:r>
      <w:proofErr w:type="spellEnd"/>
      <w:r>
        <w:rPr>
          <w:rFonts w:ascii="Arial" w:hAnsi="Arial" w:cs="Arial"/>
          <w:sz w:val="22"/>
          <w:szCs w:val="22"/>
        </w:rPr>
        <w:t>, muzikológ)</w:t>
      </w:r>
    </w:p>
    <w:p w:rsidR="008F75AF" w:rsidRDefault="008F75AF" w:rsidP="008F75AF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Podpora medziodborových umeleckých aktivít (Mgr. Fedor </w:t>
      </w:r>
      <w:proofErr w:type="spellStart"/>
      <w:r>
        <w:rPr>
          <w:rFonts w:ascii="Arial" w:hAnsi="Arial" w:cs="Arial"/>
          <w:sz w:val="22"/>
          <w:szCs w:val="22"/>
        </w:rPr>
        <w:t>Blaščák</w:t>
      </w:r>
      <w:proofErr w:type="spellEnd"/>
      <w:r>
        <w:rPr>
          <w:rFonts w:ascii="Arial" w:hAnsi="Arial" w:cs="Arial"/>
          <w:sz w:val="22"/>
          <w:szCs w:val="22"/>
        </w:rPr>
        <w:t>, PhD.,  Filozofická fakulta UK).</w:t>
      </w:r>
    </w:p>
    <w:p w:rsidR="008F75AF" w:rsidRDefault="008F75AF" w:rsidP="008F75AF">
      <w:pPr>
        <w:jc w:val="both"/>
        <w:rPr>
          <w:sz w:val="22"/>
          <w:szCs w:val="22"/>
        </w:rPr>
      </w:pP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Rada Bratislavského samosprávneho kraja pre kultúru a umenie dňa 20.8.2015 odporučila poskytnúť dotácie v plnej výške disponibilných finančných zdrojov, t. j. v sume 400.000.- EUR (zápis z rokovania Rady je </w:t>
      </w:r>
      <w:r w:rsidRPr="00206BB1">
        <w:rPr>
          <w:sz w:val="22"/>
          <w:szCs w:val="22"/>
        </w:rPr>
        <w:t>v prílohe č. 1</w:t>
      </w:r>
      <w:r>
        <w:rPr>
          <w:sz w:val="22"/>
          <w:szCs w:val="22"/>
        </w:rPr>
        <w:t xml:space="preserve">). </w:t>
      </w:r>
    </w:p>
    <w:p w:rsidR="008F75AF" w:rsidRDefault="008F75AF" w:rsidP="008F75AF">
      <w:pPr>
        <w:jc w:val="both"/>
        <w:rPr>
          <w:sz w:val="22"/>
          <w:szCs w:val="22"/>
        </w:rPr>
      </w:pPr>
    </w:p>
    <w:p w:rsidR="008F75AF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Dotácie s navrhovanou výškou do 2.500.- EUR vrátane (tzv. malé dotácie) v úhrnnej sume 122.100.- EUR v súlade s § 5 ods. 4 VZN č. 6/2012 predkladá odbor cestovného ruchu a kultúry na schválenie predsedovi BSK.</w:t>
      </w:r>
    </w:p>
    <w:p w:rsidR="008F75AF" w:rsidRPr="00206BB1" w:rsidRDefault="008F75AF" w:rsidP="008F75A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súlade § 5 ods. 5 VZN č. 6/2012 </w:t>
      </w:r>
      <w:r w:rsidRPr="00206BB1">
        <w:rPr>
          <w:sz w:val="22"/>
          <w:szCs w:val="22"/>
        </w:rPr>
        <w:t>návrh na poskytnutie dotácií prevyšujúcich sumu  2.500.- EUR (</w:t>
      </w:r>
      <w:r w:rsidRPr="005E56BD">
        <w:rPr>
          <w:b/>
          <w:sz w:val="22"/>
          <w:szCs w:val="22"/>
        </w:rPr>
        <w:t>tzv. veľké dotácie</w:t>
      </w:r>
      <w:r w:rsidRPr="00206BB1">
        <w:rPr>
          <w:sz w:val="22"/>
          <w:szCs w:val="22"/>
        </w:rPr>
        <w:t>) v úhrnnej sume 296.900.- EUR predložil Odbor cestovného ruchu a kultúry ako písomný materiá</w:t>
      </w:r>
      <w:r>
        <w:rPr>
          <w:sz w:val="22"/>
          <w:szCs w:val="22"/>
        </w:rPr>
        <w:t>l</w:t>
      </w:r>
      <w:r w:rsidRPr="00206BB1">
        <w:rPr>
          <w:sz w:val="22"/>
          <w:szCs w:val="22"/>
        </w:rPr>
        <w:t xml:space="preserve"> do zastupiteľstva BSK do nasledovných komisií zastupiteľstva:</w:t>
      </w:r>
    </w:p>
    <w:p w:rsidR="008F75AF" w:rsidRPr="005E56BD" w:rsidRDefault="008F75AF" w:rsidP="008F75AF">
      <w:pPr>
        <w:pStyle w:val="Odsekzoznamu"/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5E56BD">
        <w:rPr>
          <w:rFonts w:ascii="Arial" w:hAnsi="Arial" w:cs="Arial"/>
          <w:sz w:val="22"/>
          <w:szCs w:val="22"/>
        </w:rPr>
        <w:t>Dotačná komisia</w:t>
      </w:r>
    </w:p>
    <w:p w:rsidR="008F75AF" w:rsidRPr="005E56BD" w:rsidRDefault="008F75AF" w:rsidP="008F75AF">
      <w:pPr>
        <w:pStyle w:val="Odsekzoznamu"/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5E56BD">
        <w:rPr>
          <w:rFonts w:ascii="Arial" w:hAnsi="Arial" w:cs="Arial"/>
          <w:sz w:val="22"/>
          <w:szCs w:val="22"/>
        </w:rPr>
        <w:t>Komisia kultúry</w:t>
      </w:r>
    </w:p>
    <w:p w:rsidR="008F75AF" w:rsidRPr="005E56BD" w:rsidRDefault="008F75AF" w:rsidP="008F75AF">
      <w:pPr>
        <w:pStyle w:val="Odsekzoznamu"/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5E56BD">
        <w:rPr>
          <w:rFonts w:ascii="Arial" w:hAnsi="Arial" w:cs="Arial"/>
          <w:sz w:val="22"/>
          <w:szCs w:val="22"/>
        </w:rPr>
        <w:t>Finančná komisia</w:t>
      </w:r>
    </w:p>
    <w:p w:rsidR="008F75AF" w:rsidRPr="007264FC" w:rsidRDefault="008F75AF" w:rsidP="008F75AF">
      <w:pPr>
        <w:pStyle w:val="Default"/>
        <w:spacing w:after="200" w:line="276" w:lineRule="auto"/>
        <w:rPr>
          <w:b/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 xml:space="preserve">Dotačná komisia na zasadnutí dňa 3.9.2015:                                                                           </w:t>
      </w:r>
      <w:r w:rsidRPr="007264FC">
        <w:rPr>
          <w:b/>
          <w:sz w:val="22"/>
          <w:szCs w:val="22"/>
        </w:rPr>
        <w:t xml:space="preserve">A.  </w:t>
      </w:r>
      <w:r w:rsidRPr="007264FC">
        <w:rPr>
          <w:b/>
          <w:color w:val="auto"/>
          <w:sz w:val="22"/>
          <w:szCs w:val="22"/>
        </w:rPr>
        <w:t>schválila predložený materiál a odporučila Zastupiteľstvu BSK materiál prerokovať a schváliť s tým, že Dotačná komisia neodporúča poskytnúť nasledovné dotácie:                   1.  Slovenský ochranný zväz autorský, o.</w:t>
      </w:r>
      <w:r w:rsidR="001D5EE6">
        <w:rPr>
          <w:b/>
          <w:color w:val="auto"/>
          <w:sz w:val="22"/>
          <w:szCs w:val="22"/>
        </w:rPr>
        <w:t xml:space="preserve"> </w:t>
      </w:r>
      <w:r w:rsidRPr="007264FC">
        <w:rPr>
          <w:b/>
          <w:color w:val="auto"/>
          <w:sz w:val="22"/>
          <w:szCs w:val="22"/>
        </w:rPr>
        <w:t xml:space="preserve">z. vo výške 10 000,- € na projekt Ceny SOZA          2.  Rock Pop Bratislava, s.r.o. vo výške 9 000,- € na projekt Bratislavské Jazzové Dni                   </w:t>
      </w:r>
    </w:p>
    <w:p w:rsidR="008F75AF" w:rsidRDefault="008F75AF" w:rsidP="008F75AF">
      <w:pPr>
        <w:pStyle w:val="Default"/>
        <w:spacing w:after="200" w:line="276" w:lineRule="auto"/>
        <w:jc w:val="both"/>
        <w:rPr>
          <w:b/>
          <w:color w:val="auto"/>
          <w:sz w:val="22"/>
          <w:szCs w:val="22"/>
        </w:rPr>
      </w:pPr>
      <w:r w:rsidRPr="007264FC">
        <w:rPr>
          <w:b/>
          <w:color w:val="auto"/>
          <w:sz w:val="22"/>
          <w:szCs w:val="22"/>
        </w:rPr>
        <w:t>B. Dotačná komisia zároveň odporučila neposkytnuté finančné prostriedky na dotácie v sume 19 000,- € ponechať v Bratislavskej regionálnej dotačnej schéme na podporu kultúry a vynaložiť ich na poskytnutie dotácií s navrhovanou výškou do 2 500,- EUR vrátane (tzv. malé dotácie).</w:t>
      </w:r>
      <w:r w:rsidRPr="007264FC">
        <w:rPr>
          <w:b/>
          <w:color w:val="auto"/>
          <w:sz w:val="22"/>
          <w:szCs w:val="22"/>
        </w:rPr>
        <w:tab/>
      </w:r>
    </w:p>
    <w:p w:rsidR="008F75AF" w:rsidRPr="005E56BD" w:rsidRDefault="008F75AF" w:rsidP="008F75AF">
      <w:pPr>
        <w:pStyle w:val="Default"/>
        <w:spacing w:after="200" w:line="276" w:lineRule="auto"/>
        <w:ind w:firstLine="708"/>
        <w:jc w:val="both"/>
        <w:rPr>
          <w:color w:val="auto"/>
          <w:sz w:val="22"/>
          <w:szCs w:val="22"/>
        </w:rPr>
      </w:pPr>
      <w:r w:rsidRPr="005E56BD">
        <w:rPr>
          <w:color w:val="auto"/>
          <w:sz w:val="22"/>
          <w:szCs w:val="22"/>
        </w:rPr>
        <w:t>Rovnaké stanoviská k</w:t>
      </w:r>
      <w:r>
        <w:rPr>
          <w:color w:val="auto"/>
          <w:sz w:val="22"/>
          <w:szCs w:val="22"/>
        </w:rPr>
        <w:t xml:space="preserve"> „Návrhu na poskytnutie dotácií z Bratislavskej dotačnej schémy na podporu kultúry“  </w:t>
      </w:r>
      <w:r w:rsidRPr="005E56BD">
        <w:rPr>
          <w:color w:val="auto"/>
          <w:sz w:val="22"/>
          <w:szCs w:val="22"/>
        </w:rPr>
        <w:t>zaujali aj komisia kultúry (7.9.2015</w:t>
      </w:r>
      <w:r>
        <w:rPr>
          <w:color w:val="auto"/>
          <w:sz w:val="22"/>
          <w:szCs w:val="22"/>
        </w:rPr>
        <w:t>)</w:t>
      </w:r>
      <w:r w:rsidRPr="005E56BD">
        <w:rPr>
          <w:color w:val="auto"/>
          <w:sz w:val="22"/>
          <w:szCs w:val="22"/>
        </w:rPr>
        <w:t xml:space="preserve"> a finančná komisia </w:t>
      </w:r>
      <w:r>
        <w:rPr>
          <w:color w:val="auto"/>
          <w:sz w:val="22"/>
          <w:szCs w:val="22"/>
        </w:rPr>
        <w:t>(</w:t>
      </w:r>
      <w:r w:rsidRPr="005E56BD">
        <w:rPr>
          <w:color w:val="auto"/>
          <w:sz w:val="22"/>
          <w:szCs w:val="22"/>
        </w:rPr>
        <w:t xml:space="preserve">9.9.2015). </w:t>
      </w:r>
      <w:r w:rsidRPr="009C6081">
        <w:rPr>
          <w:b/>
          <w:color w:val="auto"/>
          <w:sz w:val="22"/>
          <w:szCs w:val="22"/>
        </w:rPr>
        <w:t>Materiál so zapracovaním uvedených odporúčaní komisií predkladá odbor cestovného ruchu a kultúry na rokovanie Zastupiteľstva BSK</w:t>
      </w:r>
      <w:r>
        <w:rPr>
          <w:color w:val="auto"/>
          <w:sz w:val="22"/>
          <w:szCs w:val="22"/>
        </w:rPr>
        <w:t>.</w:t>
      </w:r>
    </w:p>
    <w:p w:rsidR="008F75AF" w:rsidRPr="00A3621D" w:rsidRDefault="008F75AF" w:rsidP="001222BD">
      <w:pPr>
        <w:pStyle w:val="Odsekzoznamu"/>
        <w:jc w:val="both"/>
        <w:rPr>
          <w:rFonts w:ascii="Arial" w:hAnsi="Arial" w:cs="Arial"/>
        </w:rPr>
      </w:pPr>
    </w:p>
    <w:p w:rsidR="00FF3A7F" w:rsidRDefault="00FF3A7F">
      <w:pPr>
        <w:spacing w:after="200" w:line="276" w:lineRule="auto"/>
      </w:pPr>
      <w:r>
        <w:br w:type="page"/>
      </w:r>
    </w:p>
    <w:p w:rsidR="00FF3A7F" w:rsidRDefault="00FF3A7F" w:rsidP="00FF3A7F">
      <w:pPr>
        <w:jc w:val="right"/>
        <w:rPr>
          <w:b/>
        </w:rPr>
      </w:pPr>
      <w:r>
        <w:rPr>
          <w:b/>
        </w:rPr>
        <w:lastRenderedPageBreak/>
        <w:t>Príloha č. 1</w:t>
      </w:r>
    </w:p>
    <w:p w:rsidR="00FF3A7F" w:rsidRPr="00FF3A7F" w:rsidRDefault="00FF3A7F" w:rsidP="00FF3A7F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A7F">
        <w:rPr>
          <w:rFonts w:ascii="Times New Roman" w:hAnsi="Times New Roman" w:cs="Times New Roman"/>
          <w:b/>
          <w:sz w:val="28"/>
          <w:szCs w:val="28"/>
        </w:rPr>
        <w:t>Zápis</w:t>
      </w:r>
    </w:p>
    <w:p w:rsidR="00FF3A7F" w:rsidRPr="00FF3A7F" w:rsidRDefault="00FF3A7F" w:rsidP="00FF3A7F">
      <w:pPr>
        <w:jc w:val="center"/>
        <w:rPr>
          <w:rFonts w:ascii="Times New Roman" w:hAnsi="Times New Roman" w:cs="Times New Roman"/>
          <w:sz w:val="26"/>
          <w:szCs w:val="26"/>
        </w:rPr>
      </w:pPr>
      <w:r w:rsidRPr="00FF3A7F">
        <w:rPr>
          <w:rFonts w:ascii="Times New Roman" w:hAnsi="Times New Roman" w:cs="Times New Roman"/>
          <w:sz w:val="26"/>
          <w:szCs w:val="26"/>
        </w:rPr>
        <w:t>z 1. zasadnutia Rady BSK pre kultúru a umenie</w:t>
      </w:r>
    </w:p>
    <w:p w:rsidR="00FF3A7F" w:rsidRPr="00FF3A7F" w:rsidRDefault="00FF3A7F" w:rsidP="00FF3A7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FF3A7F">
        <w:rPr>
          <w:rFonts w:ascii="Times New Roman" w:hAnsi="Times New Roman" w:cs="Times New Roman"/>
          <w:sz w:val="22"/>
          <w:szCs w:val="22"/>
        </w:rPr>
        <w:t xml:space="preserve">konajúceho sa 20. 8. 2015 v čase 10:00 – 15:30 na Úrade BSK, </w:t>
      </w:r>
      <w:proofErr w:type="spellStart"/>
      <w:r w:rsidRPr="00FF3A7F">
        <w:rPr>
          <w:rFonts w:ascii="Times New Roman" w:hAnsi="Times New Roman" w:cs="Times New Roman"/>
          <w:sz w:val="22"/>
          <w:szCs w:val="22"/>
        </w:rPr>
        <w:t>Sabinovká</w:t>
      </w:r>
      <w:proofErr w:type="spellEnd"/>
      <w:r w:rsidRPr="00FF3A7F">
        <w:rPr>
          <w:rFonts w:ascii="Times New Roman" w:hAnsi="Times New Roman" w:cs="Times New Roman"/>
          <w:sz w:val="22"/>
          <w:szCs w:val="22"/>
        </w:rPr>
        <w:t xml:space="preserve"> 16, 820 05 Bratislava</w:t>
      </w:r>
    </w:p>
    <w:p w:rsidR="00FF3A7F" w:rsidRDefault="00FF3A7F" w:rsidP="00FF3A7F">
      <w:pPr>
        <w:rPr>
          <w:sz w:val="26"/>
          <w:szCs w:val="26"/>
        </w:rPr>
      </w:pPr>
    </w:p>
    <w:p w:rsidR="00FF3A7F" w:rsidRPr="00FF3A7F" w:rsidRDefault="00FF3A7F" w:rsidP="00FF3A7F">
      <w:pPr>
        <w:rPr>
          <w:rFonts w:ascii="Times New Roman" w:hAnsi="Times New Roman" w:cs="Times New Roman"/>
          <w:b/>
          <w:sz w:val="26"/>
          <w:szCs w:val="26"/>
        </w:rPr>
      </w:pPr>
      <w:r w:rsidRPr="00FF3A7F">
        <w:rPr>
          <w:rFonts w:ascii="Times New Roman" w:hAnsi="Times New Roman" w:cs="Times New Roman"/>
          <w:b/>
          <w:sz w:val="26"/>
          <w:szCs w:val="26"/>
        </w:rPr>
        <w:t>Účasť</w:t>
      </w:r>
    </w:p>
    <w:p w:rsidR="00FF3A7F" w:rsidRPr="00FF3A7F" w:rsidRDefault="00FF3A7F" w:rsidP="00FF3A7F">
      <w:pPr>
        <w:rPr>
          <w:rFonts w:ascii="Times New Roman" w:hAnsi="Times New Roman" w:cs="Times New Roman"/>
          <w:b/>
          <w:szCs w:val="24"/>
        </w:rPr>
      </w:pPr>
      <w:r w:rsidRPr="00FF3A7F">
        <w:rPr>
          <w:rFonts w:ascii="Times New Roman" w:hAnsi="Times New Roman" w:cs="Times New Roman"/>
          <w:b/>
        </w:rPr>
        <w:t>1. Prítomní:</w:t>
      </w:r>
      <w:r w:rsidRPr="00FF3A7F">
        <w:rPr>
          <w:rFonts w:ascii="Times New Roman" w:hAnsi="Times New Roman" w:cs="Times New Roman"/>
          <w:b/>
        </w:rPr>
        <w:tab/>
        <w:t>Členovia Rady BSK pre kultúru a umenie (ďalej ako „Rada“)</w:t>
      </w:r>
    </w:p>
    <w:p w:rsidR="00FF3A7F" w:rsidRPr="00FF3A7F" w:rsidRDefault="00FF3A7F" w:rsidP="00FF3A7F">
      <w:pPr>
        <w:tabs>
          <w:tab w:val="left" w:pos="1418"/>
        </w:tabs>
        <w:ind w:left="1418" w:hanging="1418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ab/>
        <w:t xml:space="preserve">H. Moravčíková, Z. </w:t>
      </w:r>
      <w:proofErr w:type="spellStart"/>
      <w:r w:rsidRPr="00FF3A7F">
        <w:rPr>
          <w:rFonts w:ascii="Times New Roman" w:hAnsi="Times New Roman" w:cs="Times New Roman"/>
        </w:rPr>
        <w:t>Beňušková</w:t>
      </w:r>
      <w:proofErr w:type="spellEnd"/>
      <w:r w:rsidRPr="00FF3A7F">
        <w:rPr>
          <w:rFonts w:ascii="Times New Roman" w:hAnsi="Times New Roman" w:cs="Times New Roman"/>
        </w:rPr>
        <w:t xml:space="preserve">, M. Borský, R. </w:t>
      </w:r>
      <w:proofErr w:type="spellStart"/>
      <w:r w:rsidRPr="00FF3A7F">
        <w:rPr>
          <w:rFonts w:ascii="Times New Roman" w:hAnsi="Times New Roman" w:cs="Times New Roman"/>
        </w:rPr>
        <w:t>Ballek</w:t>
      </w:r>
      <w:proofErr w:type="spellEnd"/>
      <w:r w:rsidRPr="00FF3A7F">
        <w:rPr>
          <w:rFonts w:ascii="Times New Roman" w:hAnsi="Times New Roman" w:cs="Times New Roman"/>
        </w:rPr>
        <w:t xml:space="preserve">, P. </w:t>
      </w:r>
      <w:proofErr w:type="spellStart"/>
      <w:r w:rsidRPr="00FF3A7F">
        <w:rPr>
          <w:rFonts w:ascii="Times New Roman" w:hAnsi="Times New Roman" w:cs="Times New Roman"/>
        </w:rPr>
        <w:t>Kerekes</w:t>
      </w:r>
      <w:proofErr w:type="spellEnd"/>
      <w:r w:rsidRPr="00FF3A7F">
        <w:rPr>
          <w:rFonts w:ascii="Times New Roman" w:hAnsi="Times New Roman" w:cs="Times New Roman"/>
        </w:rPr>
        <w:t xml:space="preserve">, M. </w:t>
      </w:r>
      <w:proofErr w:type="spellStart"/>
      <w:r w:rsidRPr="00FF3A7F">
        <w:rPr>
          <w:rFonts w:ascii="Times New Roman" w:hAnsi="Times New Roman" w:cs="Times New Roman"/>
        </w:rPr>
        <w:t>Hvorecký</w:t>
      </w:r>
      <w:proofErr w:type="spellEnd"/>
      <w:r w:rsidRPr="00FF3A7F">
        <w:rPr>
          <w:rFonts w:ascii="Times New Roman" w:hAnsi="Times New Roman" w:cs="Times New Roman"/>
        </w:rPr>
        <w:t xml:space="preserve">, J. </w:t>
      </w:r>
      <w:proofErr w:type="spellStart"/>
      <w:r w:rsidRPr="00FF3A7F">
        <w:rPr>
          <w:rFonts w:ascii="Times New Roman" w:hAnsi="Times New Roman" w:cs="Times New Roman"/>
        </w:rPr>
        <w:t>Čutek</w:t>
      </w:r>
      <w:proofErr w:type="spellEnd"/>
      <w:r w:rsidRPr="00FF3A7F">
        <w:rPr>
          <w:rFonts w:ascii="Times New Roman" w:hAnsi="Times New Roman" w:cs="Times New Roman"/>
        </w:rPr>
        <w:t xml:space="preserve"> (operatívne kooptovaný do Rady), A. </w:t>
      </w:r>
      <w:proofErr w:type="spellStart"/>
      <w:r w:rsidRPr="00FF3A7F">
        <w:rPr>
          <w:rFonts w:ascii="Times New Roman" w:hAnsi="Times New Roman" w:cs="Times New Roman"/>
        </w:rPr>
        <w:t>Rajter</w:t>
      </w:r>
      <w:proofErr w:type="spellEnd"/>
      <w:r w:rsidRPr="00FF3A7F">
        <w:rPr>
          <w:rFonts w:ascii="Times New Roman" w:hAnsi="Times New Roman" w:cs="Times New Roman"/>
        </w:rPr>
        <w:t xml:space="preserve">, F. </w:t>
      </w:r>
      <w:proofErr w:type="spellStart"/>
      <w:r w:rsidRPr="00FF3A7F">
        <w:rPr>
          <w:rFonts w:ascii="Times New Roman" w:hAnsi="Times New Roman" w:cs="Times New Roman"/>
        </w:rPr>
        <w:t>Blaščák</w:t>
      </w:r>
      <w:proofErr w:type="spellEnd"/>
    </w:p>
    <w:p w:rsidR="00FF3A7F" w:rsidRPr="00FF3A7F" w:rsidRDefault="00FF3A7F" w:rsidP="00FF3A7F">
      <w:pPr>
        <w:tabs>
          <w:tab w:val="left" w:pos="1418"/>
        </w:tabs>
        <w:ind w:left="1418" w:hanging="1418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  <w:i/>
        </w:rPr>
        <w:tab/>
      </w:r>
      <w:r w:rsidRPr="00FF3A7F">
        <w:rPr>
          <w:rFonts w:ascii="Times New Roman" w:hAnsi="Times New Roman" w:cs="Times New Roman"/>
        </w:rPr>
        <w:t>Prítomných: 9 z 9 členov Rady</w:t>
      </w:r>
    </w:p>
    <w:p w:rsidR="001D5EE6" w:rsidRDefault="00FF3A7F" w:rsidP="00FF3A7F">
      <w:pPr>
        <w:tabs>
          <w:tab w:val="left" w:pos="1418"/>
        </w:tabs>
        <w:ind w:left="1418" w:hanging="1418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  <w:b/>
        </w:rPr>
        <w:t xml:space="preserve"> </w:t>
      </w:r>
      <w:r w:rsidRPr="00FF3A7F">
        <w:rPr>
          <w:rFonts w:ascii="Times New Roman" w:hAnsi="Times New Roman" w:cs="Times New Roman"/>
          <w:b/>
        </w:rPr>
        <w:tab/>
      </w:r>
    </w:p>
    <w:p w:rsidR="00FF3A7F" w:rsidRPr="00FF3A7F" w:rsidRDefault="001D5EE6" w:rsidP="00FF3A7F">
      <w:pPr>
        <w:tabs>
          <w:tab w:val="left" w:pos="1418"/>
        </w:tabs>
        <w:ind w:left="1418" w:hanging="141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FF3A7F" w:rsidRPr="00FF3A7F">
        <w:rPr>
          <w:rFonts w:ascii="Times New Roman" w:hAnsi="Times New Roman" w:cs="Times New Roman"/>
          <w:b/>
        </w:rPr>
        <w:t xml:space="preserve">Za Úrad BSK </w:t>
      </w:r>
    </w:p>
    <w:p w:rsidR="00FF3A7F" w:rsidRPr="00FF3A7F" w:rsidRDefault="00FF3A7F" w:rsidP="00FF3A7F">
      <w:pPr>
        <w:tabs>
          <w:tab w:val="left" w:pos="1418"/>
        </w:tabs>
        <w:ind w:left="1418" w:hanging="1418"/>
        <w:contextualSpacing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  <w:i/>
        </w:rPr>
        <w:tab/>
      </w:r>
      <w:r w:rsidRPr="00FF3A7F">
        <w:rPr>
          <w:rFonts w:ascii="Times New Roman" w:hAnsi="Times New Roman" w:cs="Times New Roman"/>
        </w:rPr>
        <w:t xml:space="preserve">Z. </w:t>
      </w:r>
      <w:proofErr w:type="spellStart"/>
      <w:r w:rsidRPr="00FF3A7F">
        <w:rPr>
          <w:rFonts w:ascii="Times New Roman" w:hAnsi="Times New Roman" w:cs="Times New Roman"/>
        </w:rPr>
        <w:t>Šajgalíková</w:t>
      </w:r>
      <w:proofErr w:type="spellEnd"/>
      <w:r w:rsidRPr="00FF3A7F">
        <w:rPr>
          <w:rFonts w:ascii="Times New Roman" w:hAnsi="Times New Roman" w:cs="Times New Roman"/>
        </w:rPr>
        <w:t>, riaditeľka OCR a K</w:t>
      </w:r>
    </w:p>
    <w:p w:rsidR="00FF3A7F" w:rsidRPr="00FF3A7F" w:rsidRDefault="00FF3A7F" w:rsidP="00FF3A7F">
      <w:pPr>
        <w:tabs>
          <w:tab w:val="left" w:pos="1418"/>
        </w:tabs>
        <w:ind w:left="1418" w:hanging="1418"/>
        <w:contextualSpacing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  <w:i/>
        </w:rPr>
        <w:tab/>
      </w:r>
      <w:r w:rsidRPr="00FF3A7F">
        <w:rPr>
          <w:rFonts w:ascii="Times New Roman" w:hAnsi="Times New Roman" w:cs="Times New Roman"/>
        </w:rPr>
        <w:t xml:space="preserve">R. </w:t>
      </w:r>
      <w:proofErr w:type="spellStart"/>
      <w:r w:rsidRPr="00FF3A7F">
        <w:rPr>
          <w:rFonts w:ascii="Times New Roman" w:hAnsi="Times New Roman" w:cs="Times New Roman"/>
        </w:rPr>
        <w:t>Šenkirik</w:t>
      </w:r>
      <w:proofErr w:type="spellEnd"/>
      <w:r w:rsidRPr="00FF3A7F">
        <w:rPr>
          <w:rFonts w:ascii="Times New Roman" w:hAnsi="Times New Roman" w:cs="Times New Roman"/>
        </w:rPr>
        <w:t>, vedúci odd. kultúry</w:t>
      </w:r>
    </w:p>
    <w:p w:rsidR="00FF3A7F" w:rsidRPr="00FF3A7F" w:rsidRDefault="00B94513" w:rsidP="00FF3A7F">
      <w:pPr>
        <w:tabs>
          <w:tab w:val="left" w:pos="1418"/>
        </w:tabs>
        <w:ind w:left="1418" w:hanging="141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M. </w:t>
      </w:r>
      <w:proofErr w:type="spellStart"/>
      <w:r w:rsidR="00FF3A7F" w:rsidRPr="00FF3A7F">
        <w:rPr>
          <w:rFonts w:ascii="Times New Roman" w:hAnsi="Times New Roman" w:cs="Times New Roman"/>
        </w:rPr>
        <w:t>Denci</w:t>
      </w:r>
      <w:proofErr w:type="spellEnd"/>
      <w:r w:rsidR="00FF3A7F" w:rsidRPr="00FF3A7F">
        <w:rPr>
          <w:rFonts w:ascii="Times New Roman" w:hAnsi="Times New Roman" w:cs="Times New Roman"/>
        </w:rPr>
        <w:t>, referent odd. kultúry, tajomník Rady</w:t>
      </w:r>
    </w:p>
    <w:p w:rsidR="00FF3A7F" w:rsidRDefault="00FF3A7F" w:rsidP="00FF3A7F">
      <w:pPr>
        <w:tabs>
          <w:tab w:val="left" w:pos="1418"/>
        </w:tabs>
        <w:ind w:left="1418" w:hanging="1418"/>
        <w:contextualSpacing/>
      </w:pPr>
    </w:p>
    <w:p w:rsidR="00FF3A7F" w:rsidRPr="001D5EE6" w:rsidRDefault="00FF3A7F" w:rsidP="00FF3A7F">
      <w:pPr>
        <w:tabs>
          <w:tab w:val="left" w:pos="1418"/>
        </w:tabs>
        <w:ind w:left="1418" w:hanging="1418"/>
        <w:contextualSpacing/>
        <w:rPr>
          <w:rFonts w:ascii="Times New Roman" w:hAnsi="Times New Roman" w:cs="Times New Roman"/>
          <w:b/>
        </w:rPr>
      </w:pPr>
      <w:r w:rsidRPr="001D5EE6">
        <w:rPr>
          <w:rFonts w:ascii="Times New Roman" w:hAnsi="Times New Roman" w:cs="Times New Roman"/>
          <w:b/>
        </w:rPr>
        <w:t>Program:</w:t>
      </w:r>
    </w:p>
    <w:p w:rsidR="00FF3A7F" w:rsidRDefault="00FF3A7F" w:rsidP="00FF3A7F">
      <w:pPr>
        <w:pStyle w:val="Odsekzoznamu"/>
        <w:numPr>
          <w:ilvl w:val="0"/>
          <w:numId w:val="4"/>
        </w:numPr>
        <w:tabs>
          <w:tab w:val="left" w:pos="1418"/>
        </w:tabs>
        <w:spacing w:after="200" w:line="276" w:lineRule="auto"/>
        <w:ind w:left="357" w:hanging="357"/>
      </w:pPr>
      <w:r>
        <w:t>Otvorenie, informácie vedúceho oddelenia kultúry a riaditeľky odboru cestovného ruchu a kultúry</w:t>
      </w:r>
    </w:p>
    <w:p w:rsidR="00FF3A7F" w:rsidRDefault="00FF3A7F" w:rsidP="00FF3A7F">
      <w:pPr>
        <w:pStyle w:val="Odsekzoznamu"/>
        <w:numPr>
          <w:ilvl w:val="0"/>
          <w:numId w:val="4"/>
        </w:numPr>
        <w:tabs>
          <w:tab w:val="left" w:pos="1418"/>
        </w:tabs>
        <w:spacing w:after="200" w:line="276" w:lineRule="auto"/>
        <w:ind w:left="357" w:hanging="357"/>
      </w:pPr>
      <w:r>
        <w:t>Voľba predsedu Rady BSK pre kultúru.</w:t>
      </w:r>
    </w:p>
    <w:p w:rsidR="00FF3A7F" w:rsidRDefault="00FF3A7F" w:rsidP="00FF3A7F">
      <w:pPr>
        <w:pStyle w:val="Odsekzoznamu"/>
        <w:numPr>
          <w:ilvl w:val="0"/>
          <w:numId w:val="4"/>
        </w:numPr>
        <w:tabs>
          <w:tab w:val="left" w:pos="1418"/>
        </w:tabs>
        <w:spacing w:after="200" w:line="276" w:lineRule="auto"/>
        <w:ind w:left="357" w:hanging="357"/>
      </w:pPr>
      <w:r>
        <w:t>Krátky príhovor predsedu BSK.</w:t>
      </w:r>
    </w:p>
    <w:p w:rsidR="00FF3A7F" w:rsidRDefault="00FF3A7F" w:rsidP="00FF3A7F">
      <w:pPr>
        <w:pStyle w:val="Odsekzoznamu"/>
        <w:numPr>
          <w:ilvl w:val="0"/>
          <w:numId w:val="4"/>
        </w:numPr>
        <w:tabs>
          <w:tab w:val="left" w:pos="1418"/>
        </w:tabs>
        <w:spacing w:after="200" w:line="276" w:lineRule="auto"/>
        <w:ind w:left="357" w:hanging="357"/>
      </w:pPr>
      <w:r>
        <w:t>Hodnotenie žiadostí o poskytnutie dotácií z Bratislavskej regionálnej dotačnej schémy na podporu kultúry a schvaľovanie návrhov dotácií.</w:t>
      </w:r>
    </w:p>
    <w:p w:rsidR="00FF3A7F" w:rsidRDefault="00FF3A7F" w:rsidP="00FF3A7F">
      <w:pPr>
        <w:pStyle w:val="Odsekzoznamu"/>
        <w:numPr>
          <w:ilvl w:val="0"/>
          <w:numId w:val="4"/>
        </w:numPr>
        <w:tabs>
          <w:tab w:val="left" w:pos="1418"/>
        </w:tabs>
        <w:spacing w:after="200" w:line="276" w:lineRule="auto"/>
        <w:ind w:left="357" w:hanging="357"/>
      </w:pPr>
      <w:r>
        <w:t>Rôzne.</w:t>
      </w:r>
    </w:p>
    <w:p w:rsidR="00FF3A7F" w:rsidRDefault="00FF3A7F" w:rsidP="00FF3A7F">
      <w:pPr>
        <w:tabs>
          <w:tab w:val="left" w:pos="1418"/>
        </w:tabs>
      </w:pP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A7F">
        <w:rPr>
          <w:rFonts w:ascii="Times New Roman" w:hAnsi="Times New Roman" w:cs="Times New Roman"/>
          <w:b/>
          <w:sz w:val="28"/>
          <w:szCs w:val="28"/>
          <w:u w:val="single"/>
        </w:rPr>
        <w:t>K bodu 1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szCs w:val="24"/>
        </w:rPr>
      </w:pPr>
      <w:r w:rsidRPr="00FF3A7F">
        <w:rPr>
          <w:rFonts w:ascii="Times New Roman" w:hAnsi="Times New Roman" w:cs="Times New Roman"/>
        </w:rPr>
        <w:t xml:space="preserve">Zasadnutie otvoril R. </w:t>
      </w:r>
      <w:proofErr w:type="spellStart"/>
      <w:r w:rsidRPr="00FF3A7F">
        <w:rPr>
          <w:rFonts w:ascii="Times New Roman" w:hAnsi="Times New Roman" w:cs="Times New Roman"/>
        </w:rPr>
        <w:t>Šenkirik</w:t>
      </w:r>
      <w:proofErr w:type="spellEnd"/>
      <w:r w:rsidRPr="00FF3A7F">
        <w:rPr>
          <w:rFonts w:ascii="Times New Roman" w:hAnsi="Times New Roman" w:cs="Times New Roman"/>
        </w:rPr>
        <w:t xml:space="preserve">. Informoval, že za oblasť výtvarného umenia bol do Rady operatívne kooptovaný Juraj </w:t>
      </w:r>
      <w:proofErr w:type="spellStart"/>
      <w:r w:rsidRPr="00FF3A7F">
        <w:rPr>
          <w:rFonts w:ascii="Times New Roman" w:hAnsi="Times New Roman" w:cs="Times New Roman"/>
        </w:rPr>
        <w:t>Čutek</w:t>
      </w:r>
      <w:proofErr w:type="spellEnd"/>
      <w:r w:rsidRPr="00FF3A7F">
        <w:rPr>
          <w:rFonts w:ascii="Times New Roman" w:hAnsi="Times New Roman" w:cs="Times New Roman"/>
        </w:rPr>
        <w:t xml:space="preserve"> (Lucia Gregorová </w:t>
      </w:r>
      <w:proofErr w:type="spellStart"/>
      <w:r w:rsidRPr="00FF3A7F">
        <w:rPr>
          <w:rFonts w:ascii="Times New Roman" w:hAnsi="Times New Roman" w:cs="Times New Roman"/>
        </w:rPr>
        <w:t>Stach</w:t>
      </w:r>
      <w:proofErr w:type="spellEnd"/>
      <w:r w:rsidRPr="00FF3A7F">
        <w:rPr>
          <w:rFonts w:ascii="Times New Roman" w:hAnsi="Times New Roman" w:cs="Times New Roman"/>
        </w:rPr>
        <w:t xml:space="preserve"> je odcestovaná v zahraničí). Konštatoval, že sú prítomní všetci členovia Rady a Rada je uznášaniaschopná. Zároveň informoval o postupe pri schvaľovaní a prideľovaní dotácií a stručne prezentoval predbežné komplexné výsledky hodnotení členov Rady a odborných hodnotiteľov: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Počet žiadostí 233, požadované dotácie spolu 1.846.721,48 €, predbežný návrh na poskytnutie dotácií podľa hodnotení 738.846,30 €, disponibilné financie: 400.000 €.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 xml:space="preserve">Z. </w:t>
      </w:r>
      <w:proofErr w:type="spellStart"/>
      <w:r w:rsidRPr="00FF3A7F">
        <w:rPr>
          <w:rFonts w:ascii="Times New Roman" w:hAnsi="Times New Roman" w:cs="Times New Roman"/>
        </w:rPr>
        <w:t>Šajgalíková</w:t>
      </w:r>
      <w:proofErr w:type="spellEnd"/>
      <w:r w:rsidRPr="00FF3A7F">
        <w:rPr>
          <w:rFonts w:ascii="Times New Roman" w:hAnsi="Times New Roman" w:cs="Times New Roman"/>
        </w:rPr>
        <w:t xml:space="preserve"> poďakovala prítomným za súčinnosť pri vyhodnocovaní žiadostí a pripomenula hlavné body Stratégie rozvoja kultúry v Bratislavskom kraji na roky 2015 - 2020, z ktorých vyplývali základné kritériá hodnotenia.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A7F">
        <w:rPr>
          <w:rFonts w:ascii="Times New Roman" w:hAnsi="Times New Roman" w:cs="Times New Roman"/>
          <w:b/>
          <w:sz w:val="28"/>
          <w:szCs w:val="28"/>
          <w:u w:val="single"/>
        </w:rPr>
        <w:t>K bodu 2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szCs w:val="24"/>
        </w:rPr>
      </w:pPr>
      <w:r w:rsidRPr="00FF3A7F">
        <w:rPr>
          <w:rFonts w:ascii="Times New Roman" w:hAnsi="Times New Roman" w:cs="Times New Roman"/>
        </w:rPr>
        <w:t xml:space="preserve">Za riaditeľa Rady BSK pre kultúru a umenie bol navrhnutý M. </w:t>
      </w:r>
      <w:proofErr w:type="spellStart"/>
      <w:r w:rsidRPr="00FF3A7F">
        <w:rPr>
          <w:rFonts w:ascii="Times New Roman" w:hAnsi="Times New Roman" w:cs="Times New Roman"/>
        </w:rPr>
        <w:t>Hvorecký</w:t>
      </w:r>
      <w:proofErr w:type="spellEnd"/>
      <w:r w:rsidRPr="00FF3A7F">
        <w:rPr>
          <w:rFonts w:ascii="Times New Roman" w:hAnsi="Times New Roman" w:cs="Times New Roman"/>
        </w:rPr>
        <w:t xml:space="preserve">. Za hlasovalo 8 členov, 1 sa zdržal, M. </w:t>
      </w:r>
      <w:proofErr w:type="spellStart"/>
      <w:r w:rsidRPr="00FF3A7F">
        <w:rPr>
          <w:rFonts w:ascii="Times New Roman" w:hAnsi="Times New Roman" w:cs="Times New Roman"/>
        </w:rPr>
        <w:t>Hvorecký</w:t>
      </w:r>
      <w:proofErr w:type="spellEnd"/>
      <w:r w:rsidRPr="00FF3A7F">
        <w:rPr>
          <w:rFonts w:ascii="Times New Roman" w:hAnsi="Times New Roman" w:cs="Times New Roman"/>
        </w:rPr>
        <w:t xml:space="preserve"> bol v pomere 8/9 zvolený za predsedu Rady BSK pre kultúru a umenie a predsedníctvo  prijal.</w:t>
      </w: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A7F">
        <w:rPr>
          <w:rFonts w:ascii="Times New Roman" w:hAnsi="Times New Roman" w:cs="Times New Roman"/>
          <w:b/>
          <w:sz w:val="28"/>
          <w:szCs w:val="28"/>
          <w:u w:val="single"/>
        </w:rPr>
        <w:t>K bodu 3</w:t>
      </w:r>
    </w:p>
    <w:p w:rsidR="00FF3A7F" w:rsidRDefault="00FF3A7F" w:rsidP="00FF3A7F">
      <w:pPr>
        <w:tabs>
          <w:tab w:val="left" w:pos="1418"/>
        </w:tabs>
        <w:rPr>
          <w:szCs w:val="24"/>
        </w:rPr>
      </w:pPr>
      <w:r w:rsidRPr="00FF3A7F">
        <w:rPr>
          <w:rFonts w:ascii="Times New Roman" w:hAnsi="Times New Roman" w:cs="Times New Roman"/>
        </w:rPr>
        <w:t>Predseda BSK privítal členov Rady na pôde Úradu BSK, poďakoval im za ich prínos. Zdôraznil svoj záujem na korektnom a transparentnom financovaní kultúry</w:t>
      </w:r>
      <w:r>
        <w:t xml:space="preserve"> v Bratislavskom kraji. Deklaroval svoju plnú dôveru členom Rady a vyjadril zámer schváliť návrhy Rady v pôvodnom znení. </w:t>
      </w:r>
    </w:p>
    <w:p w:rsidR="00FF3A7F" w:rsidRDefault="00FF3A7F" w:rsidP="00FF3A7F">
      <w:pPr>
        <w:tabs>
          <w:tab w:val="left" w:pos="1418"/>
        </w:tabs>
      </w:pPr>
    </w:p>
    <w:p w:rsidR="00FF3A7F" w:rsidRPr="00FF3A7F" w:rsidRDefault="00FF3A7F" w:rsidP="00FF3A7F">
      <w:pPr>
        <w:tabs>
          <w:tab w:val="left" w:pos="141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A7F">
        <w:rPr>
          <w:rFonts w:ascii="Times New Roman" w:hAnsi="Times New Roman" w:cs="Times New Roman"/>
          <w:b/>
          <w:sz w:val="28"/>
          <w:szCs w:val="28"/>
          <w:u w:val="single"/>
        </w:rPr>
        <w:t>K bodu 4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szCs w:val="24"/>
        </w:rPr>
      </w:pPr>
      <w:r w:rsidRPr="00FF3A7F">
        <w:rPr>
          <w:rFonts w:ascii="Times New Roman" w:hAnsi="Times New Roman" w:cs="Times New Roman"/>
        </w:rPr>
        <w:t>4.1</w:t>
      </w:r>
      <w:r w:rsidRPr="00FF3A7F">
        <w:rPr>
          <w:rFonts w:ascii="Times New Roman" w:hAnsi="Times New Roman" w:cs="Times New Roman"/>
        </w:rPr>
        <w:tab/>
        <w:t>Žiadosti o poskytnutie dotácií prezentovali za jednotlivé oblasti príslušní členovia rady, ktorí zároveň navrhli konkrétnu výšku dotácií.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H. Moravčíková, I. Podpora ochrany a prezentácie kultúrneho dedičstva:</w:t>
      </w:r>
    </w:p>
    <w:tbl>
      <w:tblPr>
        <w:tblW w:w="84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05"/>
        <w:gridCol w:w="3046"/>
        <w:gridCol w:w="1324"/>
      </w:tblGrid>
      <w:tr w:rsidR="00FF3A7F" w:rsidTr="00FF3A7F">
        <w:trPr>
          <w:trHeight w:val="94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Albrecht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Forum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Reštaurovanie nástenných malieb v dome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Albrechtovcov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Modra (mesto)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Modrá z vtáčej perspektívy - sprístupnenie mestskej veže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7 000,00 €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I.14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Menorah</w:t>
            </w:r>
            <w:proofErr w:type="spellEnd"/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Webová prezentácia židovských cintorínov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I.13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Slovenská výtvarná únia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Rekonštrukcia umeleckej besedy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7 000,00 €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I.11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Podunajské Biskupice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Záchrana barokových sôch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1 600,00 €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33 600,00 €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návrh hlasovalo všetkých 9 prítomných členov Rady. </w:t>
      </w:r>
    </w:p>
    <w:p w:rsidR="00FF3A7F" w:rsidRDefault="00FF3A7F" w:rsidP="00FF3A7F">
      <w:pPr>
        <w:tabs>
          <w:tab w:val="left" w:pos="567"/>
        </w:tabs>
      </w:pPr>
    </w:p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4.2</w:t>
      </w:r>
      <w:r w:rsidRPr="00FF3A7F">
        <w:rPr>
          <w:rFonts w:ascii="Times New Roman" w:hAnsi="Times New Roman" w:cs="Times New Roman"/>
        </w:rPr>
        <w:tab/>
        <w:t xml:space="preserve">Z. </w:t>
      </w:r>
      <w:proofErr w:type="spellStart"/>
      <w:r w:rsidRPr="00FF3A7F">
        <w:rPr>
          <w:rFonts w:ascii="Times New Roman" w:hAnsi="Times New Roman" w:cs="Times New Roman"/>
        </w:rPr>
        <w:t>Beňušková</w:t>
      </w:r>
      <w:proofErr w:type="spellEnd"/>
      <w:r w:rsidRPr="00FF3A7F">
        <w:rPr>
          <w:rFonts w:ascii="Times New Roman" w:hAnsi="Times New Roman" w:cs="Times New Roman"/>
        </w:rPr>
        <w:t xml:space="preserve"> II. Podpora neprofesionálnej a ľudovej kultúry</w:t>
      </w:r>
      <w:r w:rsidRPr="00FF3A7F">
        <w:rPr>
          <w:rFonts w:ascii="Times New Roman" w:hAnsi="Times New Roman" w:cs="Times New Roman"/>
        </w:rPr>
        <w:tab/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8"/>
        <w:gridCol w:w="3068"/>
        <w:gridCol w:w="1324"/>
      </w:tblGrid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Ľudový súbor Kráľová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Sviatočné kroje a ich súčasti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Všetečníci,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10. výročie skupiny tanečného humoru Všetečníci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2 400,00 €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Ifjú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Szívek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60 rokov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Chorvátsky kultúrny spolok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15. výročie založenia súboru </w:t>
            </w:r>
            <w:proofErr w:type="spellStart"/>
            <w:r>
              <w:rPr>
                <w:rFonts w:ascii="Calibri" w:hAnsi="Calibri" w:cs="Calibri"/>
                <w:lang w:eastAsia="en-US"/>
              </w:rPr>
              <w:t>Čunovskí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Becári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MČ Bratislava - Jarovce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2. festival Podunajskej kultúry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2 900,00 €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Kultúrne zariadenia Petržalky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Večery autentického folklóru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POLENO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Materiálne zabezpečenie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Rohožník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Podpora tradícií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MČ Bratislava - Ružinov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FOLKFEST Ružinov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 w:rsidP="00B94513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Madam A</w:t>
            </w:r>
            <w:r w:rsidR="00B94513">
              <w:rPr>
                <w:rFonts w:ascii="Calibri" w:hAnsi="Calibri" w:cs="Calibri"/>
                <w:lang w:eastAsia="en-US"/>
              </w:rPr>
              <w:t>lberty</w:t>
            </w:r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Production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Vajnorský </w:t>
            </w:r>
            <w:proofErr w:type="spellStart"/>
            <w:r>
              <w:rPr>
                <w:rFonts w:ascii="Calibri" w:hAnsi="Calibri" w:cs="Calibri"/>
                <w:lang w:eastAsia="en-US"/>
              </w:rPr>
              <w:t>širáček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II.18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Viničné (obec)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Súbor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Viničiar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lastRenderedPageBreak/>
              <w:t>Spolu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18 800,00 €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4.3</w:t>
      </w:r>
      <w:r w:rsidRPr="00FF3A7F">
        <w:rPr>
          <w:rFonts w:ascii="Times New Roman" w:hAnsi="Times New Roman" w:cs="Times New Roman"/>
        </w:rPr>
        <w:tab/>
        <w:t xml:space="preserve">M. Borský, III. Podpora pamäťových aktivít a činností 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9"/>
        <w:gridCol w:w="3067"/>
        <w:gridCol w:w="1324"/>
      </w:tblGrid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Bratislavské rožky,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Bratislavské rožky – história na zjedenie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Digitalizácia kultúrneho dedičstva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Múzeum mesta Bratislavy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Rímske hry 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Danube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Limes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Day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MÚOP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Kelti z Bratislavy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Skupina historického šermu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Bratislava 1619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Podpora uchovávania ľudovej pamäti a ľudových tradícií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OZ </w:t>
            </w:r>
            <w:proofErr w:type="spellStart"/>
            <w:r>
              <w:rPr>
                <w:rFonts w:ascii="Calibri" w:hAnsi="Calibri" w:cs="Calibri"/>
                <w:lang w:eastAsia="en-US"/>
              </w:rPr>
              <w:t>Vagus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SOARÉ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AI </w:t>
            </w:r>
            <w:proofErr w:type="spellStart"/>
            <w:r>
              <w:rPr>
                <w:rFonts w:ascii="Calibri" w:hAnsi="Calibri" w:cs="Calibri"/>
                <w:lang w:eastAsia="en-US"/>
              </w:rPr>
              <w:t>Nova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Úprava infocentra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III.19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Záhorácky kút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Obec Bernolákovo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Náučná literatúra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Local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Act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Dizajn každodennosti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Malacky počas 2. svetovej vojny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Mesto Modra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Detská </w:t>
            </w:r>
            <w:proofErr w:type="spellStart"/>
            <w:r>
              <w:rPr>
                <w:rFonts w:ascii="Calibri" w:hAnsi="Calibri" w:cs="Calibri"/>
                <w:lang w:eastAsia="en-US"/>
              </w:rPr>
              <w:t>komunitná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knižnica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Mestská knižnica v Bratislave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Nákup knižničného fondu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Mestská knižnica v Bratislave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Čítanie, čo nenudí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Múzeum mesta Bratislavy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Lárom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fárom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po múzeách MMB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1 800,00 €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Mesto Stupava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Mestská knižnica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III.29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Spoločnosť slovenských archivárov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Publikácia Veda, kultúra a šport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III.31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Dokumentačné stredisko holokaustu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Kvalitné a dostupné informácie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41 800,00 €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4.4</w:t>
      </w:r>
      <w:r w:rsidRPr="00FF3A7F">
        <w:rPr>
          <w:rFonts w:ascii="Times New Roman" w:hAnsi="Times New Roman" w:cs="Times New Roman"/>
        </w:rPr>
        <w:tab/>
        <w:t xml:space="preserve">R. </w:t>
      </w:r>
      <w:proofErr w:type="spellStart"/>
      <w:r w:rsidRPr="00FF3A7F">
        <w:rPr>
          <w:rFonts w:ascii="Times New Roman" w:hAnsi="Times New Roman" w:cs="Times New Roman"/>
        </w:rPr>
        <w:t>Ballek</w:t>
      </w:r>
      <w:proofErr w:type="spellEnd"/>
      <w:r w:rsidRPr="00FF3A7F">
        <w:rPr>
          <w:rFonts w:ascii="Times New Roman" w:hAnsi="Times New Roman" w:cs="Times New Roman"/>
        </w:rPr>
        <w:t>, IV. Podpora divadla a tanca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30"/>
        <w:gridCol w:w="3066"/>
        <w:gridCol w:w="1324"/>
      </w:tblGrid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IV.4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STOKA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Divadlo Stoka 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13 500,00 €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Debris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Company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Reprízovanie repertoáru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IV.7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Pre súčasnú operu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5. ročník Festivalu autorského divadla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Pre súčasnú operu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Vznik predstavenia Extrakty a náhrady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Jeseň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17 000,00 €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IV.18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Ticho a spol.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8F7A0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Prev</w:t>
            </w:r>
            <w:r w:rsidR="00FF3A7F">
              <w:rPr>
                <w:rFonts w:ascii="Calibri" w:hAnsi="Calibri" w:cs="Calibri"/>
                <w:lang w:eastAsia="en-US"/>
              </w:rPr>
              <w:t>ádzka divadla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IV.19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Divadlo Petra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Mankoveckého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September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Umelecká loď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Divadlo v podpalubí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IV.28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PAT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Solo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lamentoso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IV.40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Mladý pes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Inscenácia O čom snívam...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IV.39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Haasart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Naštudovanie predstavenia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IV.45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kultúrne stredisko v Senci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Slnečný festival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IV.46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Pour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Art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Komorné kultúrne centrum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IV.27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Zejdeme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sa na hambálku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IV.48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B94513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Nemocnica P. </w:t>
            </w:r>
            <w:proofErr w:type="spellStart"/>
            <w:r>
              <w:rPr>
                <w:rFonts w:ascii="Calibri" w:hAnsi="Calibri" w:cs="Calibri"/>
                <w:lang w:eastAsia="en-US"/>
              </w:rPr>
              <w:t>Pinel</w:t>
            </w:r>
            <w:r w:rsidR="00FF3A7F">
              <w:rPr>
                <w:rFonts w:ascii="Calibri" w:hAnsi="Calibri" w:cs="Calibri"/>
                <w:lang w:eastAsia="en-US"/>
              </w:rPr>
              <w:t>a</w:t>
            </w:r>
            <w:proofErr w:type="spellEnd"/>
            <w:r w:rsidR="00FF3A7F">
              <w:rPr>
                <w:rFonts w:ascii="Calibri" w:hAnsi="Calibri" w:cs="Calibri"/>
                <w:lang w:eastAsia="en-US"/>
              </w:rPr>
              <w:t xml:space="preserve"> Pezinok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Liečivé zážitky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1 200,00 €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IV.21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Dream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art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studio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Biele divadlo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IV.30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Katarína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Aulitisová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Príbehy z konca predmestia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Asociácia súčasného tanca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NU DANCE FEST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IV.13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Nový Priestor,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Nové tvorivé a interpretačné postupy v tanci a fyzickom divadle - </w:t>
            </w:r>
            <w:proofErr w:type="spellStart"/>
            <w:r>
              <w:rPr>
                <w:rFonts w:ascii="Calibri" w:hAnsi="Calibri" w:cs="Calibri"/>
                <w:lang w:eastAsia="en-US"/>
              </w:rPr>
              <w:t>workshopy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98 200,00 €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4.5</w:t>
      </w:r>
      <w:r w:rsidRPr="00FF3A7F">
        <w:rPr>
          <w:rFonts w:ascii="Times New Roman" w:hAnsi="Times New Roman" w:cs="Times New Roman"/>
        </w:rPr>
        <w:tab/>
        <w:t xml:space="preserve">P. </w:t>
      </w:r>
      <w:proofErr w:type="spellStart"/>
      <w:r w:rsidRPr="00FF3A7F">
        <w:rPr>
          <w:rFonts w:ascii="Times New Roman" w:hAnsi="Times New Roman" w:cs="Times New Roman"/>
        </w:rPr>
        <w:t>Kerekes</w:t>
      </w:r>
      <w:proofErr w:type="spellEnd"/>
      <w:r w:rsidRPr="00FF3A7F">
        <w:rPr>
          <w:rFonts w:ascii="Times New Roman" w:hAnsi="Times New Roman" w:cs="Times New Roman"/>
        </w:rPr>
        <w:t>, V. Podpora audiovizuálneho umenia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8"/>
        <w:gridCol w:w="3068"/>
        <w:gridCol w:w="1324"/>
      </w:tblGrid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lastRenderedPageBreak/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V.2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Partners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Production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Medzinárodný filmový festival Bratislava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MČ Karlova Ves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Obnovenie filmového klubu </w:t>
            </w:r>
            <w:proofErr w:type="spellStart"/>
            <w:r>
              <w:rPr>
                <w:rFonts w:ascii="Calibri" w:hAnsi="Calibri" w:cs="Calibri"/>
                <w:lang w:eastAsia="en-US"/>
              </w:rPr>
              <w:t>Kamel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Anča,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Fest Anča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Punkchart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films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Erik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16 000,00 €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plutoon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sro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Srdce veže (vývoj)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V.19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plackartnyj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39 týždňov, 6 dní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8 000,00 €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Theme="minorHAnsi" w:eastAsiaTheme="minorHAnsi" w:hAnsiTheme="min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Theme="minorHAnsi" w:eastAsiaTheme="minorHAnsi" w:hAnsiTheme="min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US"/>
              </w:rPr>
              <w:t>53 000,00 €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4.6</w:t>
      </w:r>
      <w:r w:rsidRPr="00FF3A7F">
        <w:rPr>
          <w:rFonts w:ascii="Times New Roman" w:hAnsi="Times New Roman" w:cs="Times New Roman"/>
        </w:rPr>
        <w:tab/>
        <w:t xml:space="preserve">M. </w:t>
      </w:r>
      <w:proofErr w:type="spellStart"/>
      <w:r w:rsidRPr="00FF3A7F">
        <w:rPr>
          <w:rFonts w:ascii="Times New Roman" w:hAnsi="Times New Roman" w:cs="Times New Roman"/>
        </w:rPr>
        <w:t>Hvorecký</w:t>
      </w:r>
      <w:proofErr w:type="spellEnd"/>
      <w:r w:rsidRPr="00FF3A7F">
        <w:rPr>
          <w:rFonts w:ascii="Times New Roman" w:hAnsi="Times New Roman" w:cs="Times New Roman"/>
        </w:rPr>
        <w:t>, VI. Podpora literatúry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8"/>
        <w:gridCol w:w="3068"/>
        <w:gridCol w:w="1324"/>
      </w:tblGrid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TICHO a spol.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Kniha k 5. narodeninám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Ľudový súbor Kráľová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Kráľová je pekná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dzedzina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Príležitostný robotník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Pracovná pamäť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Kvetuša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Dašková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Dávidkov denník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BRAK,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Bra</w:t>
            </w:r>
            <w:proofErr w:type="spellEnd"/>
            <w:r>
              <w:rPr>
                <w:rFonts w:ascii="Calibri" w:hAnsi="Calibri" w:cs="Calibri"/>
                <w:lang w:eastAsia="en-US"/>
              </w:rPr>
              <w:t>(e)</w:t>
            </w:r>
            <w:proofErr w:type="spellStart"/>
            <w:r>
              <w:rPr>
                <w:rFonts w:ascii="Calibri" w:hAnsi="Calibri" w:cs="Calibri"/>
                <w:lang w:eastAsia="en-US"/>
              </w:rPr>
              <w:t>Kfast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900,00 €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ars_litera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Živý bič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Csemadok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Knižka Bratislavské cintoríny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MÚ MČ Karlova Ves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Letné čitárne pre Karlovešťanov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450,00 €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Artfórum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Česi, vitajte!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1 600,00 €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Mestské centrum kultúry Malacky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Zborník Malacky a okolie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94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Galéria mesta Bratislavy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Korunovácie v Bratislave - vydanie reprezentatívnej zbierky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VI.19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Spolok nepočujúcich pedagógov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Črepiny hluchoty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650,00 €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27 600,00 €</w:t>
            </w:r>
          </w:p>
        </w:tc>
      </w:tr>
    </w:tbl>
    <w:p w:rsidR="00FF3A7F" w:rsidRDefault="00FF3A7F" w:rsidP="00FF3A7F">
      <w:pPr>
        <w:tabs>
          <w:tab w:val="left" w:pos="567"/>
        </w:tabs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4.7</w:t>
      </w:r>
      <w:r w:rsidRPr="00FF3A7F">
        <w:rPr>
          <w:rFonts w:ascii="Times New Roman" w:hAnsi="Times New Roman" w:cs="Times New Roman"/>
        </w:rPr>
        <w:tab/>
        <w:t xml:space="preserve">J. </w:t>
      </w:r>
      <w:proofErr w:type="spellStart"/>
      <w:r w:rsidRPr="00FF3A7F">
        <w:rPr>
          <w:rFonts w:ascii="Times New Roman" w:hAnsi="Times New Roman" w:cs="Times New Roman"/>
        </w:rPr>
        <w:t>Čutek</w:t>
      </w:r>
      <w:proofErr w:type="spellEnd"/>
      <w:r w:rsidRPr="00FF3A7F">
        <w:rPr>
          <w:rFonts w:ascii="Times New Roman" w:hAnsi="Times New Roman" w:cs="Times New Roman"/>
        </w:rPr>
        <w:t>, VII. Podpora výtvarného umenia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8"/>
        <w:gridCol w:w="3068"/>
        <w:gridCol w:w="1324"/>
      </w:tblGrid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lastRenderedPageBreak/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Asociácia pre </w:t>
            </w:r>
            <w:proofErr w:type="spellStart"/>
            <w:r>
              <w:rPr>
                <w:rFonts w:ascii="Calibri" w:hAnsi="Calibri" w:cs="Calibri"/>
                <w:lang w:eastAsia="en-US"/>
              </w:rPr>
              <w:t>mládže</w:t>
            </w:r>
            <w:proofErr w:type="spellEnd"/>
            <w:r>
              <w:rPr>
                <w:rFonts w:ascii="Calibri" w:hAnsi="Calibri" w:cs="Calibri"/>
                <w:lang w:eastAsia="en-US"/>
              </w:rPr>
              <w:t>, vedu a techniku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Modrá škola 2015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1 300,00 €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Galéria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Nedbalka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Cyklus prednášok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Galéria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Nedbalka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Vydavateľská činnosť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KUPIDO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miniART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Ivana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Palečková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Autorská fotografická kniha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VŠVU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Verejný priestor Obchodná ulica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Hardness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lang w:eastAsia="en-US"/>
              </w:rPr>
              <w:t>Blackness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X kresba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HáPS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Hommage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a Peter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Strassner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Mladý pes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GameArt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VII.15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VŠVU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SK/AT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VII.18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FOTOFO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25. ročník Mesiaca fotografie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24 300,00 €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Za hlasovalo všetkých 9 prítomných členov Rady. 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4.8</w:t>
      </w:r>
      <w:r w:rsidRPr="00FF3A7F">
        <w:rPr>
          <w:rFonts w:ascii="Times New Roman" w:hAnsi="Times New Roman" w:cs="Times New Roman"/>
        </w:rPr>
        <w:tab/>
        <w:t xml:space="preserve">A. </w:t>
      </w:r>
      <w:proofErr w:type="spellStart"/>
      <w:r w:rsidRPr="00FF3A7F">
        <w:rPr>
          <w:rFonts w:ascii="Times New Roman" w:hAnsi="Times New Roman" w:cs="Times New Roman"/>
        </w:rPr>
        <w:t>Rajter</w:t>
      </w:r>
      <w:proofErr w:type="spellEnd"/>
      <w:r w:rsidRPr="00FF3A7F">
        <w:rPr>
          <w:rFonts w:ascii="Times New Roman" w:hAnsi="Times New Roman" w:cs="Times New Roman"/>
        </w:rPr>
        <w:t>, VIII. Podpora hudobného umenia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9"/>
        <w:gridCol w:w="3067"/>
        <w:gridCol w:w="1324"/>
      </w:tblGrid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Rock Pop Bratislava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Bratislavské Jazzové Dni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9 000,00 €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AMITY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World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music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from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Slovakia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7 000,00 €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Atrakt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Art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Martin </w:t>
            </w:r>
            <w:proofErr w:type="spellStart"/>
            <w:r>
              <w:rPr>
                <w:rFonts w:ascii="Calibri" w:hAnsi="Calibri" w:cs="Calibri"/>
                <w:lang w:eastAsia="en-US"/>
              </w:rPr>
              <w:t>Burlas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2 200,00 €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Atrakt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Art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NEXT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Pendant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Waves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Bratislava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Slovenský ochranný zväz autorský,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Ceny SOZA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TRADITION,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Festival židovskej kultúry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LP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Studio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Vydanie CD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Dream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Rhapsody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Hlava XXII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Tales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from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my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diary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Life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Music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Gallery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One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day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jazz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festival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Hlava XXII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Slovak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Sounds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Konvergencie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CD Uspávanky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VIII.18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Real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Music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House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Jozef Vlk/</w:t>
            </w:r>
            <w:proofErr w:type="spellStart"/>
            <w:r>
              <w:rPr>
                <w:rFonts w:ascii="Calibri" w:hAnsi="Calibri" w:cs="Calibri"/>
                <w:lang w:eastAsia="en-US"/>
              </w:rPr>
              <w:t>Recycled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1 500,00 €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ARTE,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Incognito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lang w:eastAsia="en-US"/>
              </w:rPr>
              <w:t>finally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VIII.23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ARTE,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Bratislavská </w:t>
            </w:r>
            <w:proofErr w:type="spellStart"/>
            <w:r>
              <w:rPr>
                <w:rFonts w:ascii="Calibri" w:hAnsi="Calibri" w:cs="Calibri"/>
                <w:lang w:eastAsia="en-US"/>
              </w:rPr>
              <w:t>tančiareň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6 000,00 €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VIII.32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ALLEPH,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sro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Vienna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1728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Spolu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72 700,00 €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>Za hlasovalo všetkých 9 prítomných členov Rady.</w:t>
      </w:r>
    </w:p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4.9</w:t>
      </w:r>
      <w:r w:rsidRPr="00FF3A7F">
        <w:rPr>
          <w:rFonts w:ascii="Times New Roman" w:hAnsi="Times New Roman" w:cs="Times New Roman"/>
        </w:rPr>
        <w:tab/>
        <w:t xml:space="preserve">F. </w:t>
      </w:r>
      <w:proofErr w:type="spellStart"/>
      <w:r w:rsidRPr="00FF3A7F">
        <w:rPr>
          <w:rFonts w:ascii="Times New Roman" w:hAnsi="Times New Roman" w:cs="Times New Roman"/>
        </w:rPr>
        <w:t>Blaščák</w:t>
      </w:r>
      <w:proofErr w:type="spellEnd"/>
      <w:r w:rsidRPr="00FF3A7F">
        <w:rPr>
          <w:rFonts w:ascii="Times New Roman" w:hAnsi="Times New Roman" w:cs="Times New Roman"/>
        </w:rPr>
        <w:t xml:space="preserve">, IX. Podpora medziodborových aktivít 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828"/>
        <w:gridCol w:w="3068"/>
        <w:gridCol w:w="1324"/>
      </w:tblGrid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žiadosť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žiadateľ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názov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navrhovaná podpora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Asociácia CORPUS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Kolobežka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Asociácia CORPUS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Tanečné divadlo </w:t>
            </w:r>
            <w:proofErr w:type="spellStart"/>
            <w:r>
              <w:rPr>
                <w:rFonts w:ascii="Calibri" w:hAnsi="Calibri" w:cs="Calibri"/>
                <w:lang w:eastAsia="en-US"/>
              </w:rPr>
              <w:t>Bralen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- 40 rokov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Furia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Film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sro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Festival svetla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PUNKT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Pecha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Kucha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Night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Bratislava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volume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Nina </w:t>
            </w:r>
            <w:proofErr w:type="spellStart"/>
            <w:r>
              <w:rPr>
                <w:rFonts w:ascii="Calibri" w:hAnsi="Calibri" w:cs="Calibri"/>
                <w:lang w:eastAsia="en-US"/>
              </w:rPr>
              <w:t>Vartíková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Medzikultúrny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dialóg </w:t>
            </w:r>
            <w:proofErr w:type="spellStart"/>
            <w:r>
              <w:rPr>
                <w:rFonts w:ascii="Calibri" w:hAnsi="Calibri" w:cs="Calibri"/>
                <w:lang w:eastAsia="en-US"/>
              </w:rPr>
              <w:t>Brasil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Visual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Divadlo pod kostolom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Festival </w:t>
            </w:r>
            <w:proofErr w:type="spellStart"/>
            <w:r>
              <w:rPr>
                <w:rFonts w:ascii="Calibri" w:hAnsi="Calibri" w:cs="Calibri"/>
                <w:lang w:eastAsia="en-US"/>
              </w:rPr>
              <w:t>Ružinow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2015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Čerstvé ovocie no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Urban </w:t>
            </w:r>
            <w:proofErr w:type="spellStart"/>
            <w:r>
              <w:rPr>
                <w:rFonts w:ascii="Calibri" w:hAnsi="Calibri" w:cs="Calibri"/>
                <w:lang w:eastAsia="en-US"/>
              </w:rPr>
              <w:t>market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2015 (</w:t>
            </w:r>
            <w:proofErr w:type="spellStart"/>
            <w:r>
              <w:rPr>
                <w:rFonts w:ascii="Calibri" w:hAnsi="Calibri" w:cs="Calibri"/>
                <w:lang w:eastAsia="en-US"/>
              </w:rPr>
              <w:t>Winter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edition</w:t>
            </w:r>
            <w:proofErr w:type="spellEnd"/>
            <w:r>
              <w:rPr>
                <w:rFonts w:ascii="Calibri" w:hAnsi="Calibri" w:cs="Calibri"/>
                <w:lang w:eastAsia="en-US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PUNKT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Vianočný dobrý trh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Miroslav Gábriš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Multimediálne laboratórium </w:t>
            </w:r>
            <w:proofErr w:type="spellStart"/>
            <w:r>
              <w:rPr>
                <w:rFonts w:ascii="Calibri" w:hAnsi="Calibri" w:cs="Calibri"/>
                <w:lang w:eastAsia="en-US"/>
              </w:rPr>
              <w:t>Studio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C1, 2 Cvernovka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94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proofErr w:type="spellStart"/>
            <w:r>
              <w:rPr>
                <w:rFonts w:ascii="Calibri" w:hAnsi="Calibri" w:cs="Calibri"/>
                <w:lang w:eastAsia="en-US"/>
              </w:rPr>
              <w:t>Academia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Istropolitana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Nova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Scenár a dramaturgia festivalu Umenie a víno - Svetový Jur a ďalšie aktivity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IX.19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Projekt Fórum, </w:t>
            </w:r>
            <w:proofErr w:type="spellStart"/>
            <w:r>
              <w:rPr>
                <w:rFonts w:ascii="Calibri" w:hAnsi="Calibri" w:cs="Calibri"/>
                <w:lang w:eastAsia="en-US"/>
              </w:rPr>
              <w:t>oz</w:t>
            </w:r>
            <w:proofErr w:type="spellEnd"/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Stredoeurópske fórum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15 000,00 €</w:t>
            </w:r>
          </w:p>
        </w:tc>
      </w:tr>
      <w:tr w:rsidR="00FF3A7F" w:rsidTr="00FF3A7F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b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spolu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3A7F" w:rsidRDefault="00FF3A7F">
            <w:pPr>
              <w:spacing w:line="276" w:lineRule="auto"/>
              <w:rPr>
                <w:rFonts w:ascii="Calibri" w:hAnsi="Calibri" w:cs="Calibri"/>
                <w:szCs w:val="24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3A7F" w:rsidRDefault="00FF3A7F">
            <w:pPr>
              <w:spacing w:line="276" w:lineRule="auto"/>
              <w:jc w:val="right"/>
              <w:rPr>
                <w:rFonts w:ascii="Calibri" w:hAnsi="Calibri" w:cs="Calibri"/>
                <w:b/>
                <w:bCs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lang w:eastAsia="en-US"/>
              </w:rPr>
              <w:t>30 000,00 €</w:t>
            </w:r>
          </w:p>
        </w:tc>
      </w:tr>
    </w:tbl>
    <w:p w:rsidR="00FF3A7F" w:rsidRDefault="00FF3A7F" w:rsidP="00FF3A7F">
      <w:pPr>
        <w:tabs>
          <w:tab w:val="left" w:pos="567"/>
        </w:tabs>
        <w:ind w:left="567" w:hanging="567"/>
      </w:pPr>
    </w:p>
    <w:p w:rsidR="00FF3A7F" w:rsidRDefault="00FF3A7F" w:rsidP="00FF3A7F">
      <w:pPr>
        <w:tabs>
          <w:tab w:val="left" w:pos="567"/>
        </w:tabs>
        <w:ind w:left="567" w:hanging="567"/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tab/>
      </w:r>
      <w:r w:rsidRPr="00FF3A7F">
        <w:rPr>
          <w:rFonts w:ascii="Times New Roman" w:hAnsi="Times New Roman" w:cs="Times New Roman"/>
        </w:rPr>
        <w:t>Predseda Rady vyzval prítomných na hlasovanie za schválenie zoznamu.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>Za hlasovalo všetkých 9 prítomných členov Rady.</w:t>
      </w: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  <w:b/>
        </w:rPr>
        <w:tab/>
        <w:t>Návrhy na dotácie pre všetky oblasti boli jednohlasne schválené. Rada odporúča poskytnúť žiadateľom dotácie v zmysle priložených zoznamov pre jednotlivé oblasti.</w:t>
      </w:r>
    </w:p>
    <w:p w:rsidR="00FF3A7F" w:rsidRDefault="00FF3A7F" w:rsidP="00FF3A7F">
      <w:pPr>
        <w:tabs>
          <w:tab w:val="left" w:pos="567"/>
        </w:tabs>
        <w:rPr>
          <w:rFonts w:ascii="Times New Roman" w:hAnsi="Times New Roman" w:cs="Times New Roman"/>
        </w:rPr>
      </w:pPr>
    </w:p>
    <w:p w:rsidR="00FF3A7F" w:rsidRDefault="00FF3A7F" w:rsidP="00FF3A7F">
      <w:pPr>
        <w:tabs>
          <w:tab w:val="left" w:pos="567"/>
        </w:tabs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rPr>
          <w:rFonts w:ascii="Times New Roman" w:hAnsi="Times New Roman" w:cs="Times New Roman"/>
        </w:rPr>
      </w:pPr>
    </w:p>
    <w:p w:rsidR="00FF3A7F" w:rsidRPr="00FF3A7F" w:rsidRDefault="00FF3A7F" w:rsidP="00FF3A7F">
      <w:pPr>
        <w:tabs>
          <w:tab w:val="left" w:pos="567"/>
        </w:tabs>
        <w:ind w:left="567" w:hanging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A7F">
        <w:rPr>
          <w:rFonts w:ascii="Times New Roman" w:hAnsi="Times New Roman" w:cs="Times New Roman"/>
          <w:b/>
          <w:sz w:val="28"/>
          <w:szCs w:val="28"/>
          <w:u w:val="single"/>
        </w:rPr>
        <w:t>K bodu 5</w:t>
      </w:r>
    </w:p>
    <w:p w:rsidR="00FF3A7F" w:rsidRPr="00FF3A7F" w:rsidRDefault="00FF3A7F" w:rsidP="00FF3A7F">
      <w:pPr>
        <w:rPr>
          <w:rFonts w:ascii="Times New Roman" w:hAnsi="Times New Roman" w:cs="Times New Roman"/>
          <w:szCs w:val="24"/>
        </w:rPr>
      </w:pPr>
      <w:r w:rsidRPr="00FF3A7F">
        <w:rPr>
          <w:rFonts w:ascii="Times New Roman" w:hAnsi="Times New Roman" w:cs="Times New Roman"/>
        </w:rPr>
        <w:t xml:space="preserve">F. </w:t>
      </w:r>
      <w:proofErr w:type="spellStart"/>
      <w:r w:rsidRPr="00FF3A7F">
        <w:rPr>
          <w:rFonts w:ascii="Times New Roman" w:hAnsi="Times New Roman" w:cs="Times New Roman"/>
        </w:rPr>
        <w:t>Blaščák</w:t>
      </w:r>
      <w:proofErr w:type="spellEnd"/>
      <w:r w:rsidRPr="00FF3A7F">
        <w:rPr>
          <w:rFonts w:ascii="Times New Roman" w:hAnsi="Times New Roman" w:cs="Times New Roman"/>
        </w:rPr>
        <w:t xml:space="preserve"> otvoril otázku zverejnenia hodnotení dotácií. Kvôli veľkej časovej tiesni nemali niektorí hodnotitelia možnosť vypracovať detailné komentáre, preto ich hodnotenia treba považovať za interný materiál. P. </w:t>
      </w:r>
      <w:proofErr w:type="spellStart"/>
      <w:r w:rsidRPr="00FF3A7F">
        <w:rPr>
          <w:rFonts w:ascii="Times New Roman" w:hAnsi="Times New Roman" w:cs="Times New Roman"/>
        </w:rPr>
        <w:t>Kerekes</w:t>
      </w:r>
      <w:proofErr w:type="spellEnd"/>
      <w:r w:rsidRPr="00FF3A7F">
        <w:rPr>
          <w:rFonts w:ascii="Times New Roman" w:hAnsi="Times New Roman" w:cs="Times New Roman"/>
        </w:rPr>
        <w:t xml:space="preserve"> zdôraznil, že sprístupnené hodnotenia budú v budúcnosti slúžiť ako vzor pre všetkých potenciálnych žiadateľov. Členovia Rady nepovažujú za vhodné zverejňovať hodnotenia v tomto kole výzvy. V rámci nasledujúcej výzvy hodnotenia odporúčajú zverejniť.</w:t>
      </w:r>
    </w:p>
    <w:p w:rsidR="00FF3A7F" w:rsidRPr="00FF3A7F" w:rsidRDefault="00FF3A7F" w:rsidP="00FF3A7F">
      <w:pPr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lastRenderedPageBreak/>
        <w:t xml:space="preserve">F. </w:t>
      </w:r>
      <w:proofErr w:type="spellStart"/>
      <w:r w:rsidRPr="00FF3A7F">
        <w:rPr>
          <w:rFonts w:ascii="Times New Roman" w:hAnsi="Times New Roman" w:cs="Times New Roman"/>
        </w:rPr>
        <w:t>Blaščák</w:t>
      </w:r>
      <w:proofErr w:type="spellEnd"/>
      <w:r w:rsidRPr="00FF3A7F">
        <w:rPr>
          <w:rFonts w:ascii="Times New Roman" w:hAnsi="Times New Roman" w:cs="Times New Roman"/>
        </w:rPr>
        <w:t xml:space="preserve"> navrhol vytvoriť pre nasledujúcu výzvu nový podprogram 10. Podpora infraštruktúry kultúrnych subjektov. Ostatní členovia Rady jeho návrh podporili.</w:t>
      </w:r>
    </w:p>
    <w:p w:rsidR="00FF3A7F" w:rsidRPr="00FF3A7F" w:rsidRDefault="00FF3A7F" w:rsidP="00FF3A7F">
      <w:pPr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Predseda rady a prítomní zástupcovia BSK poďakovali členom Rady za spoluprácu a následne predseda Rady ukončil 1. zasadnutie Rady BSK pre kultúru a umenie.</w:t>
      </w:r>
    </w:p>
    <w:p w:rsidR="00FF3A7F" w:rsidRDefault="00FF3A7F" w:rsidP="00FF3A7F"/>
    <w:p w:rsidR="00FF3A7F" w:rsidRDefault="00FF3A7F" w:rsidP="00FF3A7F"/>
    <w:p w:rsidR="00FF3A7F" w:rsidRDefault="00FF3A7F" w:rsidP="00FF3A7F"/>
    <w:p w:rsidR="00FF3A7F" w:rsidRPr="00FF3A7F" w:rsidRDefault="00FF3A7F" w:rsidP="00FF3A7F">
      <w:pPr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 xml:space="preserve">Zápis vypracoval: </w:t>
      </w:r>
      <w:proofErr w:type="spellStart"/>
      <w:r w:rsidRPr="00FF3A7F">
        <w:rPr>
          <w:rFonts w:ascii="Times New Roman" w:hAnsi="Times New Roman" w:cs="Times New Roman"/>
        </w:rPr>
        <w:t>Dott</w:t>
      </w:r>
      <w:proofErr w:type="spellEnd"/>
      <w:r w:rsidRPr="00FF3A7F">
        <w:rPr>
          <w:rFonts w:ascii="Times New Roman" w:hAnsi="Times New Roman" w:cs="Times New Roman"/>
        </w:rPr>
        <w:t xml:space="preserve">. M. </w:t>
      </w:r>
      <w:proofErr w:type="spellStart"/>
      <w:r w:rsidRPr="00FF3A7F">
        <w:rPr>
          <w:rFonts w:ascii="Times New Roman" w:hAnsi="Times New Roman" w:cs="Times New Roman"/>
        </w:rPr>
        <w:t>Denci</w:t>
      </w:r>
      <w:proofErr w:type="spellEnd"/>
      <w:r w:rsidRPr="00FF3A7F">
        <w:rPr>
          <w:rFonts w:ascii="Times New Roman" w:hAnsi="Times New Roman" w:cs="Times New Roman"/>
        </w:rPr>
        <w:t>, tajomník Rady</w:t>
      </w:r>
    </w:p>
    <w:p w:rsidR="00FF3A7F" w:rsidRPr="00FF3A7F" w:rsidRDefault="00FF3A7F" w:rsidP="00FF3A7F">
      <w:pPr>
        <w:rPr>
          <w:rFonts w:ascii="Times New Roman" w:hAnsi="Times New Roman" w:cs="Times New Roman"/>
        </w:rPr>
      </w:pPr>
    </w:p>
    <w:p w:rsidR="00FF3A7F" w:rsidRPr="00FF3A7F" w:rsidRDefault="00FF3A7F" w:rsidP="00FF3A7F">
      <w:pPr>
        <w:rPr>
          <w:rFonts w:ascii="Times New Roman" w:hAnsi="Times New Roman" w:cs="Times New Roman"/>
        </w:rPr>
      </w:pPr>
    </w:p>
    <w:p w:rsidR="00FF3A7F" w:rsidRPr="00FF3A7F" w:rsidRDefault="00FF3A7F" w:rsidP="00FF3A7F">
      <w:pPr>
        <w:rPr>
          <w:rFonts w:ascii="Times New Roman" w:hAnsi="Times New Roman" w:cs="Times New Roman"/>
        </w:rPr>
      </w:pPr>
    </w:p>
    <w:p w:rsidR="00FF3A7F" w:rsidRPr="00FF3A7F" w:rsidRDefault="00FF3A7F" w:rsidP="00FF3A7F">
      <w:pPr>
        <w:rPr>
          <w:rFonts w:ascii="Times New Roman" w:hAnsi="Times New Roman" w:cs="Times New Roman"/>
        </w:rPr>
      </w:pPr>
      <w:r w:rsidRPr="00FF3A7F">
        <w:rPr>
          <w:rFonts w:ascii="Times New Roman" w:hAnsi="Times New Roman" w:cs="Times New Roman"/>
        </w:rPr>
        <w:t>Zápis schválil dňa: 21.8.2015</w:t>
      </w:r>
    </w:p>
    <w:p w:rsidR="00FF3A7F" w:rsidRPr="00FF3A7F" w:rsidRDefault="00FF3A7F" w:rsidP="00FF3A7F">
      <w:pPr>
        <w:tabs>
          <w:tab w:val="center" w:pos="6521"/>
        </w:tabs>
        <w:rPr>
          <w:rFonts w:ascii="Times New Roman" w:hAnsi="Times New Roman" w:cs="Times New Roman"/>
          <w:b/>
        </w:rPr>
      </w:pPr>
      <w:r w:rsidRPr="00FF3A7F">
        <w:rPr>
          <w:rFonts w:ascii="Times New Roman" w:hAnsi="Times New Roman" w:cs="Times New Roman"/>
        </w:rPr>
        <w:tab/>
      </w:r>
      <w:r w:rsidRPr="00FF3A7F">
        <w:rPr>
          <w:rFonts w:ascii="Times New Roman" w:hAnsi="Times New Roman" w:cs="Times New Roman"/>
          <w:b/>
        </w:rPr>
        <w:t xml:space="preserve">Michal </w:t>
      </w:r>
      <w:proofErr w:type="spellStart"/>
      <w:r w:rsidRPr="00FF3A7F">
        <w:rPr>
          <w:rFonts w:ascii="Times New Roman" w:hAnsi="Times New Roman" w:cs="Times New Roman"/>
          <w:b/>
        </w:rPr>
        <w:t>Hvorecký</w:t>
      </w:r>
      <w:proofErr w:type="spellEnd"/>
      <w:r w:rsidRPr="00FF3A7F">
        <w:rPr>
          <w:rFonts w:ascii="Times New Roman" w:hAnsi="Times New Roman" w:cs="Times New Roman"/>
          <w:b/>
        </w:rPr>
        <w:t xml:space="preserve">          </w:t>
      </w:r>
      <w:r w:rsidRPr="00FF3A7F">
        <w:rPr>
          <w:rFonts w:ascii="Times New Roman" w:hAnsi="Times New Roman" w:cs="Times New Roman"/>
        </w:rPr>
        <w:tab/>
        <w:t>predseda Rady</w:t>
      </w:r>
    </w:p>
    <w:p w:rsidR="00FF3A7F" w:rsidRPr="00FF3A7F" w:rsidRDefault="00FF3A7F" w:rsidP="00FF3A7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3E220C" w:rsidRDefault="003E220C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E220C" w:rsidRDefault="003E220C" w:rsidP="003E220C">
      <w:pPr>
        <w:rPr>
          <w:rFonts w:ascii="Times New Roman" w:hAnsi="Times New Roman" w:cs="Times New Roman"/>
        </w:rPr>
        <w:sectPr w:rsidR="003E220C" w:rsidSect="000804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220C" w:rsidRDefault="003E220C" w:rsidP="003E220C">
      <w:pPr>
        <w:jc w:val="center"/>
        <w:rPr>
          <w:rFonts w:eastAsia="Arial Unicode MS"/>
          <w:b/>
          <w:sz w:val="32"/>
          <w:szCs w:val="32"/>
        </w:rPr>
      </w:pPr>
      <w:r w:rsidRPr="008C38AE">
        <w:rPr>
          <w:rFonts w:eastAsia="Arial Unicode MS"/>
          <w:b/>
          <w:sz w:val="32"/>
          <w:szCs w:val="32"/>
        </w:rPr>
        <w:lastRenderedPageBreak/>
        <w:t>Stanoviská komisií Zastupiteľstva BSK</w:t>
      </w:r>
    </w:p>
    <w:p w:rsidR="003E220C" w:rsidRPr="00B323F2" w:rsidRDefault="003E220C" w:rsidP="003E220C">
      <w:pPr>
        <w:jc w:val="center"/>
        <w:rPr>
          <w:b/>
          <w:szCs w:val="22"/>
        </w:rPr>
      </w:pPr>
      <w:r>
        <w:rPr>
          <w:b/>
          <w:bCs/>
          <w:sz w:val="22"/>
          <w:szCs w:val="20"/>
        </w:rPr>
        <w:t>Materiál do Z BSK: „Návrh na poskytnutie dotácií z Bratislavskej regionálnej dotačnej schémy na podporu kultúry“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796"/>
        <w:gridCol w:w="1560"/>
        <w:gridCol w:w="1842"/>
        <w:gridCol w:w="1872"/>
      </w:tblGrid>
      <w:tr w:rsidR="003E220C" w:rsidTr="00523399">
        <w:tc>
          <w:tcPr>
            <w:tcW w:w="2518" w:type="dxa"/>
            <w:shd w:val="clear" w:color="auto" w:fill="auto"/>
          </w:tcPr>
          <w:p w:rsidR="003E220C" w:rsidRPr="00D63567" w:rsidRDefault="003E220C" w:rsidP="00523399">
            <w:pPr>
              <w:rPr>
                <w:rFonts w:eastAsia="Arial Unicode MS"/>
                <w:b/>
                <w:sz w:val="22"/>
                <w:szCs w:val="22"/>
              </w:rPr>
            </w:pPr>
            <w:r w:rsidRPr="00D63567">
              <w:rPr>
                <w:rFonts w:eastAsia="Arial Unicode MS"/>
                <w:b/>
                <w:sz w:val="22"/>
                <w:szCs w:val="22"/>
              </w:rPr>
              <w:t>Názov komisie</w:t>
            </w:r>
          </w:p>
          <w:p w:rsidR="003E220C" w:rsidRDefault="003E220C" w:rsidP="00523399"/>
        </w:tc>
        <w:tc>
          <w:tcPr>
            <w:tcW w:w="7796" w:type="dxa"/>
            <w:shd w:val="clear" w:color="auto" w:fill="auto"/>
          </w:tcPr>
          <w:p w:rsidR="003E220C" w:rsidRDefault="003E220C" w:rsidP="00523399">
            <w:pPr>
              <w:jc w:val="center"/>
            </w:pPr>
            <w:r w:rsidRPr="00D63567">
              <w:rPr>
                <w:rFonts w:eastAsia="Arial Unicode MS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60" w:type="dxa"/>
            <w:shd w:val="clear" w:color="auto" w:fill="auto"/>
          </w:tcPr>
          <w:p w:rsidR="003E220C" w:rsidRPr="00D63567" w:rsidRDefault="003E220C" w:rsidP="00523399">
            <w:pPr>
              <w:rPr>
                <w:b/>
                <w:sz w:val="22"/>
                <w:szCs w:val="22"/>
              </w:rPr>
            </w:pPr>
            <w:r w:rsidRPr="00D63567">
              <w:rPr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2" w:type="dxa"/>
            <w:shd w:val="clear" w:color="auto" w:fill="auto"/>
          </w:tcPr>
          <w:p w:rsidR="003E220C" w:rsidRPr="0074172D" w:rsidRDefault="003E220C" w:rsidP="00523399">
            <w:pPr>
              <w:rPr>
                <w:rFonts w:eastAsia="Arial Unicode MS"/>
                <w:b/>
                <w:sz w:val="22"/>
                <w:szCs w:val="22"/>
              </w:rPr>
            </w:pPr>
            <w:r w:rsidRPr="00D63567">
              <w:rPr>
                <w:rFonts w:eastAsia="Arial Unicode MS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872" w:type="dxa"/>
            <w:shd w:val="clear" w:color="auto" w:fill="auto"/>
          </w:tcPr>
          <w:p w:rsidR="003E220C" w:rsidRDefault="003E220C" w:rsidP="00523399">
            <w:r w:rsidRPr="00D63567">
              <w:rPr>
                <w:rFonts w:eastAsia="Arial Unicode MS"/>
                <w:b/>
                <w:sz w:val="22"/>
                <w:szCs w:val="22"/>
              </w:rPr>
              <w:t>Zapracované / Nezapracované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Mandátová komisia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D34FAF" w:rsidRDefault="003E220C" w:rsidP="0052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rFonts w:eastAsia="Arial Unicode MS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na ochranu verejného záujmu</w:t>
            </w:r>
            <w:r w:rsidRPr="00D34FAF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1D73E2" w:rsidRDefault="003E220C" w:rsidP="00523399">
            <w:pPr>
              <w:jc w:val="center"/>
            </w:pPr>
            <w:r w:rsidRPr="001D73E2"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rPr>
          <w:trHeight w:val="1228"/>
        </w:trPr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rFonts w:eastAsia="Arial Unicode MS"/>
                <w:sz w:val="22"/>
                <w:szCs w:val="22"/>
              </w:rPr>
            </w:pPr>
          </w:p>
          <w:p w:rsidR="003E220C" w:rsidRDefault="003E220C" w:rsidP="00523399">
            <w:pPr>
              <w:rPr>
                <w:rFonts w:eastAsia="Arial Unicode MS"/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Finančná komisia</w:t>
            </w:r>
          </w:p>
          <w:p w:rsidR="003E220C" w:rsidRPr="00D34FAF" w:rsidRDefault="003E220C" w:rsidP="00523399">
            <w:pPr>
              <w:ind w:right="-762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2825CC" w:rsidRDefault="003E220C" w:rsidP="0052339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both"/>
              <w:rPr>
                <w:sz w:val="22"/>
                <w:szCs w:val="22"/>
              </w:rPr>
            </w:pPr>
            <w:r w:rsidRPr="002825CC">
              <w:t>Finančná komisia odporúča Z BSK schváliť „Návrh na poskytnutie dotácií z Bratislavskej regionálnej dotačnej schémy na podporu kultúry“</w:t>
            </w:r>
          </w:p>
          <w:p w:rsidR="003E220C" w:rsidRPr="002825CC" w:rsidRDefault="003E220C" w:rsidP="0052339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both"/>
              <w:rPr>
                <w:sz w:val="22"/>
                <w:szCs w:val="22"/>
              </w:rPr>
            </w:pPr>
          </w:p>
          <w:p w:rsidR="003E220C" w:rsidRPr="002825CC" w:rsidRDefault="003E220C" w:rsidP="005233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Prítomní 6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3E220C" w:rsidRPr="001925C6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2321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color w:val="FF0000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7796" w:type="dxa"/>
            <w:shd w:val="clear" w:color="auto" w:fill="auto"/>
          </w:tcPr>
          <w:p w:rsidR="003E220C" w:rsidRDefault="003E220C" w:rsidP="005233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E220C" w:rsidRPr="00890771" w:rsidRDefault="003E220C" w:rsidP="0052339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3E220C" w:rsidRDefault="003E220C" w:rsidP="00523399">
            <w:pPr>
              <w:tabs>
                <w:tab w:val="left" w:pos="1090"/>
              </w:tabs>
              <w:spacing w:line="276" w:lineRule="auto"/>
              <w:rPr>
                <w:sz w:val="22"/>
                <w:szCs w:val="22"/>
              </w:rPr>
            </w:pPr>
          </w:p>
          <w:p w:rsidR="003E220C" w:rsidRPr="0023210C" w:rsidRDefault="003E220C" w:rsidP="00523399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E220C" w:rsidRPr="00890771" w:rsidRDefault="003E220C" w:rsidP="00523399">
            <w:pPr>
              <w:tabs>
                <w:tab w:val="left" w:pos="109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dopravy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rPr>
          <w:trHeight w:val="1063"/>
        </w:trPr>
        <w:tc>
          <w:tcPr>
            <w:tcW w:w="2518" w:type="dxa"/>
            <w:shd w:val="clear" w:color="auto" w:fill="auto"/>
          </w:tcPr>
          <w:p w:rsidR="003E220C" w:rsidRPr="00D34FAF" w:rsidRDefault="003E220C" w:rsidP="00523399">
            <w:pPr>
              <w:rPr>
                <w:rFonts w:eastAsia="Arial Unicode MS"/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rFonts w:eastAsia="Arial Unicode MS"/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D72084" w:rsidRDefault="003E220C" w:rsidP="00523399">
            <w:pPr>
              <w:tabs>
                <w:tab w:val="num" w:pos="1260"/>
              </w:tabs>
              <w:spacing w:line="240" w:lineRule="atLeast"/>
              <w:jc w:val="both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E220C" w:rsidRPr="009821A7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-</w:t>
            </w:r>
            <w:r w:rsidRPr="002321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Pr="00815758" w:rsidRDefault="003E220C" w:rsidP="00523399">
            <w:pPr>
              <w:rPr>
                <w:color w:val="FF0000"/>
                <w:sz w:val="22"/>
                <w:szCs w:val="22"/>
              </w:rPr>
            </w:pPr>
          </w:p>
          <w:p w:rsidR="003E220C" w:rsidRPr="00815758" w:rsidRDefault="003E220C" w:rsidP="00523399">
            <w:pPr>
              <w:rPr>
                <w:color w:val="FF0000"/>
                <w:sz w:val="22"/>
                <w:szCs w:val="22"/>
              </w:rPr>
            </w:pPr>
          </w:p>
          <w:p w:rsidR="003E220C" w:rsidRPr="000A4E89" w:rsidRDefault="003E220C" w:rsidP="00523399">
            <w:pPr>
              <w:rPr>
                <w:sz w:val="22"/>
                <w:szCs w:val="22"/>
              </w:rPr>
            </w:pPr>
            <w:r w:rsidRPr="000A4E89">
              <w:rPr>
                <w:sz w:val="22"/>
                <w:szCs w:val="22"/>
              </w:rPr>
              <w:t>Komisia kultúry</w:t>
            </w:r>
          </w:p>
          <w:p w:rsidR="003E220C" w:rsidRPr="00815758" w:rsidRDefault="003E220C" w:rsidP="00523399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7B48AF" w:rsidRDefault="003E220C" w:rsidP="00523399">
            <w:pPr>
              <w:jc w:val="both"/>
              <w:rPr>
                <w:color w:val="FF0000"/>
                <w:sz w:val="22"/>
                <w:szCs w:val="22"/>
              </w:rPr>
            </w:pPr>
            <w:r w:rsidRPr="007B48AF">
              <w:t xml:space="preserve">Komisia kultúry po prerokovaní  predložený materiál  schvaľuje </w:t>
            </w:r>
            <w:r>
              <w:t>s tým, že odporúča do materiálu zapracovať návrh dotačnej komisie a odporúča Z BSK takto upravený materiál prerokovať a schváliť</w:t>
            </w:r>
            <w:r w:rsidRPr="007B48AF">
              <w:t xml:space="preserve"> </w:t>
            </w:r>
            <w:r w:rsidRPr="007B48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Prítomní 6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 0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 hlasovania 0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Nehlasoval</w:t>
            </w:r>
            <w:r w:rsidRPr="00232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zapracované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2909D8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školstva, mládeže a</w:t>
            </w:r>
            <w:r>
              <w:rPr>
                <w:sz w:val="22"/>
                <w:szCs w:val="22"/>
              </w:rPr>
              <w:t> </w:t>
            </w:r>
            <w:r w:rsidRPr="00D34FAF">
              <w:rPr>
                <w:sz w:val="22"/>
                <w:szCs w:val="22"/>
              </w:rPr>
              <w:t>športu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8627D3" w:rsidRDefault="003E220C" w:rsidP="0052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Pr="008627D3" w:rsidRDefault="003E220C" w:rsidP="00523399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lastRenderedPageBreak/>
              <w:t>Komisia zdravotníctva a sociálnych vecí</w:t>
            </w:r>
          </w:p>
          <w:p w:rsidR="003E220C" w:rsidRPr="00D34FAF" w:rsidRDefault="003E220C" w:rsidP="0052339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7245D7" w:rsidRDefault="003E220C" w:rsidP="005233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-</w:t>
            </w:r>
          </w:p>
          <w:p w:rsidR="003E220C" w:rsidRPr="008627D3" w:rsidRDefault="003E220C" w:rsidP="00523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4A08F4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dotačná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AA46F1" w:rsidRDefault="003E220C" w:rsidP="00523399">
            <w:pPr>
              <w:pStyle w:val="Default"/>
              <w:spacing w:after="200" w:line="276" w:lineRule="auto"/>
              <w:rPr>
                <w:color w:val="auto"/>
                <w:sz w:val="22"/>
                <w:szCs w:val="22"/>
              </w:rPr>
            </w:pPr>
            <w:r w:rsidRPr="00AA46F1">
              <w:rPr>
                <w:b/>
                <w:color w:val="auto"/>
                <w:sz w:val="22"/>
                <w:szCs w:val="22"/>
              </w:rPr>
              <w:t>A</w:t>
            </w:r>
            <w:r w:rsidRPr="00AA46F1">
              <w:rPr>
                <w:color w:val="auto"/>
                <w:sz w:val="22"/>
                <w:szCs w:val="22"/>
              </w:rPr>
              <w:t>. Dotačná komisia schvaľuje predložený materiál, a odporúča Zastupiteľstvu BSK materiál prerokovať a schváliť s tým, že Dotačná komisia neodporúča poskytnúť nasledovné dotácie:</w:t>
            </w:r>
            <w:r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</w:t>
            </w:r>
            <w:r w:rsidRPr="00AA46F1">
              <w:rPr>
                <w:color w:val="auto"/>
                <w:sz w:val="22"/>
                <w:szCs w:val="22"/>
              </w:rPr>
              <w:t xml:space="preserve"> 1.  Slovenský ochranný zväz autorský, </w:t>
            </w:r>
            <w:proofErr w:type="spellStart"/>
            <w:r w:rsidRPr="00AA46F1">
              <w:rPr>
                <w:color w:val="auto"/>
                <w:sz w:val="22"/>
                <w:szCs w:val="22"/>
              </w:rPr>
              <w:t>o.z</w:t>
            </w:r>
            <w:proofErr w:type="spellEnd"/>
            <w:r w:rsidRPr="00AA46F1">
              <w:rPr>
                <w:color w:val="auto"/>
                <w:sz w:val="22"/>
                <w:szCs w:val="22"/>
              </w:rPr>
              <w:t>. vo výške 10</w:t>
            </w:r>
            <w:r>
              <w:rPr>
                <w:color w:val="auto"/>
                <w:sz w:val="22"/>
                <w:szCs w:val="22"/>
              </w:rPr>
              <w:t> </w:t>
            </w:r>
            <w:r w:rsidRPr="00AA46F1">
              <w:rPr>
                <w:color w:val="auto"/>
                <w:sz w:val="22"/>
                <w:szCs w:val="22"/>
              </w:rPr>
              <w:t>000</w:t>
            </w:r>
            <w:r>
              <w:rPr>
                <w:color w:val="auto"/>
                <w:sz w:val="22"/>
                <w:szCs w:val="22"/>
              </w:rPr>
              <w:t>,-</w:t>
            </w:r>
            <w:r w:rsidRPr="00AA46F1">
              <w:rPr>
                <w:color w:val="auto"/>
                <w:sz w:val="22"/>
                <w:szCs w:val="22"/>
              </w:rPr>
              <w:t xml:space="preserve"> € na projekt Ceny SOZA</w:t>
            </w:r>
            <w:r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  <w:r w:rsidRPr="00AA46F1">
              <w:rPr>
                <w:color w:val="auto"/>
                <w:sz w:val="22"/>
                <w:szCs w:val="22"/>
              </w:rPr>
              <w:t>2.  Rock Pop Bratislava, s.r.o. vo výške 9</w:t>
            </w:r>
            <w:r>
              <w:rPr>
                <w:color w:val="auto"/>
                <w:sz w:val="22"/>
                <w:szCs w:val="22"/>
              </w:rPr>
              <w:t> </w:t>
            </w:r>
            <w:r w:rsidRPr="00AA46F1">
              <w:rPr>
                <w:color w:val="auto"/>
                <w:sz w:val="22"/>
                <w:szCs w:val="22"/>
              </w:rPr>
              <w:t>000</w:t>
            </w:r>
            <w:r>
              <w:rPr>
                <w:color w:val="auto"/>
                <w:sz w:val="22"/>
                <w:szCs w:val="22"/>
              </w:rPr>
              <w:t>,-</w:t>
            </w:r>
            <w:r w:rsidRPr="00AA46F1">
              <w:rPr>
                <w:color w:val="auto"/>
                <w:sz w:val="22"/>
                <w:szCs w:val="22"/>
              </w:rPr>
              <w:t xml:space="preserve"> € na projekt Bratislavské Jazzové Dni  SLSP 2015                   </w:t>
            </w:r>
          </w:p>
          <w:p w:rsidR="003E220C" w:rsidRPr="00AA46F1" w:rsidRDefault="003E220C" w:rsidP="00523399">
            <w:pPr>
              <w:pStyle w:val="Default"/>
              <w:spacing w:after="200" w:line="276" w:lineRule="auto"/>
              <w:jc w:val="both"/>
              <w:rPr>
                <w:color w:val="auto"/>
                <w:sz w:val="22"/>
                <w:szCs w:val="22"/>
              </w:rPr>
            </w:pPr>
            <w:r w:rsidRPr="00AA46F1">
              <w:rPr>
                <w:b/>
                <w:color w:val="auto"/>
                <w:sz w:val="22"/>
                <w:szCs w:val="22"/>
              </w:rPr>
              <w:t>B</w:t>
            </w:r>
            <w:r w:rsidRPr="00AA46F1">
              <w:rPr>
                <w:color w:val="auto"/>
                <w:sz w:val="22"/>
                <w:szCs w:val="22"/>
              </w:rPr>
              <w:t>. Dotačná komisia zároveň odporúča neposkytnuté finančné prostriedky na dotácie v sume 19</w:t>
            </w:r>
            <w:r>
              <w:rPr>
                <w:color w:val="auto"/>
                <w:sz w:val="22"/>
                <w:szCs w:val="22"/>
              </w:rPr>
              <w:t> </w:t>
            </w:r>
            <w:r w:rsidRPr="00AA46F1">
              <w:rPr>
                <w:color w:val="auto"/>
                <w:sz w:val="22"/>
                <w:szCs w:val="22"/>
              </w:rPr>
              <w:t>000</w:t>
            </w:r>
            <w:r>
              <w:rPr>
                <w:color w:val="auto"/>
                <w:sz w:val="22"/>
                <w:szCs w:val="22"/>
              </w:rPr>
              <w:t>,</w:t>
            </w:r>
            <w:r w:rsidRPr="00AA46F1">
              <w:rPr>
                <w:color w:val="auto"/>
                <w:sz w:val="22"/>
                <w:szCs w:val="22"/>
              </w:rPr>
              <w:t>- € ponechať v Bratislavskej regionálnej dotačnej schéme na podporu kultúry a vynaložiť ich na poskytnutie dotácií s navrhovanou výškou do 2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AA46F1">
              <w:rPr>
                <w:color w:val="auto"/>
                <w:sz w:val="22"/>
                <w:szCs w:val="22"/>
              </w:rPr>
              <w:t>500</w:t>
            </w:r>
            <w:r>
              <w:rPr>
                <w:color w:val="auto"/>
                <w:sz w:val="22"/>
                <w:szCs w:val="22"/>
              </w:rPr>
              <w:t>,</w:t>
            </w:r>
            <w:r w:rsidRPr="00AA46F1">
              <w:rPr>
                <w:color w:val="auto"/>
                <w:sz w:val="22"/>
                <w:szCs w:val="22"/>
              </w:rPr>
              <w:t>- EUR vrátane (tzv. malé dotácie).</w:t>
            </w:r>
            <w:r w:rsidRPr="00AA46F1">
              <w:rPr>
                <w:color w:val="auto"/>
                <w:sz w:val="22"/>
                <w:szCs w:val="22"/>
              </w:rPr>
              <w:tab/>
            </w:r>
          </w:p>
          <w:p w:rsidR="003E220C" w:rsidRPr="008627D3" w:rsidRDefault="003E220C" w:rsidP="0052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Prítomní: 11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Za: 11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Proti: 0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Zdržal sa: 0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Nehklasoval:0  </w:t>
            </w:r>
          </w:p>
          <w:p w:rsidR="003E220C" w:rsidRDefault="003E220C" w:rsidP="00523399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akceptované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zapracované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8627D3" w:rsidRDefault="003E220C" w:rsidP="005233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  <w:tr w:rsidR="003E220C" w:rsidTr="00523399">
        <w:tc>
          <w:tcPr>
            <w:tcW w:w="2518" w:type="dxa"/>
            <w:shd w:val="clear" w:color="auto" w:fill="auto"/>
          </w:tcPr>
          <w:p w:rsidR="003E220C" w:rsidRDefault="003E220C" w:rsidP="00523399">
            <w:pPr>
              <w:rPr>
                <w:sz w:val="22"/>
                <w:szCs w:val="22"/>
              </w:rPr>
            </w:pPr>
          </w:p>
          <w:p w:rsidR="003E220C" w:rsidRPr="00D34FAF" w:rsidRDefault="003E220C" w:rsidP="00523399">
            <w:pPr>
              <w:rPr>
                <w:sz w:val="22"/>
                <w:szCs w:val="22"/>
              </w:rPr>
            </w:pPr>
            <w:r w:rsidRPr="00D34FAF">
              <w:rPr>
                <w:sz w:val="22"/>
                <w:szCs w:val="22"/>
              </w:rPr>
              <w:t xml:space="preserve">Komisia Samuela </w:t>
            </w:r>
            <w:proofErr w:type="spellStart"/>
            <w:r w:rsidRPr="00D34FAF">
              <w:rPr>
                <w:sz w:val="22"/>
                <w:szCs w:val="22"/>
              </w:rPr>
              <w:t>Zocha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3E220C" w:rsidRPr="008627D3" w:rsidRDefault="003E220C" w:rsidP="00523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220C" w:rsidRDefault="003E220C" w:rsidP="00523399">
            <w:pPr>
              <w:tabs>
                <w:tab w:val="left" w:pos="9498"/>
              </w:tabs>
              <w:ind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E220C" w:rsidRDefault="003E220C" w:rsidP="00523399">
            <w:pPr>
              <w:jc w:val="center"/>
            </w:pPr>
            <w:r>
              <w:t>-</w:t>
            </w:r>
          </w:p>
        </w:tc>
      </w:tr>
    </w:tbl>
    <w:p w:rsidR="003E220C" w:rsidRDefault="003E220C" w:rsidP="003E220C">
      <w:r>
        <w:rPr>
          <w:rFonts w:eastAsia="Arial Unicode MS"/>
          <w:sz w:val="22"/>
          <w:szCs w:val="22"/>
        </w:rPr>
        <w:t xml:space="preserve">V stĺpci </w:t>
      </w:r>
      <w:r w:rsidRPr="004312EC">
        <w:rPr>
          <w:rFonts w:eastAsia="Arial Unicode MS"/>
          <w:b/>
          <w:sz w:val="22"/>
          <w:szCs w:val="22"/>
        </w:rPr>
        <w:t>zapracovan</w:t>
      </w:r>
      <w:r>
        <w:rPr>
          <w:rFonts w:eastAsia="Arial Unicode MS"/>
          <w:b/>
          <w:sz w:val="22"/>
          <w:szCs w:val="22"/>
        </w:rPr>
        <w:t>é / nezapracované</w:t>
      </w:r>
      <w:r w:rsidRPr="004312EC">
        <w:rPr>
          <w:rFonts w:eastAsia="Arial Unicode MS"/>
          <w:b/>
          <w:sz w:val="22"/>
          <w:szCs w:val="22"/>
        </w:rPr>
        <w:t xml:space="preserve"> pripomien</w:t>
      </w:r>
      <w:r>
        <w:rPr>
          <w:rFonts w:eastAsia="Arial Unicode MS"/>
          <w:b/>
          <w:sz w:val="22"/>
          <w:szCs w:val="22"/>
        </w:rPr>
        <w:t>ky</w:t>
      </w:r>
      <w:r>
        <w:rPr>
          <w:rFonts w:eastAsia="Arial Unicode MS"/>
          <w:sz w:val="22"/>
          <w:szCs w:val="22"/>
        </w:rPr>
        <w:t xml:space="preserve">  uviesť či boli / neboli zapracované, ak nie, uviesť dôvod.</w:t>
      </w:r>
    </w:p>
    <w:p w:rsidR="001222BD" w:rsidRPr="00FF3A7F" w:rsidRDefault="001222BD" w:rsidP="003E220C">
      <w:pPr>
        <w:rPr>
          <w:rFonts w:ascii="Times New Roman" w:hAnsi="Times New Roman" w:cs="Times New Roman"/>
        </w:rPr>
      </w:pPr>
    </w:p>
    <w:sectPr w:rsidR="001222BD" w:rsidRPr="00FF3A7F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E57"/>
    <w:multiLevelType w:val="hybridMultilevel"/>
    <w:tmpl w:val="7DB629B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F5F89"/>
    <w:multiLevelType w:val="hybridMultilevel"/>
    <w:tmpl w:val="629678F6"/>
    <w:lvl w:ilvl="0" w:tplc="A2FE803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295B95"/>
    <w:multiLevelType w:val="hybridMultilevel"/>
    <w:tmpl w:val="18885B22"/>
    <w:lvl w:ilvl="0" w:tplc="A10492D2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EA53EB"/>
    <w:multiLevelType w:val="hybridMultilevel"/>
    <w:tmpl w:val="21E6BD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03"/>
    <w:rsid w:val="0008044B"/>
    <w:rsid w:val="000E2D01"/>
    <w:rsid w:val="001222BD"/>
    <w:rsid w:val="001D5EE6"/>
    <w:rsid w:val="003E220C"/>
    <w:rsid w:val="008C3B03"/>
    <w:rsid w:val="008F75AF"/>
    <w:rsid w:val="008F7A0F"/>
    <w:rsid w:val="00961A61"/>
    <w:rsid w:val="00B94513"/>
    <w:rsid w:val="00F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3B03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8C3B03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link w:val="Nadpis7Char"/>
    <w:qFormat/>
    <w:rsid w:val="008C3B03"/>
    <w:pPr>
      <w:keepNext/>
      <w:outlineLvl w:val="6"/>
    </w:pPr>
    <w:rPr>
      <w:b/>
      <w:b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8C3B0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8C3B0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8C3B0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8C3B0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1222BD"/>
    <w:pPr>
      <w:ind w:left="720"/>
      <w:contextualSpacing/>
    </w:pPr>
    <w:rPr>
      <w:rFonts w:ascii="Times New Roman" w:hAnsi="Times New Roman" w:cs="Times New Roman"/>
      <w:szCs w:val="24"/>
      <w:lang w:eastAsia="sk-SK"/>
    </w:rPr>
  </w:style>
  <w:style w:type="paragraph" w:customStyle="1" w:styleId="Default">
    <w:name w:val="Default"/>
    <w:rsid w:val="008F7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2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2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3B03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8C3B03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link w:val="Nadpis7Char"/>
    <w:qFormat/>
    <w:rsid w:val="008C3B03"/>
    <w:pPr>
      <w:keepNext/>
      <w:outlineLvl w:val="6"/>
    </w:pPr>
    <w:rPr>
      <w:b/>
      <w:b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8C3B0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8C3B0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8C3B0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8C3B0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1222BD"/>
    <w:pPr>
      <w:ind w:left="720"/>
      <w:contextualSpacing/>
    </w:pPr>
    <w:rPr>
      <w:rFonts w:ascii="Times New Roman" w:hAnsi="Times New Roman" w:cs="Times New Roman"/>
      <w:szCs w:val="24"/>
      <w:lang w:eastAsia="sk-SK"/>
    </w:rPr>
  </w:style>
  <w:style w:type="paragraph" w:customStyle="1" w:styleId="Default">
    <w:name w:val="Default"/>
    <w:rsid w:val="008F7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2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2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4223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Denci</dc:creator>
  <cp:lastModifiedBy>Michal Denci</cp:lastModifiedBy>
  <cp:revision>2</cp:revision>
  <cp:lastPrinted>2015-09-10T10:44:00Z</cp:lastPrinted>
  <dcterms:created xsi:type="dcterms:W3CDTF">2015-09-10T11:14:00Z</dcterms:created>
  <dcterms:modified xsi:type="dcterms:W3CDTF">2015-09-10T11:14:00Z</dcterms:modified>
</cp:coreProperties>
</file>