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E66" w:rsidRDefault="00544E66" w:rsidP="00544E66">
      <w:pPr>
        <w:rPr>
          <w:rFonts w:ascii="Arial" w:hAnsi="Arial" w:cs="Arial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sz w:val="36"/>
          <w:szCs w:val="36"/>
        </w:rPr>
        <w:t xml:space="preserve">                                                                          Bod č.</w:t>
      </w:r>
    </w:p>
    <w:p w:rsidR="00544E66" w:rsidRDefault="00544E66" w:rsidP="00544E66">
      <w:pPr>
        <w:rPr>
          <w:rFonts w:ascii="Arial" w:hAnsi="Arial" w:cs="Arial"/>
          <w:sz w:val="36"/>
          <w:szCs w:val="36"/>
        </w:rPr>
      </w:pPr>
      <w:r w:rsidRPr="002F1B01">
        <w:rPr>
          <w:rFonts w:ascii="Arial" w:hAnsi="Arial" w:cs="Arial"/>
          <w:sz w:val="36"/>
          <w:szCs w:val="36"/>
        </w:rPr>
        <w:t>Zastupiteľstvo Bratislavského samosprávneho kraja</w:t>
      </w:r>
    </w:p>
    <w:p w:rsidR="00544E66" w:rsidRPr="002F1B01" w:rsidRDefault="00544E66" w:rsidP="00544E66">
      <w:pPr>
        <w:rPr>
          <w:rFonts w:ascii="Arial" w:hAnsi="Arial" w:cs="Arial"/>
          <w:sz w:val="36"/>
          <w:szCs w:val="36"/>
        </w:rPr>
      </w:pPr>
    </w:p>
    <w:p w:rsidR="00544E66" w:rsidRDefault="00544E66" w:rsidP="00544E66"/>
    <w:p w:rsidR="00544E66" w:rsidRPr="002F1B01" w:rsidRDefault="00544E66" w:rsidP="00544E66">
      <w:pPr>
        <w:rPr>
          <w:rFonts w:ascii="Arial" w:hAnsi="Arial" w:cs="Arial"/>
          <w:sz w:val="22"/>
          <w:szCs w:val="22"/>
        </w:rPr>
      </w:pPr>
      <w:r w:rsidRPr="002F1B01">
        <w:rPr>
          <w:rFonts w:ascii="Arial" w:hAnsi="Arial" w:cs="Arial"/>
          <w:sz w:val="22"/>
          <w:szCs w:val="22"/>
        </w:rPr>
        <w:t>Materiál na rokovanie Zastupiteľstva</w:t>
      </w:r>
    </w:p>
    <w:p w:rsidR="00544E66" w:rsidRPr="002F1B01" w:rsidRDefault="00544E66" w:rsidP="00544E66">
      <w:pPr>
        <w:rPr>
          <w:rFonts w:ascii="Arial" w:hAnsi="Arial" w:cs="Arial"/>
          <w:sz w:val="22"/>
          <w:szCs w:val="22"/>
        </w:rPr>
      </w:pPr>
      <w:r w:rsidRPr="002F1B01">
        <w:rPr>
          <w:rFonts w:ascii="Arial" w:hAnsi="Arial" w:cs="Arial"/>
          <w:sz w:val="22"/>
          <w:szCs w:val="22"/>
        </w:rPr>
        <w:t>Bratislavského samosprávneho kraja</w:t>
      </w:r>
    </w:p>
    <w:p w:rsidR="00544E66" w:rsidRDefault="00544E66" w:rsidP="00544E66">
      <w:r>
        <w:rPr>
          <w:rFonts w:ascii="Arial" w:hAnsi="Arial" w:cs="Arial"/>
          <w:sz w:val="22"/>
          <w:szCs w:val="22"/>
        </w:rPr>
        <w:t>d</w:t>
      </w:r>
      <w:r w:rsidRPr="002F1B01">
        <w:rPr>
          <w:rFonts w:ascii="Arial" w:hAnsi="Arial" w:cs="Arial"/>
          <w:sz w:val="22"/>
          <w:szCs w:val="22"/>
        </w:rPr>
        <w:t>ňa</w:t>
      </w:r>
      <w:r>
        <w:rPr>
          <w:rFonts w:ascii="Arial" w:hAnsi="Arial" w:cs="Arial"/>
          <w:sz w:val="22"/>
          <w:szCs w:val="22"/>
        </w:rPr>
        <w:t xml:space="preserve"> </w:t>
      </w:r>
      <w:r w:rsidRPr="002F1B0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28. október 2015</w:t>
      </w:r>
      <w:r w:rsidRPr="002F1B01">
        <w:rPr>
          <w:rFonts w:ascii="Arial" w:hAnsi="Arial" w:cs="Arial"/>
          <w:sz w:val="22"/>
          <w:szCs w:val="22"/>
        </w:rPr>
        <w:t xml:space="preserve">          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/>
    <w:p w:rsidR="00544E66" w:rsidRPr="002F1B01" w:rsidRDefault="00544E66" w:rsidP="00544E66">
      <w:pPr>
        <w:rPr>
          <w:rFonts w:ascii="Arial" w:hAnsi="Arial" w:cs="Arial"/>
          <w:b/>
        </w:rPr>
      </w:pPr>
      <w:r>
        <w:t xml:space="preserve">                                                            </w:t>
      </w:r>
      <w:r w:rsidRPr="002F1B01">
        <w:rPr>
          <w:rFonts w:ascii="Arial" w:hAnsi="Arial" w:cs="Arial"/>
          <w:b/>
        </w:rPr>
        <w:t xml:space="preserve">N á v r h </w:t>
      </w:r>
    </w:p>
    <w:p w:rsidR="00544E66" w:rsidRDefault="00544E66" w:rsidP="00544E66">
      <w:pPr>
        <w:rPr>
          <w:sz w:val="32"/>
          <w:szCs w:val="32"/>
        </w:rPr>
      </w:pPr>
    </w:p>
    <w:p w:rsidR="00544E66" w:rsidRPr="002F1B01" w:rsidRDefault="00544E66" w:rsidP="00544E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2F1B01">
        <w:rPr>
          <w:rFonts w:ascii="Arial" w:hAnsi="Arial" w:cs="Arial"/>
          <w:b/>
        </w:rPr>
        <w:t>a trvalé upustenie od vymáhania pohľadávok</w:t>
      </w:r>
      <w:r>
        <w:rPr>
          <w:rFonts w:ascii="Arial" w:hAnsi="Arial" w:cs="Arial"/>
          <w:b/>
        </w:rPr>
        <w:t xml:space="preserve"> </w:t>
      </w:r>
      <w:r w:rsidR="005F4712">
        <w:rPr>
          <w:rFonts w:ascii="Arial" w:hAnsi="Arial" w:cs="Arial"/>
          <w:b/>
        </w:rPr>
        <w:t xml:space="preserve">Bratislavského samosprávneho kraja </w:t>
      </w:r>
      <w:r w:rsidRPr="002F1B01">
        <w:rPr>
          <w:rFonts w:ascii="Arial" w:hAnsi="Arial" w:cs="Arial"/>
          <w:b/>
        </w:rPr>
        <w:t xml:space="preserve">  </w:t>
      </w:r>
    </w:p>
    <w:p w:rsidR="00544E66" w:rsidRDefault="00544E66" w:rsidP="00544E66">
      <w:r>
        <w:t xml:space="preserve">          ___________________________________________________________________</w:t>
      </w:r>
    </w:p>
    <w:p w:rsidR="00544E66" w:rsidRDefault="00544E66" w:rsidP="00544E66"/>
    <w:p w:rsidR="00544E66" w:rsidRDefault="00544E66" w:rsidP="00544E66"/>
    <w:p w:rsidR="00544E66" w:rsidRPr="00005BC0" w:rsidRDefault="00544E66" w:rsidP="00544E6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 w:rsidRPr="000E39AC">
        <w:rPr>
          <w:rFonts w:ascii="Arial" w:hAnsi="Arial"/>
          <w:sz w:val="22"/>
          <w:szCs w:val="22"/>
          <w:u w:val="single"/>
        </w:rPr>
        <w:t>Materiál predkladá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  <w:r w:rsidRPr="000E39AC">
        <w:rPr>
          <w:rFonts w:ascii="Arial" w:hAnsi="Arial"/>
          <w:sz w:val="22"/>
          <w:szCs w:val="22"/>
          <w:u w:val="single"/>
        </w:rPr>
        <w:t>Materiál obsahuje</w:t>
      </w:r>
      <w:r>
        <w:rPr>
          <w:rFonts w:ascii="Arial" w:hAnsi="Arial"/>
          <w:sz w:val="22"/>
          <w:szCs w:val="22"/>
        </w:rPr>
        <w:t>:</w:t>
      </w:r>
      <w:r>
        <w:rPr>
          <w:rFonts w:ascii="Arial" w:hAnsi="Arial"/>
          <w:sz w:val="22"/>
          <w:szCs w:val="22"/>
        </w:rPr>
        <w:tab/>
      </w:r>
    </w:p>
    <w:p w:rsidR="00544E66" w:rsidRPr="00005BC0" w:rsidRDefault="00DF1402" w:rsidP="00544E66">
      <w:pPr>
        <w:tabs>
          <w:tab w:val="left" w:pos="5285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RNDr. Martin </w:t>
      </w:r>
      <w:proofErr w:type="spellStart"/>
      <w:r>
        <w:rPr>
          <w:rFonts w:ascii="Arial" w:hAnsi="Arial"/>
          <w:sz w:val="22"/>
          <w:szCs w:val="22"/>
        </w:rPr>
        <w:t>Zaťovič</w:t>
      </w:r>
      <w:proofErr w:type="spellEnd"/>
      <w:r w:rsidR="00544E66" w:rsidRPr="00005BC0">
        <w:rPr>
          <w:rFonts w:ascii="Arial" w:hAnsi="Arial"/>
          <w:sz w:val="22"/>
          <w:szCs w:val="22"/>
        </w:rPr>
        <w:tab/>
      </w:r>
      <w:r w:rsidR="00544E66">
        <w:rPr>
          <w:rFonts w:ascii="Arial" w:hAnsi="Arial"/>
          <w:sz w:val="22"/>
          <w:szCs w:val="22"/>
        </w:rPr>
        <w:t xml:space="preserve"> 1. Návrh uznesenia</w:t>
      </w:r>
      <w:r w:rsidR="00544E66" w:rsidRPr="00005BC0">
        <w:rPr>
          <w:rFonts w:ascii="Arial" w:hAnsi="Arial"/>
          <w:sz w:val="22"/>
          <w:szCs w:val="22"/>
        </w:rPr>
        <w:tab/>
      </w:r>
      <w:r w:rsidR="00544E66" w:rsidRPr="00005BC0">
        <w:rPr>
          <w:rFonts w:ascii="Arial" w:hAnsi="Arial"/>
          <w:sz w:val="22"/>
          <w:szCs w:val="22"/>
        </w:rPr>
        <w:tab/>
        <w:t xml:space="preserve">   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podpredseda                                                                  2. Dôvodová správa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Bratislavského samosprávneho kraja                            3. Prílohy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                                                                      4. Stanoviská komisií</w:t>
      </w:r>
    </w:p>
    <w:p w:rsidR="00544E66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 xml:space="preserve">Zodpovedný:  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>JUDr. Matúš Šaray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</w:rPr>
        <w:t>vedúci právneho oddelenia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sz w:val="22"/>
          <w:szCs w:val="22"/>
        </w:rPr>
        <w:t xml:space="preserve">                                                          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</w:rPr>
      </w:pP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  <w:r w:rsidRPr="00005BC0">
        <w:rPr>
          <w:rFonts w:ascii="Arial" w:hAnsi="Arial"/>
          <w:sz w:val="22"/>
          <w:szCs w:val="22"/>
          <w:u w:val="single"/>
        </w:rPr>
        <w:t>Spracovateľ:</w:t>
      </w: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</w:p>
    <w:p w:rsidR="00544E66" w:rsidRDefault="00DF1402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Ing. Marián Múdry</w:t>
      </w:r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riaditeľ odboru financií</w:t>
      </w:r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Mgr. Ing. Ján </w:t>
      </w:r>
      <w:proofErr w:type="spellStart"/>
      <w:r>
        <w:rPr>
          <w:rFonts w:ascii="Arial" w:hAnsi="Arial"/>
          <w:sz w:val="22"/>
          <w:szCs w:val="22"/>
        </w:rPr>
        <w:t>Keselý</w:t>
      </w:r>
      <w:proofErr w:type="spellEnd"/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riaditeľ odboru investičných činností, </w:t>
      </w:r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správy majetku a verejného obstarávania</w:t>
      </w:r>
    </w:p>
    <w:p w:rsidR="00DF1402" w:rsidRDefault="00DF1402" w:rsidP="00544E66">
      <w:pPr>
        <w:jc w:val="both"/>
        <w:rPr>
          <w:rFonts w:ascii="Arial" w:hAnsi="Arial"/>
          <w:sz w:val="22"/>
          <w:szCs w:val="22"/>
        </w:rPr>
      </w:pPr>
    </w:p>
    <w:p w:rsidR="00544E66" w:rsidRDefault="00544E66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JUDr. Matúš Šaray</w:t>
      </w:r>
    </w:p>
    <w:p w:rsidR="00544E66" w:rsidRDefault="00544E66" w:rsidP="00544E66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vedúci právneho oddelenia</w:t>
      </w:r>
    </w:p>
    <w:p w:rsidR="00544E66" w:rsidRDefault="00544E66" w:rsidP="00544E66">
      <w:pPr>
        <w:jc w:val="both"/>
        <w:rPr>
          <w:rFonts w:ascii="Arial" w:hAnsi="Arial"/>
          <w:sz w:val="22"/>
          <w:szCs w:val="22"/>
        </w:rPr>
      </w:pPr>
    </w:p>
    <w:p w:rsidR="00544E66" w:rsidRPr="00005BC0" w:rsidRDefault="00544E66" w:rsidP="00544E66">
      <w:pPr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</w:rPr>
        <w:t xml:space="preserve">JUDr. </w:t>
      </w:r>
      <w:r w:rsidRPr="00544E66">
        <w:rPr>
          <w:rFonts w:ascii="Arial" w:hAnsi="Arial"/>
          <w:sz w:val="22"/>
          <w:szCs w:val="22"/>
        </w:rPr>
        <w:t>Marián Matejovič</w:t>
      </w:r>
    </w:p>
    <w:p w:rsidR="00544E66" w:rsidRDefault="00544E66" w:rsidP="00544E66">
      <w:pPr>
        <w:jc w:val="both"/>
      </w:pPr>
      <w:r w:rsidRPr="00005BC0">
        <w:rPr>
          <w:rFonts w:ascii="Arial" w:hAnsi="Arial"/>
          <w:sz w:val="22"/>
          <w:szCs w:val="22"/>
        </w:rPr>
        <w:t>referent právneho oddelenia</w:t>
      </w:r>
    </w:p>
    <w:p w:rsidR="00544E66" w:rsidRDefault="00544E66" w:rsidP="00544E66">
      <w:r>
        <w:t xml:space="preserve">                                                          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/>
    <w:p w:rsidR="00544E66" w:rsidRPr="00547518" w:rsidRDefault="00544E66" w:rsidP="00544E66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</w:t>
      </w:r>
      <w:r w:rsidRPr="00547518">
        <w:rPr>
          <w:rFonts w:ascii="Arial" w:hAnsi="Arial" w:cs="Arial"/>
          <w:sz w:val="22"/>
          <w:szCs w:val="22"/>
        </w:rPr>
        <w:t>Bratislava</w:t>
      </w:r>
    </w:p>
    <w:p w:rsidR="00544E66" w:rsidRPr="00547518" w:rsidRDefault="00544E66" w:rsidP="00544E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október 2015</w:t>
      </w:r>
    </w:p>
    <w:p w:rsidR="00544E66" w:rsidRDefault="00544E66" w:rsidP="00544E66">
      <w:r>
        <w:lastRenderedPageBreak/>
        <w:t xml:space="preserve">                                           </w:t>
      </w:r>
    </w:p>
    <w:p w:rsidR="00544E66" w:rsidRPr="00547518" w:rsidRDefault="00544E66" w:rsidP="00544E66">
      <w:pPr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</w:t>
      </w:r>
    </w:p>
    <w:p w:rsidR="00544E66" w:rsidRDefault="00544E66" w:rsidP="00544E66">
      <w:pPr>
        <w:rPr>
          <w:rFonts w:ascii="Arial" w:hAnsi="Arial" w:cs="Arial"/>
          <w:sz w:val="22"/>
          <w:szCs w:val="22"/>
        </w:rPr>
      </w:pPr>
    </w:p>
    <w:p w:rsidR="00544E66" w:rsidRDefault="00544E66" w:rsidP="00544E66">
      <w:pPr>
        <w:rPr>
          <w:rFonts w:ascii="Arial" w:hAnsi="Arial" w:cs="Arial"/>
          <w:sz w:val="22"/>
          <w:szCs w:val="22"/>
        </w:rPr>
      </w:pPr>
    </w:p>
    <w:p w:rsidR="00544E66" w:rsidRDefault="00544E66" w:rsidP="00544E66">
      <w:pPr>
        <w:rPr>
          <w:rFonts w:ascii="Arial" w:hAnsi="Arial" w:cs="Arial"/>
          <w:sz w:val="22"/>
          <w:szCs w:val="22"/>
        </w:rPr>
      </w:pPr>
    </w:p>
    <w:p w:rsidR="00544E66" w:rsidRDefault="00544E66" w:rsidP="00544E66">
      <w:pPr>
        <w:jc w:val="center"/>
        <w:rPr>
          <w:rFonts w:ascii="Arial" w:hAnsi="Arial"/>
          <w:sz w:val="22"/>
          <w:szCs w:val="22"/>
        </w:rPr>
      </w:pPr>
      <w:r w:rsidRPr="00005BC0">
        <w:rPr>
          <w:rFonts w:ascii="Arial" w:hAnsi="Arial"/>
          <w:b/>
          <w:sz w:val="36"/>
          <w:szCs w:val="36"/>
        </w:rPr>
        <w:t xml:space="preserve">                                                 </w:t>
      </w:r>
      <w:r>
        <w:rPr>
          <w:rFonts w:ascii="Arial" w:hAnsi="Arial"/>
          <w:b/>
          <w:sz w:val="36"/>
          <w:szCs w:val="36"/>
        </w:rPr>
        <w:tab/>
      </w:r>
      <w:r>
        <w:rPr>
          <w:rFonts w:ascii="Arial" w:hAnsi="Arial"/>
          <w:b/>
          <w:sz w:val="36"/>
          <w:szCs w:val="36"/>
        </w:rPr>
        <w:tab/>
      </w:r>
      <w:r w:rsidRPr="00005BC0">
        <w:rPr>
          <w:rFonts w:ascii="Arial" w:hAnsi="Arial"/>
          <w:b/>
          <w:sz w:val="36"/>
          <w:szCs w:val="36"/>
        </w:rPr>
        <w:t xml:space="preserve"> </w:t>
      </w:r>
    </w:p>
    <w:p w:rsidR="00544E66" w:rsidRPr="007018F3" w:rsidRDefault="00544E66" w:rsidP="00544E66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N á v r h   u z n e s e n i a</w:t>
      </w:r>
    </w:p>
    <w:p w:rsidR="00544E66" w:rsidRPr="007018F3" w:rsidRDefault="00544E66" w:rsidP="00544E66">
      <w:pPr>
        <w:jc w:val="center"/>
        <w:rPr>
          <w:rFonts w:ascii="Arial" w:hAnsi="Arial" w:cs="Arial"/>
        </w:rPr>
      </w:pPr>
    </w:p>
    <w:p w:rsidR="00544E66" w:rsidRPr="007018F3" w:rsidRDefault="00544E66" w:rsidP="00544E66">
      <w:pPr>
        <w:jc w:val="center"/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>UZNESENIE č...... 201</w:t>
      </w:r>
      <w:r>
        <w:rPr>
          <w:rFonts w:ascii="Arial" w:hAnsi="Arial" w:cs="Arial"/>
          <w:b/>
        </w:rPr>
        <w:t>5</w:t>
      </w:r>
    </w:p>
    <w:p w:rsidR="00544E66" w:rsidRDefault="00544E66" w:rsidP="00544E6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zo dňa 28. 10. 2015</w:t>
      </w:r>
    </w:p>
    <w:p w:rsidR="00544E66" w:rsidRPr="007018F3" w:rsidRDefault="00544E66" w:rsidP="00544E66">
      <w:pPr>
        <w:jc w:val="center"/>
        <w:rPr>
          <w:rFonts w:ascii="Arial" w:hAnsi="Arial" w:cs="Arial"/>
        </w:rPr>
      </w:pPr>
    </w:p>
    <w:p w:rsidR="00544E66" w:rsidRPr="007018F3" w:rsidRDefault="00544E66" w:rsidP="00544E66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</w:rPr>
        <w:t>Zastupiteľstvo Bratislavského  samosprávneho kraja po prerokovaní materiálu</w:t>
      </w: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Pr="007018F3" w:rsidRDefault="00544E66" w:rsidP="00544E66">
      <w:pPr>
        <w:jc w:val="center"/>
        <w:rPr>
          <w:rFonts w:ascii="Arial" w:hAnsi="Arial" w:cs="Arial"/>
        </w:rPr>
      </w:pPr>
      <w:r w:rsidRPr="007018F3">
        <w:rPr>
          <w:rFonts w:ascii="Arial" w:hAnsi="Arial" w:cs="Arial"/>
          <w:b/>
        </w:rPr>
        <w:t>s c h v a ľ u j e</w:t>
      </w: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Pr="002F3A15" w:rsidRDefault="00544E66" w:rsidP="00544E66">
      <w:pPr>
        <w:jc w:val="center"/>
        <w:rPr>
          <w:rFonts w:ascii="Arial" w:hAnsi="Arial" w:cs="Arial"/>
        </w:rPr>
      </w:pPr>
      <w:r w:rsidRPr="002F3A15">
        <w:rPr>
          <w:rFonts w:ascii="Arial" w:hAnsi="Arial" w:cs="Arial"/>
        </w:rPr>
        <w:t xml:space="preserve">v zmysle Zásad hospodárenia a nakladania s majetkom BSK schválených Zastupiteľstvom BSK Uznesením č. 11/2012 zo dňa 27.01.2012 </w:t>
      </w:r>
    </w:p>
    <w:p w:rsidR="00544E66" w:rsidRPr="002F3A15" w:rsidRDefault="00544E66" w:rsidP="00544E66">
      <w:pPr>
        <w:jc w:val="center"/>
        <w:rPr>
          <w:rFonts w:ascii="Arial" w:hAnsi="Arial" w:cs="Arial"/>
        </w:rPr>
      </w:pPr>
      <w:r w:rsidRPr="002F3A15">
        <w:rPr>
          <w:rFonts w:ascii="Arial" w:hAnsi="Arial" w:cs="Arial"/>
        </w:rPr>
        <w:t>trvalé upustenie od vymáhania pohľadávok evidovaných Bratislavským samosprávnym krajom voči nasledovným dlžníkom:</w:t>
      </w:r>
    </w:p>
    <w:p w:rsidR="00544E66" w:rsidRPr="007018F3" w:rsidRDefault="00544E66" w:rsidP="00544E66">
      <w:pPr>
        <w:jc w:val="center"/>
        <w:rPr>
          <w:rFonts w:ascii="Arial" w:hAnsi="Arial" w:cs="Arial"/>
          <w:u w:val="single"/>
        </w:rPr>
      </w:pPr>
    </w:p>
    <w:p w:rsidR="00544E66" w:rsidRPr="007018F3" w:rsidRDefault="00544E66" w:rsidP="00544E66">
      <w:pPr>
        <w:jc w:val="center"/>
        <w:rPr>
          <w:rFonts w:ascii="Arial" w:hAnsi="Arial" w:cs="Arial"/>
          <w:u w:val="single"/>
        </w:rPr>
      </w:pPr>
    </w:p>
    <w:p w:rsidR="00544E66" w:rsidRPr="002F3A15" w:rsidRDefault="00544E66" w:rsidP="00544E66">
      <w:pPr>
        <w:pStyle w:val="Odsekzoznamu"/>
        <w:numPr>
          <w:ilvl w:val="0"/>
          <w:numId w:val="2"/>
        </w:numPr>
        <w:rPr>
          <w:rFonts w:ascii="Arial" w:hAnsi="Arial" w:cs="Arial"/>
        </w:rPr>
      </w:pPr>
      <w:r w:rsidRPr="002F3A15">
        <w:rPr>
          <w:rFonts w:ascii="Arial" w:hAnsi="Arial" w:cs="Arial"/>
        </w:rPr>
        <w:t xml:space="preserve">GERLACH PRINT, spol. s r.o.  </w:t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  <w:t xml:space="preserve"> 25 449,78 €</w:t>
      </w:r>
    </w:p>
    <w:p w:rsidR="00544E66" w:rsidRPr="002F3A15" w:rsidRDefault="00544E66" w:rsidP="00544E66">
      <w:pPr>
        <w:pStyle w:val="Odsekzoznamu"/>
        <w:numPr>
          <w:ilvl w:val="0"/>
          <w:numId w:val="2"/>
        </w:numPr>
        <w:rPr>
          <w:rFonts w:ascii="Arial" w:hAnsi="Arial" w:cs="Arial"/>
        </w:rPr>
      </w:pPr>
      <w:r w:rsidRPr="002F3A15">
        <w:rPr>
          <w:rFonts w:ascii="Arial" w:hAnsi="Arial" w:cs="Arial"/>
        </w:rPr>
        <w:t xml:space="preserve">CENTRUM ZDRAVIA – RENDEZ, </w:t>
      </w:r>
      <w:proofErr w:type="spellStart"/>
      <w:r w:rsidRPr="002F3A15">
        <w:rPr>
          <w:rFonts w:ascii="Arial" w:hAnsi="Arial" w:cs="Arial"/>
        </w:rPr>
        <w:t>n.o</w:t>
      </w:r>
      <w:proofErr w:type="spellEnd"/>
      <w:r w:rsidRPr="002F3A15">
        <w:rPr>
          <w:rFonts w:ascii="Arial" w:hAnsi="Arial" w:cs="Arial"/>
        </w:rPr>
        <w:t>.</w:t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  <w:t xml:space="preserve">           43 079,57 €</w:t>
      </w:r>
    </w:p>
    <w:p w:rsidR="00544E66" w:rsidRPr="002F3A15" w:rsidRDefault="00544E66" w:rsidP="00544E66">
      <w:pPr>
        <w:pStyle w:val="Odsekzoznamu"/>
        <w:numPr>
          <w:ilvl w:val="0"/>
          <w:numId w:val="2"/>
        </w:numPr>
        <w:rPr>
          <w:rFonts w:ascii="Arial" w:hAnsi="Arial" w:cs="Arial"/>
        </w:rPr>
      </w:pPr>
      <w:r w:rsidRPr="002F3A15">
        <w:rPr>
          <w:rFonts w:ascii="Arial" w:hAnsi="Arial" w:cs="Arial"/>
        </w:rPr>
        <w:t xml:space="preserve">MF TRANSMISSION s.r.o. (SERVICE </w:t>
      </w:r>
      <w:proofErr w:type="spellStart"/>
      <w:r w:rsidRPr="002F3A15">
        <w:rPr>
          <w:rFonts w:ascii="Arial" w:hAnsi="Arial" w:cs="Arial"/>
        </w:rPr>
        <w:t>activity</w:t>
      </w:r>
      <w:proofErr w:type="spellEnd"/>
      <w:r w:rsidRPr="002F3A15">
        <w:rPr>
          <w:rFonts w:ascii="Arial" w:hAnsi="Arial" w:cs="Arial"/>
        </w:rPr>
        <w:t xml:space="preserve"> s.r.o.)</w:t>
      </w:r>
      <w:r w:rsidRPr="002F3A15">
        <w:rPr>
          <w:rFonts w:ascii="Arial" w:hAnsi="Arial" w:cs="Arial"/>
        </w:rPr>
        <w:tab/>
        <w:t xml:space="preserve">         116 918,11 €</w:t>
      </w:r>
    </w:p>
    <w:p w:rsidR="00544E66" w:rsidRPr="002F3A15" w:rsidRDefault="00544E66" w:rsidP="00544E66">
      <w:pPr>
        <w:pStyle w:val="Odsekzoznamu"/>
        <w:numPr>
          <w:ilvl w:val="0"/>
          <w:numId w:val="2"/>
        </w:numPr>
        <w:rPr>
          <w:rFonts w:ascii="Arial" w:hAnsi="Arial" w:cs="Arial"/>
        </w:rPr>
      </w:pPr>
      <w:proofErr w:type="spellStart"/>
      <w:r w:rsidRPr="002F3A15">
        <w:rPr>
          <w:rFonts w:ascii="Arial" w:hAnsi="Arial" w:cs="Arial"/>
        </w:rPr>
        <w:t>Aktiva</w:t>
      </w:r>
      <w:proofErr w:type="spellEnd"/>
      <w:r w:rsidRPr="002F3A15">
        <w:rPr>
          <w:rFonts w:ascii="Arial" w:hAnsi="Arial" w:cs="Arial"/>
        </w:rPr>
        <w:t xml:space="preserve"> </w:t>
      </w:r>
      <w:proofErr w:type="spellStart"/>
      <w:r w:rsidRPr="002F3A15">
        <w:rPr>
          <w:rFonts w:ascii="Arial" w:hAnsi="Arial" w:cs="Arial"/>
        </w:rPr>
        <w:t>n.o</w:t>
      </w:r>
      <w:proofErr w:type="spellEnd"/>
      <w:r w:rsidRPr="002F3A15">
        <w:rPr>
          <w:rFonts w:ascii="Arial" w:hAnsi="Arial" w:cs="Arial"/>
        </w:rPr>
        <w:t xml:space="preserve">., DSS pre dospelých  </w:t>
      </w:r>
      <w:r w:rsidRPr="002F3A15">
        <w:rPr>
          <w:rFonts w:ascii="Arial" w:hAnsi="Arial" w:cs="Arial"/>
        </w:rPr>
        <w:tab/>
      </w:r>
      <w:r w:rsidR="00A31D61">
        <w:rPr>
          <w:rFonts w:ascii="Arial" w:hAnsi="Arial" w:cs="Arial"/>
        </w:rPr>
        <w:t xml:space="preserve">   </w:t>
      </w:r>
      <w:r w:rsidR="00A31D61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</w:r>
      <w:r w:rsidRPr="002F3A15">
        <w:rPr>
          <w:rFonts w:ascii="Arial" w:hAnsi="Arial" w:cs="Arial"/>
        </w:rPr>
        <w:tab/>
        <w:t xml:space="preserve">           49 016,04 €</w:t>
      </w: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Pr="00FF49D9" w:rsidRDefault="00544E66" w:rsidP="00544E66">
      <w:pPr>
        <w:ind w:left="284"/>
        <w:rPr>
          <w:rFonts w:ascii="Arial" w:hAnsi="Arial" w:cs="Arial"/>
        </w:rPr>
      </w:pPr>
    </w:p>
    <w:p w:rsidR="00544E66" w:rsidRDefault="00544E66" w:rsidP="00544E66">
      <w:pPr>
        <w:ind w:left="360"/>
        <w:rPr>
          <w:rFonts w:ascii="Arial" w:hAnsi="Arial" w:cs="Arial"/>
          <w:u w:val="single"/>
        </w:rPr>
      </w:pPr>
    </w:p>
    <w:p w:rsidR="00544E66" w:rsidRDefault="00544E66" w:rsidP="00544E66">
      <w:pPr>
        <w:rPr>
          <w:rFonts w:ascii="Arial" w:hAnsi="Arial" w:cs="Arial"/>
          <w:b/>
        </w:rPr>
      </w:pPr>
    </w:p>
    <w:p w:rsidR="00544E66" w:rsidRDefault="00544E66" w:rsidP="00544E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 a</w:t>
      </w: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DF1402" w:rsidP="00DF1402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Predkladaný materiál bol pripravený na základe podnetu poslancov Zastupiteľstva Bratislavského samosprávneho kraja</w:t>
      </w:r>
      <w:r w:rsidR="00386932">
        <w:rPr>
          <w:rFonts w:ascii="Arial" w:hAnsi="Arial" w:cs="Arial"/>
        </w:rPr>
        <w:t xml:space="preserve">, ako aj v zmysle záverov kontroly vykonanou Najvyšším kontrolným úradom Slovenskej republiky na Bratislavskom samosprávnom kraji a podľa Príkazu predsedu Bratislavského samosprávneho kraja č. 1/2015 na odstránenie nedostatkov zistených kontrolou hospodárenia samosprávnych krajov, vykonanou NKÚ SR. 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Ako vyplýva z Protokolu o výsledku kontroly hospodárenia samosprávnych krajov zo dňa 24. 04. 2015, NKÚ SR na základe vykonanej kontroly odporúča odpísať nevymožiteľné pohľadávky po predchádzajúcom súhlase predsedu a schválení Zastupiteľstvom BSK podľa príslušných ustanovení zákona o majetku VÚC a interných Zásad hospodárenia a nakladania s majetkom Bratislavského samosprávneho kraja.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Pr="00915178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Na základe</w:t>
      </w:r>
      <w:r w:rsidR="002F3A15">
        <w:rPr>
          <w:rFonts w:ascii="Arial" w:hAnsi="Arial" w:cs="Arial"/>
        </w:rPr>
        <w:t xml:space="preserve"> iniciatívy poslancov Zastupiteľstva Bratislavského samosprávneho kraja, z podnetu Finančnej komisie, ktorá odporučila pri predošlých schvaľovaniach trvalého upustenia od vymáhania pohľadávok voči organizáciám v zriaďovateľskej pôsobnosti Bratislavského samosprávneho kraja, aj odpis sumy významných pohľadávok, ktoré účtovne eviduje samotný Bratislavský samosprávny kraj, a v zmysle   </w:t>
      </w:r>
      <w:r>
        <w:rPr>
          <w:rFonts w:ascii="Arial" w:hAnsi="Arial" w:cs="Arial"/>
        </w:rPr>
        <w:t xml:space="preserve"> odporúčaní z Protokolu o výsledku kontroly hospodárenia samosprávnych krajov, s obsahom ktorého bol Bratislavský samosprávny kraj, ako kontrolovaný subjekt oboznámený dňa 20. 05. 2015, predkladáme Zastupiteľstvu Bratislavského kraja návrh na trvalé upustenie od vymáhania pohľadávok, voči nasledovným dlžníkom:</w:t>
      </w:r>
    </w:p>
    <w:p w:rsidR="00544E66" w:rsidRDefault="00544E66" w:rsidP="00544E66">
      <w:pPr>
        <w:rPr>
          <w:rFonts w:ascii="Arial" w:hAnsi="Arial" w:cs="Arial"/>
          <w:b/>
        </w:rPr>
      </w:pPr>
    </w:p>
    <w:p w:rsidR="00544E66" w:rsidRDefault="00544E66" w:rsidP="00544E66">
      <w:pPr>
        <w:rPr>
          <w:rFonts w:ascii="Arial" w:hAnsi="Arial" w:cs="Arial"/>
          <w:b/>
          <w:sz w:val="28"/>
          <w:szCs w:val="28"/>
        </w:rPr>
      </w:pPr>
    </w:p>
    <w:p w:rsidR="00544E66" w:rsidRDefault="00544E66" w:rsidP="00544E6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Ad/1</w:t>
      </w:r>
      <w:r>
        <w:rPr>
          <w:rFonts w:ascii="Arial" w:hAnsi="Arial" w:cs="Arial"/>
          <w:b/>
        </w:rPr>
        <w:t xml:space="preserve">  GERLACH PRINT, spol. s r.o.  </w:t>
      </w:r>
    </w:p>
    <w:p w:rsidR="00544E66" w:rsidRPr="00EE016B" w:rsidRDefault="00544E66" w:rsidP="00544E66">
      <w:pPr>
        <w:jc w:val="both"/>
        <w:rPr>
          <w:rFonts w:ascii="Arial" w:hAnsi="Arial" w:cs="Arial"/>
          <w:b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Pohľadávka vznikla so Zmluvy č. 83/SOU-s/2005 o nájme nebytového priestoru zo dňa 05. 10. 2005, v znení Dodatku č. 1 zo dňa 03. 09. 2007, Dodatku č. 2 zo dňa 03. 03. 2008 a Dodatku č. 3 zo dňa 26. 03. 2009, uzatvorenej medzi Stredným odborným učilišťom stavebným Bratislava, Ružinovská č. 1, Bratislava –vtedajšou organizáciou v zriaďovateľskej pôsobnosti Bratislavského samosprávneho kraja ako prenajímateľom, a GERLACH PRINT, spol. s r.o., </w:t>
      </w:r>
      <w:proofErr w:type="spellStart"/>
      <w:r>
        <w:rPr>
          <w:rFonts w:ascii="Arial" w:hAnsi="Arial" w:cs="Arial"/>
        </w:rPr>
        <w:t>Miletičová</w:t>
      </w:r>
      <w:proofErr w:type="spellEnd"/>
      <w:r>
        <w:rPr>
          <w:rFonts w:ascii="Arial" w:hAnsi="Arial" w:cs="Arial"/>
        </w:rPr>
        <w:t xml:space="preserve"> 51, Bratislava, ako nájomcom.  Po zmene zriaďovateľa Stredného odborného učilišťa stavebného Bratislava, prešli práva a povinnosti prenajímateľa vyplývajúce zo zmluvy na Bratislavský samosprávny kraj, ako zriaďovateľa dovtedajšej organizácie.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Nájomca si v priebehu roka 2009 prestal plniť svoje povinnosti vyplývajúce so zmluvy, spočívajúce v platení dohodnutého nájomného a poplatkov za služby spojených s nájmom. Napriek zasielaným výzvam na úhradu nebola táto pohľadávka uhradená. Vo veci bola vypracovaná žaloba a predmetná vec bola postúpená spoločnosti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 xml:space="preserve">, s.r.o., ktorá pre Bratislavský samosprávny kraj zabezpečuje správu a vymáhanie pohľadávok Bratislavského samosprávneho kraja. Lustráciou dlžníka bolo zistené, že spoločnosť GERLACH PRINT, spol. s r.o., bola rozhodnutím valného zhromaždenia zo dňa 22. 02. 2010 zrušená bez likvidácie a zlúčená so spoločnosťou LAMONTE s.r.o., so sídlom Albánska 3, 831 06 Bratislava, IČO: 35 759 666 a spoločnosť GERLACH PRINT, spol. s r.o., bola </w:t>
      </w:r>
      <w:r>
        <w:rPr>
          <w:rFonts w:ascii="Arial" w:hAnsi="Arial" w:cs="Arial"/>
        </w:rPr>
        <w:lastRenderedPageBreak/>
        <w:t xml:space="preserve">vymazaná z obchodného registra. Obchodná spoločnosť LAMONTE s.r.o., so sídlom Albánska 3, 831 06 Bratislava, IČO: 35 759 666, zapísaná v obchodnom registri Okresného súdu Bratislava I v odd. </w:t>
      </w:r>
      <w:proofErr w:type="spellStart"/>
      <w:r>
        <w:rPr>
          <w:rFonts w:ascii="Arial" w:hAnsi="Arial" w:cs="Arial"/>
        </w:rPr>
        <w:t>Sro</w:t>
      </w:r>
      <w:proofErr w:type="spellEnd"/>
      <w:r>
        <w:rPr>
          <w:rFonts w:ascii="Arial" w:hAnsi="Arial" w:cs="Arial"/>
        </w:rPr>
        <w:t xml:space="preserve">, vo vložke č. 18452/B bola dobrovoľne vymazaná z obchodného registra  dňa 10. 06. 2010.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Keďže zanikol subjekt – dlžník voči ktorému by si mohol Bratislavský samosprávny kraj uplatňovať svoj nárok, a jedná sa o nedobytnú pohľadávku, spoločnosť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>, s.r.o. zaslala Bratislavskému samosprávnemu kraju, ako veriteľovi písomne Návrh na trvalé upustenie od vymáhania pohľadávky voči   GERLACH PRINT, spol. s r.o., a</w:t>
      </w:r>
      <w:r w:rsidRPr="00AC07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 vytvorenie opravnej položky vo výške 100 % menovitej hodnoty pohľadávky pre zrejmú bezúspešnosť jej ďalšieho vymáhania.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Pr="00EE016B" w:rsidRDefault="00544E66" w:rsidP="00544E66">
      <w:pPr>
        <w:jc w:val="both"/>
        <w:rPr>
          <w:rFonts w:ascii="Arial" w:hAnsi="Arial" w:cs="Arial"/>
          <w:b/>
        </w:rPr>
      </w:pPr>
      <w:r w:rsidRPr="004905AC">
        <w:rPr>
          <w:rFonts w:ascii="Arial" w:hAnsi="Arial" w:cs="Arial"/>
          <w:b/>
          <w:u w:val="single"/>
        </w:rPr>
        <w:t>Ad/</w:t>
      </w:r>
      <w:r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</w:rPr>
        <w:t xml:space="preserve">  CENTRUM ZDRAVIA – RENDEZ, </w:t>
      </w:r>
      <w:proofErr w:type="spellStart"/>
      <w:r>
        <w:rPr>
          <w:rFonts w:ascii="Arial" w:hAnsi="Arial" w:cs="Arial"/>
          <w:b/>
        </w:rPr>
        <w:t>n.o</w:t>
      </w:r>
      <w:proofErr w:type="spellEnd"/>
      <w:r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ab/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Pohľadávka vznikla so Zmluvy o nájme nehnuteľnosti uzatvorenej podľa § 663 a </w:t>
      </w:r>
      <w:proofErr w:type="spellStart"/>
      <w:r>
        <w:rPr>
          <w:rFonts w:ascii="Arial" w:hAnsi="Arial" w:cs="Arial"/>
        </w:rPr>
        <w:t>nasl</w:t>
      </w:r>
      <w:proofErr w:type="spellEnd"/>
      <w:r>
        <w:rPr>
          <w:rFonts w:ascii="Arial" w:hAnsi="Arial" w:cs="Arial"/>
        </w:rPr>
        <w:t xml:space="preserve">. Občianskeho zákonníka dňa 01. 07. 2005 medzi Bratislavským samosprávnym krajom, ako prenajímateľom, a neziskovou organizáciou CENTRUM ZDRAVIA -  RENDEZ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., so sídlom Račianska 184/B, 831 05 Bratislava, IČO: 37924206, ako nájomcom.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Nájomca si neplnil svoje záväzky vyplývajúce z uzatvorenej zmluvy a dostal sa do platobnej neschopnosti a následne do likvidácie. Dňa 15. 04. 2009 bol na majetok neziskovej organizácie CENTRUM ZDRAVIA -  RENDEZ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 v likvidácii, vyhlásený konkurz. Okresný súd Bratislava I v uvedenej veci uznesením </w:t>
      </w:r>
      <w:proofErr w:type="spellStart"/>
      <w:r>
        <w:rPr>
          <w:rFonts w:ascii="Arial" w:hAnsi="Arial" w:cs="Arial"/>
        </w:rPr>
        <w:t>č.k</w:t>
      </w:r>
      <w:proofErr w:type="spellEnd"/>
      <w:r>
        <w:rPr>
          <w:rFonts w:ascii="Arial" w:hAnsi="Arial" w:cs="Arial"/>
        </w:rPr>
        <w:t xml:space="preserve">. 2K/2/2009-300 zo dňa 18. 07. 2011 zrušil konkurz na </w:t>
      </w:r>
      <w:proofErr w:type="spellStart"/>
      <w:r>
        <w:rPr>
          <w:rFonts w:ascii="Arial" w:hAnsi="Arial" w:cs="Arial"/>
        </w:rPr>
        <w:t>majetkok</w:t>
      </w:r>
      <w:proofErr w:type="spellEnd"/>
      <w:r>
        <w:rPr>
          <w:rFonts w:ascii="Arial" w:hAnsi="Arial" w:cs="Arial"/>
        </w:rPr>
        <w:t xml:space="preserve"> úpadcu CENTRUM ZDRAVIA -  RENDEZ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 v likvidácii, pre nedostatok majetku. Uznesenie nadobudlo právoplatnosť dňa 11. 08. 2011.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základe uvedeného je zrejmé, že pohľadávka nebude dlžníkom zaplatená. Spoločnosť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 xml:space="preserve">, s.r.o., vykonávajúca správu pohľadávok Bratislavského samosprávneho kraja zaslala Bratislavskému samosprávnemu kraju, ako veriteľovi Návrh na trvalé upustenie od vymáhania pohľadávky voči CENTRUM ZDRAVIA -  RENDEZ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>. s návrhom na vytvorenie opravnej položky vo výške 100 % menovitej hodnoty pohľadávky pre zrejmú bezúspešnosť jej ďalšieho vymáhania.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Pr="00EE016B" w:rsidRDefault="00544E66" w:rsidP="00544E66">
      <w:pPr>
        <w:jc w:val="both"/>
        <w:rPr>
          <w:rFonts w:ascii="Arial" w:hAnsi="Arial" w:cs="Arial"/>
          <w:b/>
        </w:rPr>
      </w:pPr>
      <w:r w:rsidRPr="004905AC">
        <w:rPr>
          <w:rFonts w:ascii="Arial" w:hAnsi="Arial" w:cs="Arial"/>
          <w:b/>
          <w:u w:val="single"/>
        </w:rPr>
        <w:t>Ad/</w:t>
      </w:r>
      <w:r>
        <w:rPr>
          <w:rFonts w:ascii="Arial" w:hAnsi="Arial" w:cs="Arial"/>
          <w:b/>
          <w:u w:val="single"/>
        </w:rPr>
        <w:t>3</w:t>
      </w:r>
      <w:r>
        <w:rPr>
          <w:rFonts w:ascii="Arial" w:hAnsi="Arial" w:cs="Arial"/>
          <w:b/>
        </w:rPr>
        <w:t xml:space="preserve">  MF TRANSMISSION s.r.o. (SERVICE </w:t>
      </w:r>
      <w:proofErr w:type="spellStart"/>
      <w:r>
        <w:rPr>
          <w:rFonts w:ascii="Arial" w:hAnsi="Arial" w:cs="Arial"/>
          <w:b/>
        </w:rPr>
        <w:t>activity</w:t>
      </w:r>
      <w:proofErr w:type="spellEnd"/>
      <w:r>
        <w:rPr>
          <w:rFonts w:ascii="Arial" w:hAnsi="Arial" w:cs="Arial"/>
          <w:b/>
        </w:rPr>
        <w:t xml:space="preserve"> s.r.o.)</w:t>
      </w:r>
      <w:r>
        <w:rPr>
          <w:rFonts w:ascii="Arial" w:hAnsi="Arial" w:cs="Arial"/>
          <w:b/>
        </w:rPr>
        <w:tab/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Pohľadávka vznikla so Zmluvy č. 30/SOUs/2006 o nájme nebytového priestoru zo dňa 09. 06. 2006, v znení Dodatku č. 1 zo dňa 03. 03. 2008 a Dodatku č. 2 ktorý nadobudol účinnosť dňa 01. 01. 2009 uzatvorenej medzi Stredným odborným učilišťom stavebným Bratislava, Ružinovská č. 1, Bratislava – organizáciou v zriaďovateľskej pôsobnosti Bratislavského samosprávneho kraja ako prenajímateľom, a obchodnou spoločnosťou MF TRANSMISSION, s.r.o., Trenčianska 673/7, 821 09 Bratislava, ako nájomcom. Po zmene zriaďovateľa  Stredného odborného učilišťa stavebného Bratislava, prešli práva a povinnosti prenajímateľa vyplývajúce zo zmluvy na Bratislavský samosprávny kraj, ako zriaďovateľa zaniknutej organizácie.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Nájomca si v priebehu roka 2009 prestal plniť svoje povinnosti vyplývajúce zo zmluvy, spočívajúce v platení dohodnutého nájomného a poplatkov za služby spojených s nájmom. Napriek zasielaným výzvam na úhradu nebola táto pohľadávka uhradená.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Dňa 20. 12. 2010 uzatvoril dlžník MF TRANSMISSION, s.r.o., Dohodu o postúpení práv a povinností z nájomného vzťahu založeného nájomnou zmluvou č. 30/SOUs/2006 so spoločnosťou SERVICE </w:t>
      </w:r>
      <w:proofErr w:type="spellStart"/>
      <w:r>
        <w:rPr>
          <w:rFonts w:ascii="Arial" w:hAnsi="Arial" w:cs="Arial"/>
        </w:rPr>
        <w:t>activity</w:t>
      </w:r>
      <w:proofErr w:type="spellEnd"/>
      <w:r>
        <w:rPr>
          <w:rFonts w:ascii="Arial" w:hAnsi="Arial" w:cs="Arial"/>
        </w:rPr>
        <w:t xml:space="preserve">, s.r.o., so sídlom Stará Vajnorská 16, 831 04 Bratislava, IČO: 45631379, na ktorú  s účinnosťou od 01. 01. 2011 postúpila všetky práva a povinnosti vyplývajúce zo zmluvy č. 30/SOUs/2006 v znení jej dodatkov. Zároveň prebrala na seba aj dlh spoločnosti MF TRANSMISSION, s.r.o., Trenčianska 673/7, 821 09 Bratislava a tento uznala čo do výšky a dôvodu.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Ani právny nástupca nájomcu, spoločnosť  SERVICE </w:t>
      </w:r>
      <w:proofErr w:type="spellStart"/>
      <w:r>
        <w:rPr>
          <w:rFonts w:ascii="Arial" w:hAnsi="Arial" w:cs="Arial"/>
        </w:rPr>
        <w:t>activity</w:t>
      </w:r>
      <w:proofErr w:type="spellEnd"/>
      <w:r>
        <w:rPr>
          <w:rFonts w:ascii="Arial" w:hAnsi="Arial" w:cs="Arial"/>
        </w:rPr>
        <w:t xml:space="preserve">, s.r.o., si riadne neplnila svoje záväzky vyplývajúce z nájomnej zmluvy ako aj záväzok uhradiť uznaný dlh a to ani napriek zasielaným výzvam na úhradu. Po bezúspešnom predsúdnom vymáhaní bola vo veci vypracovaná a podaná žaloba na súd a predmetná vec bola postúpená spoločnosti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>, s.r.o., ktorá pre Bratislavský samosprávny kraj zabezpečuje správu a vymáhanie pohľadávok Bratislavského samosprávneho kraja. Vo veci bolo podané aj trestné oznámenie na dlžníka. Trestné konanie bolo ukončené odmietnutím oznámenia.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 rámci súdneho vymáhania pohľadávky bol Okresným súdom Bratislava III vydaný Platobný rozkaz zo dňa 27. 07. 2015 v prospech Bratislavského samosprávneho kraja, ako veriteľa na čiastočnú úhradu dlhu spolu s príslušenstvom.  Dlžník v stanovenej lehote príslušnú sumu nezaplatil. Lustráciou dlžníka bolo zistené, že tento má aj ďalšie dlhy, vrátane dlhu na poistnom na zdravotnom poistení a poistnom na sociálnom poistení. Voči dlžníkovi sú vedené na miestne príslušnom súde aj ďalšie súdne konania, kde je</w:t>
      </w:r>
      <w:r w:rsidRPr="00F561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spoločnosť  SERVICE </w:t>
      </w:r>
      <w:proofErr w:type="spellStart"/>
      <w:r>
        <w:rPr>
          <w:rFonts w:ascii="Arial" w:hAnsi="Arial" w:cs="Arial"/>
        </w:rPr>
        <w:t>activity</w:t>
      </w:r>
      <w:proofErr w:type="spellEnd"/>
      <w:r>
        <w:rPr>
          <w:rFonts w:ascii="Arial" w:hAnsi="Arial" w:cs="Arial"/>
        </w:rPr>
        <w:t xml:space="preserve">, s.r.o., žalovaná ako dlžník.  Vzhľadom na uvedené skutočnosti, ako aj výške dlhu neexistuje reálny predpoklad vymožiteľnosti pohľadávky.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Pr="00EE016B" w:rsidRDefault="00544E66" w:rsidP="00544E66">
      <w:pPr>
        <w:jc w:val="both"/>
        <w:rPr>
          <w:rFonts w:ascii="Arial" w:hAnsi="Arial" w:cs="Arial"/>
          <w:b/>
        </w:rPr>
      </w:pPr>
      <w:r w:rsidRPr="004905AC">
        <w:rPr>
          <w:rFonts w:ascii="Arial" w:hAnsi="Arial" w:cs="Arial"/>
          <w:b/>
          <w:u w:val="single"/>
        </w:rPr>
        <w:t>Ad/</w:t>
      </w:r>
      <w:r>
        <w:rPr>
          <w:rFonts w:ascii="Arial" w:hAnsi="Arial" w:cs="Arial"/>
          <w:b/>
          <w:u w:val="single"/>
        </w:rPr>
        <w:t xml:space="preserve">4  </w:t>
      </w:r>
      <w:proofErr w:type="spellStart"/>
      <w:r>
        <w:rPr>
          <w:rFonts w:ascii="Arial" w:hAnsi="Arial" w:cs="Arial"/>
          <w:b/>
        </w:rPr>
        <w:t>Aktiva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n.o</w:t>
      </w:r>
      <w:proofErr w:type="spellEnd"/>
      <w:r>
        <w:rPr>
          <w:rFonts w:ascii="Arial" w:hAnsi="Arial" w:cs="Arial"/>
          <w:b/>
        </w:rPr>
        <w:t xml:space="preserve">., DSS pre dospelých  </w:t>
      </w:r>
    </w:p>
    <w:p w:rsidR="00544E66" w:rsidRDefault="00544E66" w:rsidP="00544E66">
      <w:pPr>
        <w:jc w:val="both"/>
        <w:rPr>
          <w:rFonts w:ascii="Arial" w:hAnsi="Arial" w:cs="Arial"/>
          <w:b/>
          <w:u w:val="single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Pohľadávka vznikla z nedodržania splácania pohľadávky zo Splátkového kalendára, uzatvoreného dňa 27. 4. 2009 medzi zmluvnými stranami: AKTIVA,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 – domov sociálnych služieb pre dospelých v likvidácii, so sídlom Bazovského 4, 841 06, Bratislava, IČO: 31821197. Splátkový kalendár uzatvorili na základe výsledku kontroly zo dňa 21. 07. 2008 a prerokovania Správy o výsledku kontroly zo dňa 28. 11. 2008, v zmysle ktorého AKTIVA,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>. – domov sociálnych služieb pre dospelých bola povinná vrátiť Bratislavskému samosprávnemu kraju, ako poskytovateľovi finančné prostriedky použité prijímateľom v rozpore so zmluvou č. 1/2008 zo dňa 15. 01. 2008 o poskytnutí finančného príspevku pre rok 2008. Zmluvu uvedené zmluvné strany uzatvorili pri realizácii kompetencií Bratislavského samosprávneho kraja v oblasti poskytovania sociálnych služieb.</w:t>
      </w:r>
    </w:p>
    <w:p w:rsidR="00544E66" w:rsidRPr="000C08D9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AKTIVA,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 – domov sociálnych služieb pre dospelých uzatvorený splátkový kalendár nedodržala a neuhradila riadne a včas svoju pohľadávku dohodnutým spôsobom. 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Napriek zasielaným výzvam na úhradu nebola táto pohľadávka uhradená. Predmetná vec bola postúpená spoločnosti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 xml:space="preserve">, s.r.o., ktorá pre Bratislavský samosprávny kraj zabezpečuje správu a vymáhanie pohľadávok Bratislavského samosprávneho kraja. Lustráciou dlžníka bolo zistené, že podľa registra neziskových organizácií zabezpečovaného Ministerstvom vnútra Slovenskej republiky, nezisková organizácia zanikla dňa 14. 09. 2011. Keďže zanikol subjekt – dlžník voči ktorému by si mohol Bratislavský samosprávny kraj uplatňovať svoj nárok, a jedná sa o nedobytnú pohľadávku, spoločnosť BL </w:t>
      </w:r>
      <w:proofErr w:type="spellStart"/>
      <w:r>
        <w:rPr>
          <w:rFonts w:ascii="Arial" w:hAnsi="Arial" w:cs="Arial"/>
        </w:rPr>
        <w:t>Consulting</w:t>
      </w:r>
      <w:proofErr w:type="spellEnd"/>
      <w:r>
        <w:rPr>
          <w:rFonts w:ascii="Arial" w:hAnsi="Arial" w:cs="Arial"/>
        </w:rPr>
        <w:t xml:space="preserve">, s.r.o. zaslala Bratislavskému samosprávnemu kraju, ako veriteľovi písomne Návrh na trvalé upustenie od vymáhania pohľadávky voči   AKTIVA,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>. – domov sociálnych služieb pre dospelých v likvidácii, s návrhom na vytvorenie opravnej položky vo výške 100 % menovitej hodnoty pohľadávky pre zrejmú bezúspešnosť jej ďalšieho vymáhania.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Zákon č. 446/2001 Z. z. o majetku vyšších územných celkov v platnom znení upravuje  majetok vyššieho územného celku, ktorým je samosprávny kraj, nakladanie s ním a majetkové postavenie vyššieho územného celku.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 § 9 cit. zákona sa uvádza, že Vyšší územný celok a správca sú povinní hospodáriť s majetkom vyššieho územného celku podľa tohto zákona a v súlade so zásadami hospodárenia s majetkom vyššieho územného celku. Zároveň v ods. 3 cit. § 9 uvádza - Zastupiteľstvo schvaľuje – nakladanie s majetkovými právami vyššieho územného celku nad hodnotu určenú v zásadách podľa ods. 2 .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Platné Zásady hospodárenia a nakladania  s majetkom Bratislavského samosprávneho kraja prijaté  v  zmysle ustanovení cit. zákona Zastupiteľstvom Bratislavského samosprávneho kraja o. i. stanovujú: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§ 12 ods. 1,2</w:t>
      </w:r>
    </w:p>
    <w:p w:rsidR="00544E66" w:rsidRDefault="00544E66" w:rsidP="00544E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 nakladaní s pohľadávkami a inými majetkovými právami je samosprávny kraj ako aj správca majetku samosprávneho kraja povinný zabezpečiť, aby povinnosti dlžníka 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boli riadne a včas splnené, respektíve, aby bola pohľadávka včas uplatnená na príslušnom orgáne.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Ak je dlžník v omeškaní s plnením svojho záväzku je samosprávny kraj a správca povinný účtovať a vymáhať tak zákonné sankcie (úrok z omeškania – zákonný, penále, náhradu škody), ako aj sankcie vyplývajúce zo zmluvy (zmluvná pokuta, úrok z omeškania- zmluvný v obchodných veciach) a náklady spojené s vymáhaním pohľadávky.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§ 14ods.1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 dôvodov hodných osobitného zreteľa, najmä však z dôvodu ekonomickej neefektívnosti môže samosprávny kraj a správca po predchádzajúcom písomnom </w:t>
      </w:r>
      <w:r>
        <w:rPr>
          <w:rFonts w:ascii="Arial" w:hAnsi="Arial" w:cs="Arial"/>
        </w:rPr>
        <w:lastRenderedPageBreak/>
        <w:t>súhlase predsedu upustiť od vymáhania  majetkových práv samosprávneho kraja (ďalej len pohľadávka). Dôvodom hodným osobitného zreteľa je predovšetkým: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minimálny predpoklad vymoženia (zrejmá nemajetnosť dlžníka )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dôvodný predpoklad, že náklady spojené s vymáhaním by boli vyššie ako samotná pohľadávka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premlčanie pohľadávky bez ohľadu na to, či dlžník vzniesol námietku premlčania, alebo je zo všetkých okolností zrejmé, že ďalšie vymáhanie by bolo neúspešné, alebo nehospodárne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ak sa jedná o vopred zrejmú bezúspešnosť uplatňovania práva pri vymáhaní pohľadávky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predlženie dedičstva po fyzickej osobe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zastavenie exekúcie prípadne výkonu rozhodnutia, konkurz reštrukturalizácia, alebo likvidácia najmä z dôvodu zániku povinného bez právneho nástupcu alebo insolventnosti</w:t>
      </w:r>
    </w:p>
    <w:p w:rsidR="00544E66" w:rsidRDefault="00544E66" w:rsidP="00544E66">
      <w:pPr>
        <w:jc w:val="both"/>
        <w:rPr>
          <w:rFonts w:ascii="Arial" w:hAnsi="Arial" w:cs="Arial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Arial" w:hAnsi="Arial" w:cs="Arial"/>
        </w:rPr>
        <w:t xml:space="preserve">dobrovoľné nezaplatenie dlhu dlžníkom vo výške nepresahujúcej 34 € (tzv. nepatrná pohľadávka), avšak iba raz, len ak súčet pohľadávky od vymáhania ktorej sa upustilo </w:t>
      </w:r>
      <w:r>
        <w:rPr>
          <w:rFonts w:ascii="Trebuchet MS" w:hAnsi="Trebuchet MS"/>
        </w:rPr>
        <w:t>a pohľadávky od vymáhania ktorej sa má upustiť, nepresiahol 34 €</w:t>
      </w:r>
    </w:p>
    <w:p w:rsidR="00544E66" w:rsidRDefault="00544E66" w:rsidP="00544E66">
      <w:pPr>
        <w:jc w:val="both"/>
        <w:rPr>
          <w:rFonts w:ascii="Trebuchet MS" w:hAnsi="Trebuchet MS"/>
        </w:rPr>
      </w:pPr>
    </w:p>
    <w:p w:rsidR="00544E66" w:rsidRDefault="00544E66" w:rsidP="00544E66">
      <w:pPr>
        <w:pStyle w:val="Odsekzoznamu"/>
        <w:numPr>
          <w:ilvl w:val="0"/>
          <w:numId w:val="1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>pohľadávka je tvorená len s úroku z omeškania, poplatku z omeškania alebo zmluvnej pokuty a istina z pohľadávky je v plnom rozsahu uhradená.</w:t>
      </w:r>
    </w:p>
    <w:p w:rsidR="00544E66" w:rsidRDefault="00544E66" w:rsidP="00544E66">
      <w:pPr>
        <w:jc w:val="both"/>
        <w:rPr>
          <w:rFonts w:ascii="Trebuchet MS" w:hAnsi="Trebuchet MS"/>
        </w:rPr>
      </w:pPr>
    </w:p>
    <w:p w:rsidR="00544E66" w:rsidRDefault="00544E66" w:rsidP="00544E66">
      <w:pPr>
        <w:jc w:val="both"/>
        <w:rPr>
          <w:rFonts w:ascii="Trebuchet MS" w:hAnsi="Trebuchet MS"/>
          <w:b/>
        </w:rPr>
      </w:pPr>
    </w:p>
    <w:p w:rsidR="00544E66" w:rsidRDefault="00544E66" w:rsidP="00544E66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Nereálnosť vymoženia pohľadávky musí byť potvrdená odbornými útvarmi Úradu BSK (odbor financií, právne oddelenie, oddelenie investičných činností a oddelenie správy majetku) a musí byť písomne odôvodnená s uvedením dôvodov, pre ktoré navrhuje upustiť od vymáhania. Ustanovenie § 6 ods.1 písm. f) týmto nie je dotknuté,(nakladanie s majetkovými právami samosprávneho kraja nad zostatkovú/obstarávaciu hodnotu 35 000,-€).</w:t>
      </w:r>
    </w:p>
    <w:p w:rsidR="00544E66" w:rsidRDefault="00544E66" w:rsidP="00544E66">
      <w:pPr>
        <w:jc w:val="both"/>
        <w:rPr>
          <w:rFonts w:ascii="Trebuchet MS" w:hAnsi="Trebuchet MS"/>
          <w:b/>
        </w:rPr>
      </w:pPr>
    </w:p>
    <w:p w:rsidR="00544E66" w:rsidRDefault="00544E66" w:rsidP="00544E66">
      <w:pPr>
        <w:jc w:val="both"/>
        <w:rPr>
          <w:rFonts w:ascii="Trebuchet MS" w:hAnsi="Trebuchet MS"/>
        </w:rPr>
      </w:pPr>
    </w:p>
    <w:p w:rsidR="00544E66" w:rsidRDefault="00544E66" w:rsidP="00544E66">
      <w:pPr>
        <w:jc w:val="both"/>
        <w:rPr>
          <w:rFonts w:ascii="Trebuchet MS" w:hAnsi="Trebuchet MS"/>
        </w:rPr>
      </w:pPr>
      <w:r>
        <w:rPr>
          <w:rFonts w:ascii="Trebuchet MS" w:hAnsi="Trebuchet MS"/>
          <w:b/>
          <w:u w:val="single"/>
        </w:rPr>
        <w:t>Záver</w:t>
      </w:r>
      <w:r>
        <w:rPr>
          <w:rFonts w:ascii="Trebuchet MS" w:hAnsi="Trebuchet MS"/>
          <w:b/>
        </w:rPr>
        <w:t>:</w:t>
      </w:r>
    </w:p>
    <w:p w:rsidR="00544E66" w:rsidRDefault="00544E66" w:rsidP="00544E66">
      <w:pPr>
        <w:jc w:val="both"/>
        <w:rPr>
          <w:rFonts w:ascii="Trebuchet MS" w:hAnsi="Trebuchet MS"/>
        </w:rPr>
      </w:pPr>
    </w:p>
    <w:p w:rsidR="00544E66" w:rsidRDefault="00F113D0" w:rsidP="00F113D0">
      <w:pPr>
        <w:jc w:val="both"/>
        <w:rPr>
          <w:rFonts w:ascii="Trebuchet MS" w:hAnsi="Trebuchet MS"/>
          <w:b/>
        </w:rPr>
      </w:pPr>
      <w:r>
        <w:rPr>
          <w:rFonts w:ascii="Trebuchet MS" w:hAnsi="Trebuchet MS"/>
        </w:rPr>
        <w:t>N</w:t>
      </w:r>
      <w:r w:rsidR="00544E66">
        <w:rPr>
          <w:rFonts w:ascii="Trebuchet MS" w:hAnsi="Trebuchet MS"/>
        </w:rPr>
        <w:t xml:space="preserve">ávrh na upustenie od vymáhania predložených pohľadávok </w:t>
      </w:r>
      <w:r w:rsidR="00544E66">
        <w:rPr>
          <w:rFonts w:ascii="Trebuchet MS" w:hAnsi="Trebuchet MS"/>
          <w:b/>
          <w:u w:val="single"/>
        </w:rPr>
        <w:t>je v súlade  s § 14 ods.1 platných Zásad hospodárenia a nakladania s majetkom Bratislavského samosprávneho kraja</w:t>
      </w:r>
      <w:r>
        <w:rPr>
          <w:rFonts w:ascii="Trebuchet MS" w:hAnsi="Trebuchet MS"/>
          <w:b/>
          <w:u w:val="single"/>
        </w:rPr>
        <w:t>.</w:t>
      </w:r>
      <w:r>
        <w:rPr>
          <w:rFonts w:ascii="Trebuchet MS" w:hAnsi="Trebuchet MS"/>
          <w:b/>
        </w:rPr>
        <w:t xml:space="preserve">  </w:t>
      </w:r>
      <w:r w:rsidR="00544E66">
        <w:rPr>
          <w:rFonts w:ascii="Trebuchet MS" w:hAnsi="Trebuchet MS"/>
          <w:b/>
        </w:rPr>
        <w:t xml:space="preserve"> </w:t>
      </w:r>
    </w:p>
    <w:p w:rsidR="00F113D0" w:rsidRDefault="00F113D0" w:rsidP="00F113D0">
      <w:pPr>
        <w:jc w:val="both"/>
        <w:rPr>
          <w:rFonts w:ascii="Trebuchet MS" w:hAnsi="Trebuchet MS"/>
          <w:b/>
        </w:rPr>
      </w:pPr>
    </w:p>
    <w:p w:rsidR="00F113D0" w:rsidRDefault="00F113D0" w:rsidP="00F113D0">
      <w:pPr>
        <w:jc w:val="both"/>
        <w:rPr>
          <w:rFonts w:ascii="Trebuchet MS" w:hAnsi="Trebuchet MS"/>
          <w:b/>
        </w:rPr>
      </w:pPr>
    </w:p>
    <w:p w:rsidR="00F113D0" w:rsidRDefault="00F113D0" w:rsidP="00F113D0">
      <w:pPr>
        <w:jc w:val="both"/>
        <w:rPr>
          <w:rFonts w:ascii="Trebuchet MS" w:hAnsi="Trebuchet MS"/>
          <w:b/>
        </w:rPr>
      </w:pPr>
    </w:p>
    <w:p w:rsidR="00F113D0" w:rsidRDefault="00F113D0" w:rsidP="00F113D0">
      <w:pPr>
        <w:jc w:val="both"/>
        <w:rPr>
          <w:rFonts w:ascii="Trebuchet MS" w:hAnsi="Trebuchet MS"/>
          <w:b/>
        </w:rPr>
      </w:pPr>
    </w:p>
    <w:p w:rsidR="00F113D0" w:rsidRDefault="00F113D0" w:rsidP="00F113D0">
      <w:pPr>
        <w:jc w:val="both"/>
        <w:rPr>
          <w:rFonts w:ascii="Trebuchet MS" w:hAnsi="Trebuchet MS"/>
        </w:rPr>
      </w:pPr>
    </w:p>
    <w:p w:rsidR="00544E66" w:rsidRDefault="00544E66" w:rsidP="00544E66">
      <w:pPr>
        <w:jc w:val="both"/>
        <w:rPr>
          <w:rFonts w:ascii="Trebuchet MS" w:hAnsi="Trebuchet MS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Pr="00791D4F" w:rsidRDefault="00544E66" w:rsidP="00544E66">
      <w:pPr>
        <w:jc w:val="both"/>
        <w:rPr>
          <w:rFonts w:ascii="Arial" w:hAnsi="Arial" w:cs="Arial"/>
        </w:rPr>
      </w:pPr>
      <w:r w:rsidRPr="004F6FDC">
        <w:rPr>
          <w:rFonts w:ascii="Arial" w:hAnsi="Arial" w:cs="Arial"/>
          <w:b/>
          <w:u w:val="single"/>
        </w:rPr>
        <w:lastRenderedPageBreak/>
        <w:t>Vyjadrenia odborných útvarov</w:t>
      </w:r>
      <w:r>
        <w:rPr>
          <w:rFonts w:ascii="Arial" w:hAnsi="Arial" w:cs="Arial"/>
          <w:b/>
          <w:u w:val="single"/>
        </w:rPr>
        <w:t xml:space="preserve">- </w:t>
      </w:r>
      <w:r>
        <w:rPr>
          <w:rFonts w:ascii="Arial" w:hAnsi="Arial" w:cs="Arial"/>
        </w:rPr>
        <w:t xml:space="preserve">k „Návrhu na trvalé upustenie od vymáhania pohľadávok Bratislavského samosprávneho kraja“, voči dlžníkovi:  GERLACH PRINT, spol. s r. o, predkladanému na rokovanie Zastupiteľstva Bratislavského samosprávneho kraja v celkovej sume spolu:  </w:t>
      </w:r>
      <w:r>
        <w:rPr>
          <w:rFonts w:ascii="Arial" w:hAnsi="Arial" w:cs="Arial"/>
          <w:b/>
        </w:rPr>
        <w:t>25 449,78 €</w:t>
      </w:r>
      <w:r w:rsidRPr="00791D4F">
        <w:rPr>
          <w:rFonts w:ascii="Arial" w:hAnsi="Arial" w:cs="Arial"/>
        </w:rPr>
        <w:t xml:space="preserve">,  podľa </w:t>
      </w:r>
      <w:r>
        <w:rPr>
          <w:rFonts w:ascii="Arial" w:hAnsi="Arial" w:cs="Arial"/>
        </w:rPr>
        <w:t xml:space="preserve">priloženej tabuľky so špecifikáciou  jednotlivých pohľadávok 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poukazom na §14 ods.1 platných Zásad hospodárenia a nakladania s majetkom Bratislavského samosprávneho kraja t. j. nereálnosť vymoženia pohľadávky musí byť potvrdená odbornými útvarmi Úradu BSK (odbor financií, právne oddelenie, oddelenie investičných činností a oddelenie správy majetku) a musí byť písomne odôvodnená s uvedením dôvodov, pre ktoré navrhuje upustiť od vymáhania,  Vás žiadame o vyjadrenie.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Pr="008A0B13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odbor financií:                                        súhlasím                     nesúhlasím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>Ing. Marián Múdry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  riaditeľ odboru 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</w:t>
      </w:r>
    </w:p>
    <w:p w:rsidR="00544E66" w:rsidRPr="008A0B13" w:rsidRDefault="00544E66" w:rsidP="00544E66">
      <w:pPr>
        <w:rPr>
          <w:rFonts w:ascii="Arial" w:hAnsi="Arial" w:cs="Arial"/>
        </w:rPr>
      </w:pPr>
      <w:r w:rsidRPr="00891B76">
        <w:rPr>
          <w:rFonts w:ascii="Arial" w:hAnsi="Arial" w:cs="Arial"/>
        </w:rPr>
        <w:t>právne oddelenie</w:t>
      </w:r>
      <w:r>
        <w:rPr>
          <w:rFonts w:ascii="Arial" w:hAnsi="Arial" w:cs="Arial"/>
        </w:rPr>
        <w:t>:</w:t>
      </w:r>
      <w:r w:rsidRPr="00891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súhlasím                     nesúhlasím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proofErr w:type="spellStart"/>
      <w:r w:rsidRPr="00891B76">
        <w:rPr>
          <w:rFonts w:ascii="Arial" w:hAnsi="Arial" w:cs="Arial"/>
          <w:sz w:val="20"/>
          <w:szCs w:val="20"/>
        </w:rPr>
        <w:t>JUDr.Matúš</w:t>
      </w:r>
      <w:proofErr w:type="spellEnd"/>
      <w:r>
        <w:rPr>
          <w:rFonts w:ascii="Arial" w:hAnsi="Arial" w:cs="Arial"/>
          <w:sz w:val="20"/>
          <w:szCs w:val="20"/>
        </w:rPr>
        <w:t xml:space="preserve"> Šaray</w:t>
      </w:r>
    </w:p>
    <w:p w:rsidR="00544E66" w:rsidRDefault="00544E66" w:rsidP="00544E66">
      <w:r>
        <w:t>vedúci oddelenia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oddelenie </w:t>
      </w:r>
      <w:r>
        <w:rPr>
          <w:rFonts w:ascii="Arial" w:hAnsi="Arial" w:cs="Arial"/>
        </w:rPr>
        <w:t>investičných činností: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891B76">
        <w:rPr>
          <w:rFonts w:ascii="Arial" w:hAnsi="Arial" w:cs="Arial"/>
          <w:sz w:val="20"/>
          <w:szCs w:val="20"/>
        </w:rPr>
        <w:t>Ing. Peter Vojtko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891B76">
        <w:rPr>
          <w:rFonts w:ascii="Arial" w:hAnsi="Arial" w:cs="Arial"/>
          <w:sz w:val="20"/>
          <w:szCs w:val="20"/>
        </w:rPr>
        <w:t>vedúci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oddelenie správy majetku: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proofErr w:type="spellStart"/>
      <w:r w:rsidRPr="008A30C8">
        <w:rPr>
          <w:rFonts w:ascii="Arial" w:hAnsi="Arial" w:cs="Arial"/>
          <w:sz w:val="20"/>
          <w:szCs w:val="20"/>
        </w:rPr>
        <w:t>Bc.Gabriela</w:t>
      </w:r>
      <w:proofErr w:type="spellEnd"/>
      <w:r w:rsidRPr="008A30C8">
        <w:rPr>
          <w:rFonts w:ascii="Arial" w:hAnsi="Arial" w:cs="Arial"/>
          <w:sz w:val="20"/>
          <w:szCs w:val="20"/>
        </w:rPr>
        <w:t xml:space="preserve"> Papánová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20"/>
          <w:szCs w:val="20"/>
        </w:rPr>
        <w:t>v</w:t>
      </w:r>
      <w:r w:rsidRPr="008A30C8">
        <w:rPr>
          <w:rFonts w:ascii="Arial" w:hAnsi="Arial" w:cs="Arial"/>
          <w:sz w:val="20"/>
          <w:szCs w:val="20"/>
        </w:rPr>
        <w:t>edúca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odbor investičných činností:                   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správy majetku a 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verejného obstarávania                   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4F6FDC">
        <w:rPr>
          <w:rFonts w:ascii="Arial" w:hAnsi="Arial" w:cs="Arial"/>
          <w:sz w:val="20"/>
          <w:szCs w:val="20"/>
        </w:rPr>
        <w:t>Mgr.Ing</w:t>
      </w:r>
      <w:proofErr w:type="spellEnd"/>
      <w:r w:rsidRPr="004F6FDC">
        <w:rPr>
          <w:rFonts w:ascii="Arial" w:hAnsi="Arial" w:cs="Arial"/>
          <w:sz w:val="20"/>
          <w:szCs w:val="20"/>
        </w:rPr>
        <w:t xml:space="preserve">. Ján </w:t>
      </w:r>
      <w:proofErr w:type="spellStart"/>
      <w:r w:rsidRPr="004F6FDC">
        <w:rPr>
          <w:rFonts w:ascii="Arial" w:hAnsi="Arial" w:cs="Arial"/>
          <w:sz w:val="20"/>
          <w:szCs w:val="20"/>
        </w:rPr>
        <w:t>Keselý</w:t>
      </w:r>
      <w:proofErr w:type="spellEnd"/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F6FDC">
        <w:rPr>
          <w:rFonts w:ascii="Arial" w:hAnsi="Arial" w:cs="Arial"/>
          <w:sz w:val="20"/>
          <w:szCs w:val="20"/>
        </w:rPr>
        <w:t>riaditeľ odboru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544E66" w:rsidRPr="004F6FDC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                                                         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4E66" w:rsidRPr="00791D4F" w:rsidRDefault="00544E66" w:rsidP="00544E66">
      <w:pPr>
        <w:jc w:val="both"/>
        <w:rPr>
          <w:rFonts w:ascii="Arial" w:hAnsi="Arial" w:cs="Arial"/>
        </w:rPr>
      </w:pPr>
      <w:r w:rsidRPr="004F6FDC">
        <w:rPr>
          <w:rFonts w:ascii="Arial" w:hAnsi="Arial" w:cs="Arial"/>
          <w:b/>
          <w:u w:val="single"/>
        </w:rPr>
        <w:lastRenderedPageBreak/>
        <w:t>Vyjadrenia odborných útvarov</w:t>
      </w:r>
      <w:r>
        <w:rPr>
          <w:rFonts w:ascii="Arial" w:hAnsi="Arial" w:cs="Arial"/>
          <w:b/>
          <w:u w:val="single"/>
        </w:rPr>
        <w:t xml:space="preserve">- </w:t>
      </w:r>
      <w:r>
        <w:rPr>
          <w:rFonts w:ascii="Arial" w:hAnsi="Arial" w:cs="Arial"/>
        </w:rPr>
        <w:t xml:space="preserve">k „Návrhu na trvalé upustenie od vymáhania pohľadávok Bratislavského samosprávneho kraja“, voči dlžníkovi:  organizáciou CENTRUM ZDRAVIA -  RENDEZ </w:t>
      </w:r>
      <w:proofErr w:type="spellStart"/>
      <w:r>
        <w:rPr>
          <w:rFonts w:ascii="Arial" w:hAnsi="Arial" w:cs="Arial"/>
        </w:rPr>
        <w:t>n.o</w:t>
      </w:r>
      <w:proofErr w:type="spellEnd"/>
      <w:r>
        <w:rPr>
          <w:rFonts w:ascii="Arial" w:hAnsi="Arial" w:cs="Arial"/>
        </w:rPr>
        <w:t xml:space="preserve">., predkladanému na rokovanie Zastupiteľstva Bratislavského samosprávneho kraja v celkovej sume spolu:  </w:t>
      </w:r>
      <w:r>
        <w:rPr>
          <w:rFonts w:ascii="Arial" w:hAnsi="Arial" w:cs="Arial"/>
          <w:b/>
        </w:rPr>
        <w:t xml:space="preserve">43 079,57 €, </w:t>
      </w:r>
      <w:r w:rsidRPr="00791D4F">
        <w:rPr>
          <w:rFonts w:ascii="Arial" w:hAnsi="Arial" w:cs="Arial"/>
        </w:rPr>
        <w:t xml:space="preserve">podľa </w:t>
      </w:r>
      <w:r>
        <w:rPr>
          <w:rFonts w:ascii="Arial" w:hAnsi="Arial" w:cs="Arial"/>
        </w:rPr>
        <w:t xml:space="preserve">priloženej tabuľky so špecifikáciou  jednotlivých pohľadávok 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poukazom na §14 ods.1 platných Zásad hospodárenia a nakladania s majetkom Bratislavského samosprávneho kraja t. j. nereálnosť vymoženia pohľadávky musí byť potvrdená odbornými útvarmi Úradu BSK (odbor financií, právne oddelenie, oddelenie investičných činností a oddelenie správy majetku) a musí byť písomne odôvodnená s uvedením dôvodov, pre ktoré navrhuje upustiť od vymáhania,  Vás žiadame o vyjadrenie.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Pr="008A0B13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odbor financií:                                        súhlasím                     nesúhlasím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>Ing. Marián Múdry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  riaditeľ odboru 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</w:t>
      </w:r>
    </w:p>
    <w:p w:rsidR="00544E66" w:rsidRPr="008A0B13" w:rsidRDefault="00544E66" w:rsidP="00544E66">
      <w:pPr>
        <w:rPr>
          <w:rFonts w:ascii="Arial" w:hAnsi="Arial" w:cs="Arial"/>
        </w:rPr>
      </w:pPr>
      <w:r w:rsidRPr="00891B76">
        <w:rPr>
          <w:rFonts w:ascii="Arial" w:hAnsi="Arial" w:cs="Arial"/>
        </w:rPr>
        <w:t>právne oddelenie</w:t>
      </w:r>
      <w:r>
        <w:rPr>
          <w:rFonts w:ascii="Arial" w:hAnsi="Arial" w:cs="Arial"/>
        </w:rPr>
        <w:t>:</w:t>
      </w:r>
      <w:r w:rsidRPr="00891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súhlasím                     nesúhlasím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proofErr w:type="spellStart"/>
      <w:r w:rsidRPr="00891B76">
        <w:rPr>
          <w:rFonts w:ascii="Arial" w:hAnsi="Arial" w:cs="Arial"/>
          <w:sz w:val="20"/>
          <w:szCs w:val="20"/>
        </w:rPr>
        <w:t>JUDr.Matúš</w:t>
      </w:r>
      <w:proofErr w:type="spellEnd"/>
      <w:r>
        <w:rPr>
          <w:rFonts w:ascii="Arial" w:hAnsi="Arial" w:cs="Arial"/>
          <w:sz w:val="20"/>
          <w:szCs w:val="20"/>
        </w:rPr>
        <w:t xml:space="preserve"> Šaray</w:t>
      </w:r>
    </w:p>
    <w:p w:rsidR="00544E66" w:rsidRDefault="00544E66" w:rsidP="00544E66">
      <w:r>
        <w:t>vedúci oddelenia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oddelenie </w:t>
      </w:r>
      <w:r>
        <w:rPr>
          <w:rFonts w:ascii="Arial" w:hAnsi="Arial" w:cs="Arial"/>
        </w:rPr>
        <w:t>investičných činností: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891B76">
        <w:rPr>
          <w:rFonts w:ascii="Arial" w:hAnsi="Arial" w:cs="Arial"/>
          <w:sz w:val="20"/>
          <w:szCs w:val="20"/>
        </w:rPr>
        <w:t>Ing. Peter Vojtko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891B76">
        <w:rPr>
          <w:rFonts w:ascii="Arial" w:hAnsi="Arial" w:cs="Arial"/>
          <w:sz w:val="20"/>
          <w:szCs w:val="20"/>
        </w:rPr>
        <w:t>vedúci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oddelenie správy majetku: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proofErr w:type="spellStart"/>
      <w:r w:rsidRPr="008A30C8">
        <w:rPr>
          <w:rFonts w:ascii="Arial" w:hAnsi="Arial" w:cs="Arial"/>
          <w:sz w:val="20"/>
          <w:szCs w:val="20"/>
        </w:rPr>
        <w:t>Bc.Gabriela</w:t>
      </w:r>
      <w:proofErr w:type="spellEnd"/>
      <w:r w:rsidRPr="008A30C8">
        <w:rPr>
          <w:rFonts w:ascii="Arial" w:hAnsi="Arial" w:cs="Arial"/>
          <w:sz w:val="20"/>
          <w:szCs w:val="20"/>
        </w:rPr>
        <w:t xml:space="preserve"> Papánová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20"/>
          <w:szCs w:val="20"/>
        </w:rPr>
        <w:t>v</w:t>
      </w:r>
      <w:r w:rsidRPr="008A30C8">
        <w:rPr>
          <w:rFonts w:ascii="Arial" w:hAnsi="Arial" w:cs="Arial"/>
          <w:sz w:val="20"/>
          <w:szCs w:val="20"/>
        </w:rPr>
        <w:t>edúca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odbor investičných činností:                   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správy majetku a 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verejného obstarávania                   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4F6FDC">
        <w:rPr>
          <w:rFonts w:ascii="Arial" w:hAnsi="Arial" w:cs="Arial"/>
          <w:sz w:val="20"/>
          <w:szCs w:val="20"/>
        </w:rPr>
        <w:t>Mgr.Ing</w:t>
      </w:r>
      <w:proofErr w:type="spellEnd"/>
      <w:r w:rsidRPr="004F6FDC">
        <w:rPr>
          <w:rFonts w:ascii="Arial" w:hAnsi="Arial" w:cs="Arial"/>
          <w:sz w:val="20"/>
          <w:szCs w:val="20"/>
        </w:rPr>
        <w:t xml:space="preserve">. Ján </w:t>
      </w:r>
      <w:proofErr w:type="spellStart"/>
      <w:r w:rsidRPr="004F6FDC">
        <w:rPr>
          <w:rFonts w:ascii="Arial" w:hAnsi="Arial" w:cs="Arial"/>
          <w:sz w:val="20"/>
          <w:szCs w:val="20"/>
        </w:rPr>
        <w:t>Keselý</w:t>
      </w:r>
      <w:proofErr w:type="spellEnd"/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F6FDC">
        <w:rPr>
          <w:rFonts w:ascii="Arial" w:hAnsi="Arial" w:cs="Arial"/>
          <w:sz w:val="20"/>
          <w:szCs w:val="20"/>
        </w:rPr>
        <w:t>riaditeľ odboru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spacing w:after="200" w:line="276" w:lineRule="auto"/>
        <w:rPr>
          <w:rFonts w:ascii="Arial" w:hAnsi="Arial" w:cs="Arial"/>
        </w:rPr>
      </w:pPr>
    </w:p>
    <w:p w:rsidR="00544E66" w:rsidRDefault="00544E66" w:rsidP="00544E66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44E66" w:rsidRPr="00791D4F" w:rsidRDefault="00544E66" w:rsidP="00544E66">
      <w:pPr>
        <w:jc w:val="both"/>
        <w:rPr>
          <w:rFonts w:ascii="Arial" w:hAnsi="Arial" w:cs="Arial"/>
        </w:rPr>
      </w:pPr>
      <w:r w:rsidRPr="004F6FDC">
        <w:rPr>
          <w:rFonts w:ascii="Arial" w:hAnsi="Arial" w:cs="Arial"/>
          <w:b/>
          <w:u w:val="single"/>
        </w:rPr>
        <w:lastRenderedPageBreak/>
        <w:t>Vyjadrenia odborných útvarov</w:t>
      </w:r>
      <w:r>
        <w:rPr>
          <w:rFonts w:ascii="Arial" w:hAnsi="Arial" w:cs="Arial"/>
          <w:b/>
          <w:u w:val="single"/>
        </w:rPr>
        <w:t xml:space="preserve">- </w:t>
      </w:r>
      <w:r>
        <w:rPr>
          <w:rFonts w:ascii="Arial" w:hAnsi="Arial" w:cs="Arial"/>
        </w:rPr>
        <w:t>k „Návrhu na trvalé upustenie od vymáhania pohľadávok Bratislavského samosprávneho kraja“, voči dlžníkovi</w:t>
      </w:r>
      <w:r w:rsidRPr="0078591F">
        <w:rPr>
          <w:rFonts w:ascii="Arial" w:hAnsi="Arial" w:cs="Arial"/>
        </w:rPr>
        <w:t xml:space="preserve">: MF TRANSMISSION s.r.o. (SERVICE </w:t>
      </w:r>
      <w:proofErr w:type="spellStart"/>
      <w:r w:rsidRPr="0078591F">
        <w:rPr>
          <w:rFonts w:ascii="Arial" w:hAnsi="Arial" w:cs="Arial"/>
        </w:rPr>
        <w:t>activity</w:t>
      </w:r>
      <w:proofErr w:type="spellEnd"/>
      <w:r w:rsidRPr="0078591F">
        <w:rPr>
          <w:rFonts w:ascii="Arial" w:hAnsi="Arial" w:cs="Arial"/>
        </w:rPr>
        <w:t xml:space="preserve"> s.r.o.)</w:t>
      </w:r>
      <w:r>
        <w:rPr>
          <w:rFonts w:ascii="Arial" w:hAnsi="Arial" w:cs="Arial"/>
        </w:rPr>
        <w:t xml:space="preserve">, predkladanému na rokovanie Zastupiteľstva Bratislavského samosprávneho kraja v celkovej sume spolu:  </w:t>
      </w:r>
      <w:r>
        <w:rPr>
          <w:rFonts w:ascii="Arial" w:hAnsi="Arial" w:cs="Arial"/>
          <w:b/>
        </w:rPr>
        <w:t>116 918,11 €</w:t>
      </w:r>
      <w:r w:rsidRPr="00791D4F">
        <w:rPr>
          <w:rFonts w:ascii="Arial" w:hAnsi="Arial" w:cs="Arial"/>
        </w:rPr>
        <w:t xml:space="preserve">,  podľa </w:t>
      </w:r>
      <w:r>
        <w:rPr>
          <w:rFonts w:ascii="Arial" w:hAnsi="Arial" w:cs="Arial"/>
        </w:rPr>
        <w:t xml:space="preserve">priloženej tabuľky so špecifikáciou  jednotlivých pohľadávok 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poukazom na §14 ods.1 platných Zásad hospodárenia a nakladania s majetkom Bratislavského samosprávneho kraja t. j. nereálnosť vymoženia pohľadávky musí byť potvrdená odbornými útvarmi Úradu BSK (odbor financií, právne oddelenie, oddelenie investičných činností a oddelenie správy majetku) a musí byť písomne odôvodnená s uvedením dôvodov, pre ktoré navrhuje upustiť od vymáhania,  Vás žiadame o vyjadrenie.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Pr="008A0B13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odbor financií:                                        súhlasím                     nesúhlasím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>Ing. Marián Múdry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  riaditeľ odboru 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</w:t>
      </w:r>
    </w:p>
    <w:p w:rsidR="00544E66" w:rsidRPr="008A0B13" w:rsidRDefault="00544E66" w:rsidP="00544E66">
      <w:pPr>
        <w:rPr>
          <w:rFonts w:ascii="Arial" w:hAnsi="Arial" w:cs="Arial"/>
        </w:rPr>
      </w:pPr>
      <w:r w:rsidRPr="00891B76">
        <w:rPr>
          <w:rFonts w:ascii="Arial" w:hAnsi="Arial" w:cs="Arial"/>
        </w:rPr>
        <w:t>právne oddelenie</w:t>
      </w:r>
      <w:r>
        <w:rPr>
          <w:rFonts w:ascii="Arial" w:hAnsi="Arial" w:cs="Arial"/>
        </w:rPr>
        <w:t>:</w:t>
      </w:r>
      <w:r w:rsidRPr="00891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súhlasím                     nesúhlasím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proofErr w:type="spellStart"/>
      <w:r w:rsidRPr="00891B76">
        <w:rPr>
          <w:rFonts w:ascii="Arial" w:hAnsi="Arial" w:cs="Arial"/>
          <w:sz w:val="20"/>
          <w:szCs w:val="20"/>
        </w:rPr>
        <w:t>JUDr.Matúš</w:t>
      </w:r>
      <w:proofErr w:type="spellEnd"/>
      <w:r>
        <w:rPr>
          <w:rFonts w:ascii="Arial" w:hAnsi="Arial" w:cs="Arial"/>
          <w:sz w:val="20"/>
          <w:szCs w:val="20"/>
        </w:rPr>
        <w:t xml:space="preserve"> Šaray</w:t>
      </w:r>
    </w:p>
    <w:p w:rsidR="00544E66" w:rsidRDefault="00544E66" w:rsidP="00544E66">
      <w:r>
        <w:t>vedúci oddelenia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oddelenie </w:t>
      </w:r>
      <w:r>
        <w:rPr>
          <w:rFonts w:ascii="Arial" w:hAnsi="Arial" w:cs="Arial"/>
        </w:rPr>
        <w:t>investičných činností: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891B76">
        <w:rPr>
          <w:rFonts w:ascii="Arial" w:hAnsi="Arial" w:cs="Arial"/>
          <w:sz w:val="20"/>
          <w:szCs w:val="20"/>
        </w:rPr>
        <w:t>Ing. Peter Vojtko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891B76">
        <w:rPr>
          <w:rFonts w:ascii="Arial" w:hAnsi="Arial" w:cs="Arial"/>
          <w:sz w:val="20"/>
          <w:szCs w:val="20"/>
        </w:rPr>
        <w:t>vedúci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oddelenie správy majetku: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proofErr w:type="spellStart"/>
      <w:r w:rsidRPr="008A30C8">
        <w:rPr>
          <w:rFonts w:ascii="Arial" w:hAnsi="Arial" w:cs="Arial"/>
          <w:sz w:val="20"/>
          <w:szCs w:val="20"/>
        </w:rPr>
        <w:t>Bc.Gabriela</w:t>
      </w:r>
      <w:proofErr w:type="spellEnd"/>
      <w:r w:rsidRPr="008A30C8">
        <w:rPr>
          <w:rFonts w:ascii="Arial" w:hAnsi="Arial" w:cs="Arial"/>
          <w:sz w:val="20"/>
          <w:szCs w:val="20"/>
        </w:rPr>
        <w:t xml:space="preserve"> Papánová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20"/>
          <w:szCs w:val="20"/>
        </w:rPr>
        <w:t>v</w:t>
      </w:r>
      <w:r w:rsidRPr="008A30C8">
        <w:rPr>
          <w:rFonts w:ascii="Arial" w:hAnsi="Arial" w:cs="Arial"/>
          <w:sz w:val="20"/>
          <w:szCs w:val="20"/>
        </w:rPr>
        <w:t>edúca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odbor investičných činností:                   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správy majetku a 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verejného obstarávania                   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4F6FDC">
        <w:rPr>
          <w:rFonts w:ascii="Arial" w:hAnsi="Arial" w:cs="Arial"/>
          <w:sz w:val="20"/>
          <w:szCs w:val="20"/>
        </w:rPr>
        <w:t>Mgr.Ing</w:t>
      </w:r>
      <w:proofErr w:type="spellEnd"/>
      <w:r w:rsidRPr="004F6FDC">
        <w:rPr>
          <w:rFonts w:ascii="Arial" w:hAnsi="Arial" w:cs="Arial"/>
          <w:sz w:val="20"/>
          <w:szCs w:val="20"/>
        </w:rPr>
        <w:t xml:space="preserve">. Ján </w:t>
      </w:r>
      <w:proofErr w:type="spellStart"/>
      <w:r w:rsidRPr="004F6FDC">
        <w:rPr>
          <w:rFonts w:ascii="Arial" w:hAnsi="Arial" w:cs="Arial"/>
          <w:sz w:val="20"/>
          <w:szCs w:val="20"/>
        </w:rPr>
        <w:t>Keselý</w:t>
      </w:r>
      <w:proofErr w:type="spellEnd"/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F6FDC">
        <w:rPr>
          <w:rFonts w:ascii="Arial" w:hAnsi="Arial" w:cs="Arial"/>
          <w:sz w:val="20"/>
          <w:szCs w:val="20"/>
        </w:rPr>
        <w:t>riaditeľ odboru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544E66" w:rsidRPr="004F6FDC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                                                         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spacing w:after="200" w:line="276" w:lineRule="auto"/>
        <w:rPr>
          <w:rFonts w:ascii="Arial" w:hAnsi="Arial" w:cs="Arial"/>
        </w:rPr>
      </w:pPr>
    </w:p>
    <w:p w:rsidR="00544E66" w:rsidRDefault="00544E66" w:rsidP="00544E66">
      <w:pPr>
        <w:spacing w:after="200" w:line="276" w:lineRule="auto"/>
        <w:rPr>
          <w:rFonts w:ascii="Arial CE" w:hAnsi="Arial CE" w:cs="Arial CE"/>
          <w:color w:val="000000"/>
          <w:sz w:val="18"/>
          <w:szCs w:val="18"/>
        </w:rPr>
      </w:pPr>
      <w:r w:rsidRPr="0078591F">
        <w:rPr>
          <w:rFonts w:ascii="Arial CE" w:hAnsi="Arial CE" w:cs="Arial CE"/>
          <w:color w:val="000000"/>
          <w:sz w:val="18"/>
          <w:szCs w:val="18"/>
        </w:rPr>
        <w:br w:type="page"/>
      </w:r>
    </w:p>
    <w:p w:rsidR="00544E66" w:rsidRPr="00791D4F" w:rsidRDefault="00544E66" w:rsidP="00544E66">
      <w:pPr>
        <w:jc w:val="both"/>
        <w:rPr>
          <w:rFonts w:ascii="Arial" w:hAnsi="Arial" w:cs="Arial"/>
        </w:rPr>
      </w:pPr>
      <w:r w:rsidRPr="004F6FDC">
        <w:rPr>
          <w:rFonts w:ascii="Arial" w:hAnsi="Arial" w:cs="Arial"/>
          <w:b/>
          <w:u w:val="single"/>
        </w:rPr>
        <w:lastRenderedPageBreak/>
        <w:t>Vyjadrenia odborných útvarov</w:t>
      </w:r>
      <w:r>
        <w:rPr>
          <w:rFonts w:ascii="Arial" w:hAnsi="Arial" w:cs="Arial"/>
          <w:b/>
          <w:u w:val="single"/>
        </w:rPr>
        <w:t xml:space="preserve">- </w:t>
      </w:r>
      <w:r>
        <w:rPr>
          <w:rFonts w:ascii="Arial" w:hAnsi="Arial" w:cs="Arial"/>
        </w:rPr>
        <w:t xml:space="preserve">k „Návrhu na trvalé upustenie od vymáhania pohľadávok Bratislavského samosprávneho kraja“, voči dlžníkovi:  </w:t>
      </w:r>
      <w:proofErr w:type="spellStart"/>
      <w:r w:rsidRPr="0078591F">
        <w:rPr>
          <w:rFonts w:ascii="Arial" w:hAnsi="Arial" w:cs="Arial"/>
        </w:rPr>
        <w:t>Aktiva</w:t>
      </w:r>
      <w:proofErr w:type="spellEnd"/>
      <w:r w:rsidRPr="0078591F">
        <w:rPr>
          <w:rFonts w:ascii="Arial" w:hAnsi="Arial" w:cs="Arial"/>
        </w:rPr>
        <w:t xml:space="preserve"> </w:t>
      </w:r>
      <w:proofErr w:type="spellStart"/>
      <w:r w:rsidRPr="0078591F">
        <w:rPr>
          <w:rFonts w:ascii="Arial" w:hAnsi="Arial" w:cs="Arial"/>
        </w:rPr>
        <w:t>n.o</w:t>
      </w:r>
      <w:proofErr w:type="spellEnd"/>
      <w:r w:rsidRPr="0078591F">
        <w:rPr>
          <w:rFonts w:ascii="Arial" w:hAnsi="Arial" w:cs="Arial"/>
        </w:rPr>
        <w:t>., DSS pre dospelých</w:t>
      </w:r>
      <w:r>
        <w:rPr>
          <w:rFonts w:ascii="Arial" w:hAnsi="Arial" w:cs="Arial"/>
        </w:rPr>
        <w:t xml:space="preserve">, predkladanému na rokovanie Zastupiteľstva Bratislavského samosprávneho kraja v celkovej sume spolu:  </w:t>
      </w:r>
      <w:r>
        <w:rPr>
          <w:rFonts w:ascii="Arial" w:hAnsi="Arial" w:cs="Arial"/>
          <w:b/>
        </w:rPr>
        <w:t xml:space="preserve">49 016,04 €, </w:t>
      </w:r>
      <w:r w:rsidRPr="00791D4F">
        <w:rPr>
          <w:rFonts w:ascii="Arial" w:hAnsi="Arial" w:cs="Arial"/>
        </w:rPr>
        <w:t xml:space="preserve">podľa </w:t>
      </w:r>
      <w:r>
        <w:rPr>
          <w:rFonts w:ascii="Arial" w:hAnsi="Arial" w:cs="Arial"/>
        </w:rPr>
        <w:t xml:space="preserve">priloženej tabuľky so špecifikáciou  jednotlivých pohľadávok 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poukazom na §14 ods.1 platných Zásad hospodárenia a nakladania s majetkom Bratislavského samosprávneho kraja t. j. nereálnosť vymoženia pohľadávky musí byť potvrdená odbornými útvarmi Úradu BSK (odbor financií, právne oddelenie, oddelenie investičných činností a oddelenie správy majetku) a musí byť písomne odôvodnená s uvedením dôvodov, pre ktoré navrhuje upustiť od vymáhania,  Vás žiadame o vyjadrenie. </w:t>
      </w: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Pr="008A0B13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odbor financií:                                        súhlasím                     nesúhlasím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>Ing. Marián Múdry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  riaditeľ odboru 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 w:rsidRPr="004F6FDC">
        <w:rPr>
          <w:rFonts w:ascii="Arial" w:hAnsi="Arial" w:cs="Arial"/>
          <w:sz w:val="20"/>
          <w:szCs w:val="20"/>
        </w:rPr>
        <w:t xml:space="preserve"> </w:t>
      </w:r>
    </w:p>
    <w:p w:rsidR="00544E66" w:rsidRPr="008A0B13" w:rsidRDefault="00544E66" w:rsidP="00544E66">
      <w:pPr>
        <w:rPr>
          <w:rFonts w:ascii="Arial" w:hAnsi="Arial" w:cs="Arial"/>
        </w:rPr>
      </w:pPr>
      <w:r w:rsidRPr="00891B76">
        <w:rPr>
          <w:rFonts w:ascii="Arial" w:hAnsi="Arial" w:cs="Arial"/>
        </w:rPr>
        <w:t>právne oddelenie</w:t>
      </w:r>
      <w:r>
        <w:rPr>
          <w:rFonts w:ascii="Arial" w:hAnsi="Arial" w:cs="Arial"/>
        </w:rPr>
        <w:t>:</w:t>
      </w:r>
      <w:r w:rsidRPr="00891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     súhlasím                     nesúhlasím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</w:t>
      </w:r>
      <w:proofErr w:type="spellStart"/>
      <w:r w:rsidRPr="00891B76">
        <w:rPr>
          <w:rFonts w:ascii="Arial" w:hAnsi="Arial" w:cs="Arial"/>
          <w:sz w:val="20"/>
          <w:szCs w:val="20"/>
        </w:rPr>
        <w:t>JUDr.Matúš</w:t>
      </w:r>
      <w:proofErr w:type="spellEnd"/>
      <w:r>
        <w:rPr>
          <w:rFonts w:ascii="Arial" w:hAnsi="Arial" w:cs="Arial"/>
          <w:sz w:val="20"/>
          <w:szCs w:val="20"/>
        </w:rPr>
        <w:t xml:space="preserve"> Šaray</w:t>
      </w:r>
    </w:p>
    <w:p w:rsidR="00544E66" w:rsidRDefault="00544E66" w:rsidP="00544E66">
      <w:r>
        <w:t>vedúci oddelenia</w:t>
      </w:r>
    </w:p>
    <w:p w:rsidR="00544E66" w:rsidRDefault="00544E66" w:rsidP="00544E66"/>
    <w:p w:rsidR="00544E66" w:rsidRDefault="00544E66" w:rsidP="00544E66"/>
    <w:p w:rsidR="00544E66" w:rsidRDefault="00544E66" w:rsidP="00544E66"/>
    <w:p w:rsidR="00544E66" w:rsidRDefault="00544E66" w:rsidP="00544E66">
      <w:pPr>
        <w:rPr>
          <w:rFonts w:ascii="Arial" w:hAnsi="Arial" w:cs="Arial"/>
        </w:rPr>
      </w:pPr>
      <w:r w:rsidRPr="004F6FDC">
        <w:rPr>
          <w:rFonts w:ascii="Arial" w:hAnsi="Arial" w:cs="Arial"/>
        </w:rPr>
        <w:t xml:space="preserve">oddelenie </w:t>
      </w:r>
      <w:r>
        <w:rPr>
          <w:rFonts w:ascii="Arial" w:hAnsi="Arial" w:cs="Arial"/>
        </w:rPr>
        <w:t>investičných činností: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91B7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</w:t>
      </w:r>
      <w:r w:rsidRPr="00891B76">
        <w:rPr>
          <w:rFonts w:ascii="Arial" w:hAnsi="Arial" w:cs="Arial"/>
          <w:sz w:val="20"/>
          <w:szCs w:val="20"/>
        </w:rPr>
        <w:t>Ing. Peter Vojtko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Pr="00891B76">
        <w:rPr>
          <w:rFonts w:ascii="Arial" w:hAnsi="Arial" w:cs="Arial"/>
          <w:sz w:val="20"/>
          <w:szCs w:val="20"/>
        </w:rPr>
        <w:t>vedúci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oddelenie správy majetku: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proofErr w:type="spellStart"/>
      <w:r w:rsidRPr="008A30C8">
        <w:rPr>
          <w:rFonts w:ascii="Arial" w:hAnsi="Arial" w:cs="Arial"/>
          <w:sz w:val="20"/>
          <w:szCs w:val="20"/>
        </w:rPr>
        <w:t>Bc.Gabriela</w:t>
      </w:r>
      <w:proofErr w:type="spellEnd"/>
      <w:r w:rsidRPr="008A30C8">
        <w:rPr>
          <w:rFonts w:ascii="Arial" w:hAnsi="Arial" w:cs="Arial"/>
          <w:sz w:val="20"/>
          <w:szCs w:val="20"/>
        </w:rPr>
        <w:t xml:space="preserve"> Papánová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  <w:sz w:val="20"/>
          <w:szCs w:val="20"/>
        </w:rPr>
        <w:t>v</w:t>
      </w:r>
      <w:r w:rsidRPr="008A30C8">
        <w:rPr>
          <w:rFonts w:ascii="Arial" w:hAnsi="Arial" w:cs="Arial"/>
          <w:sz w:val="20"/>
          <w:szCs w:val="20"/>
        </w:rPr>
        <w:t>edúca oddelenia</w:t>
      </w:r>
    </w:p>
    <w:p w:rsidR="00544E66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Pr="008A30C8" w:rsidRDefault="00544E66" w:rsidP="00544E66">
      <w:pPr>
        <w:rPr>
          <w:rFonts w:ascii="Arial" w:hAnsi="Arial" w:cs="Arial"/>
          <w:sz w:val="20"/>
          <w:szCs w:val="20"/>
        </w:rPr>
      </w:pPr>
    </w:p>
    <w:p w:rsidR="00544E66" w:rsidRDefault="00544E66" w:rsidP="00544E66">
      <w:pPr>
        <w:rPr>
          <w:rFonts w:ascii="Arial" w:hAnsi="Arial" w:cs="Arial"/>
        </w:rPr>
      </w:pP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odbor investičných činností:                   </w:t>
      </w:r>
      <w:r w:rsidRPr="008A30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súhlasím                    nesúhlasím</w:t>
      </w:r>
      <w:r w:rsidRPr="004F6FDC">
        <w:rPr>
          <w:rFonts w:ascii="Arial" w:hAnsi="Arial" w:cs="Arial"/>
        </w:rPr>
        <w:t xml:space="preserve">  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>správy majetku a </w:t>
      </w:r>
    </w:p>
    <w:p w:rsidR="00544E66" w:rsidRDefault="00544E66" w:rsidP="00544E66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verejného obstarávania                   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proofErr w:type="spellStart"/>
      <w:r w:rsidRPr="004F6FDC">
        <w:rPr>
          <w:rFonts w:ascii="Arial" w:hAnsi="Arial" w:cs="Arial"/>
          <w:sz w:val="20"/>
          <w:szCs w:val="20"/>
        </w:rPr>
        <w:t>Mgr.Ing</w:t>
      </w:r>
      <w:proofErr w:type="spellEnd"/>
      <w:r w:rsidRPr="004F6FDC">
        <w:rPr>
          <w:rFonts w:ascii="Arial" w:hAnsi="Arial" w:cs="Arial"/>
          <w:sz w:val="20"/>
          <w:szCs w:val="20"/>
        </w:rPr>
        <w:t xml:space="preserve">. Ján </w:t>
      </w:r>
      <w:proofErr w:type="spellStart"/>
      <w:r w:rsidRPr="004F6FDC">
        <w:rPr>
          <w:rFonts w:ascii="Arial" w:hAnsi="Arial" w:cs="Arial"/>
          <w:sz w:val="20"/>
          <w:szCs w:val="20"/>
        </w:rPr>
        <w:t>Keselý</w:t>
      </w:r>
      <w:proofErr w:type="spellEnd"/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Pr="004F6FDC">
        <w:rPr>
          <w:rFonts w:ascii="Arial" w:hAnsi="Arial" w:cs="Arial"/>
          <w:sz w:val="20"/>
          <w:szCs w:val="20"/>
        </w:rPr>
        <w:t>riaditeľ odboru</w:t>
      </w:r>
    </w:p>
    <w:p w:rsidR="00544E66" w:rsidRPr="004F6FDC" w:rsidRDefault="00544E66" w:rsidP="00544E6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544E66" w:rsidRDefault="00544E66" w:rsidP="00544E66">
      <w:pPr>
        <w:spacing w:after="200" w:line="276" w:lineRule="auto"/>
        <w:rPr>
          <w:rFonts w:ascii="Arial CE" w:hAnsi="Arial CE" w:cs="Arial CE"/>
          <w:color w:val="000000"/>
          <w:sz w:val="18"/>
          <w:szCs w:val="18"/>
        </w:rPr>
      </w:pPr>
    </w:p>
    <w:p w:rsidR="00544E66" w:rsidRPr="0078591F" w:rsidRDefault="00544E66" w:rsidP="00544E66">
      <w:pPr>
        <w:spacing w:after="200" w:line="276" w:lineRule="auto"/>
        <w:rPr>
          <w:rFonts w:ascii="Arial CE" w:hAnsi="Arial CE" w:cs="Arial CE"/>
          <w:color w:val="000000"/>
          <w:sz w:val="18"/>
          <w:szCs w:val="18"/>
        </w:rPr>
      </w:pPr>
    </w:p>
    <w:p w:rsidR="00544E66" w:rsidRPr="0078591F" w:rsidRDefault="00544E66" w:rsidP="00544E66">
      <w:pPr>
        <w:spacing w:after="200" w:line="276" w:lineRule="auto"/>
        <w:rPr>
          <w:rFonts w:ascii="Arial CE" w:hAnsi="Arial CE" w:cs="Arial CE"/>
          <w:color w:val="000000"/>
          <w:sz w:val="18"/>
          <w:szCs w:val="18"/>
        </w:rPr>
        <w:sectPr w:rsidR="00544E66" w:rsidRPr="0078591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1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0"/>
        <w:gridCol w:w="1680"/>
        <w:gridCol w:w="2180"/>
        <w:gridCol w:w="1420"/>
        <w:gridCol w:w="1120"/>
        <w:gridCol w:w="1900"/>
      </w:tblGrid>
      <w:tr w:rsidR="00544E66" w:rsidRPr="009C4A34" w:rsidTr="00544E66">
        <w:trPr>
          <w:trHeight w:val="495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lastRenderedPageBreak/>
              <w:t>Názov firmy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Číslo faktúry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Splatnosť faktúry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Suma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Úhrada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CE9D8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AKTIVA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3 531,26 €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AKTIVA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OPOK/09/13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13 934,16 €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AKTIVA</w:t>
            </w:r>
            <w:r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OPEN/02/14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27. 8. 2014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1 725,34 €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AKTIVA</w:t>
            </w:r>
            <w:r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OPOK/02/14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27. 8. 2014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6 808,10 €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AKTIVA</w:t>
            </w:r>
            <w:r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OPEN/16/14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15. 2. 2015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872,15 €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AKTIVA</w:t>
            </w:r>
            <w:r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OPOK/12/14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15. 2. 2015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3 441,46 €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</w:rPr>
              <w:t>spolu penalizačné faktúry: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</w:rPr>
              <w:t>30 312,47 €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510"/>
        </w:trPr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AKTIVA</w:t>
            </w:r>
            <w:r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n.o</w:t>
            </w:r>
            <w:proofErr w:type="spellEnd"/>
            <w:r>
              <w:rPr>
                <w:rFonts w:ascii="Arial CE" w:hAnsi="Arial CE" w:cs="Arial CE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fin.príspevok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z r.2008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splát.kalendár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18 703,57 €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istina</w:t>
            </w:r>
          </w:p>
        </w:tc>
      </w:tr>
      <w:tr w:rsidR="00544E66" w:rsidRPr="009C4A34" w:rsidTr="00544E66">
        <w:trPr>
          <w:trHeight w:val="51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</w:rPr>
            </w:pPr>
            <w:r w:rsidRPr="009C4A34">
              <w:rPr>
                <w:rFonts w:ascii="Arial CE" w:hAnsi="Arial CE" w:cs="Arial CE"/>
                <w:color w:val="000000"/>
              </w:rPr>
              <w:t>spolu: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  <w:t>49 016,04 €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345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CENTRUM ZDRAVIA - RENDEZ n.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O/0315/08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29.12.2008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  <w:t>43 079,57 €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74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44E66" w:rsidRPr="009C4A34" w:rsidTr="00544E66">
        <w:trPr>
          <w:trHeight w:val="274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OFR/040/09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481,31 €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O/0076/09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814,55 €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O/0169/10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16.8.2010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4 463,95 €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O/0176/09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1 463,77 €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OPEN/09/13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2 456,62 €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OPOK/05/13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11 955,53 €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OPEN/07/14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27.8.2014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322,39 €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OPOK/06/14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27.8.2014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1 568,97 €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OPOK/08/14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15.2.2015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1 594,96 €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GERLACH PRINT, spol. s. r. o.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OPEN/11/14</w:t>
            </w:r>
          </w:p>
        </w:tc>
        <w:tc>
          <w:tcPr>
            <w:tcW w:w="2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15.2.2015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327,73 €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36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spolu: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  <w:t>25 449,78 €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OFR/002/11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OFR/002/12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18.1.2012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OFR/005/11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25.2.2011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OFR/007/10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25.2.2010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232,36 €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lastRenderedPageBreak/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OFR/008/11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25.3.2011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OFR/010/12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16.2.2012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OFR/013/12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16.3.2012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OFR/014/10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25.3.2010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OFR/017/11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25.4.2011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OFR/017/12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10.4.2012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OFR/021/10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28.4.2010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4 330,41 €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OFR/022/10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28.4.2010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OFR/024/11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OFR/026/12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10.5.2012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OFR/032/11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25.6.2011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OFR/038/10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OFR/038/11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OFR/041/11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25.8.2011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OFR/042/10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25.6.2010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OFR/048/11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OFR/052/10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25.7.2010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OFR/055/10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25.8.2010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OFR/056/11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OFR/058/10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OFR/062/10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OFR/066/11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24.11.2011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OFR/071/10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25.11.2010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OFR/077/09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OFR/077/09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-0,56 €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17.12.2009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OFR/082/09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OFR/083/11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21.12.2011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OFR/090/10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25.12.2010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OFR/092/09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25.11.2009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OFR/095/09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20.12.2009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116,18 €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refundačná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O/0002/12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18.1.2012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lastRenderedPageBreak/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O/0004/11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O/0005/10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25.2.2010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1 516,44 €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O/0009/12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16.2.2012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O/0015/10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25.3.2010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16.3.2012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O/0044/12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10.4.2012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O/0057/10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28.4.2010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O/0060/11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25.2.2011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O/0064/11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25.3.2011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O/0075/12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10.5.2012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O/0083/10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O/0089/10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25.6.2010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O/0128/10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25.7.2010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O/0132/11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25.4.2011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O/0159/10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25.8.2010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O/0172/09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O/0172/11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25.5.2011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O/0179/11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25.6.2011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O/0182/09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O/0189/10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25.11.2010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O/0217/11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25.7.2011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O/0220/09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25.11.2009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O/0221/11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25.8.2011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O/0226/11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25.9.2011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O/0233/11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25.10.2011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O/0238/09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20.12.2009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O/0252/10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25.12.2010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O/0324/11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24.11.2011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O/0330/11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21.12.2011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lastRenderedPageBreak/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12.11.2012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5 378,47 €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MF TRANSMISSION, s. r. o.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OPOK/10/12</w:t>
            </w:r>
          </w:p>
        </w:tc>
        <w:tc>
          <w:tcPr>
            <w:tcW w:w="2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12.11.2012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26 033,70 €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375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spolu: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  <w:t>64 597,28 €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O/0116/12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11.6.2012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O/0120/12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5.7.2012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O/0168/12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13.8.2012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11.9.2012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O/0174/12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9.10.2012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12.11.2012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O/0280/12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12.12.2012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758,22 €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O/0002/13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17.1.2013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587,01 €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odberateľská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OPEN/04/12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12.11.2012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54,06 €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31.1.2013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1 141,12 €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OPEN/16/13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3 215,52 €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OPEN/06/14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27.8.2014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1 751,72 €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OPEN/12/14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14.2.2015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1 780,47 €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penalizačná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OPOK/05/14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27.8.2014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8 488,10 €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OPOK/09/14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15.2.2015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8 627,51 €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OPOK/11/13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30.1.2014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17 104,93 €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282"/>
        </w:trPr>
        <w:tc>
          <w:tcPr>
            <w:tcW w:w="28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Service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activity</w:t>
            </w:r>
            <w:proofErr w:type="spellEnd"/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, s.r.o.</w:t>
            </w:r>
          </w:p>
        </w:tc>
        <w:tc>
          <w:tcPr>
            <w:tcW w:w="16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OPOK/15/12</w:t>
            </w:r>
          </w:p>
        </w:tc>
        <w:tc>
          <w:tcPr>
            <w:tcW w:w="21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31.1.2013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4 262,85 €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pokutová faktúra</w:t>
            </w:r>
          </w:p>
        </w:tc>
      </w:tr>
      <w:tr w:rsidR="00544E66" w:rsidRPr="009C4A34" w:rsidTr="00544E66">
        <w:trPr>
          <w:trHeight w:val="345"/>
        </w:trPr>
        <w:tc>
          <w:tcPr>
            <w:tcW w:w="2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66" w:rsidRPr="009C4A34" w:rsidRDefault="00544E66" w:rsidP="00544E66">
            <w:pPr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spolu: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66" w:rsidRPr="009C4A34" w:rsidRDefault="00544E66" w:rsidP="00544E66">
            <w:pPr>
              <w:jc w:val="right"/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</w:pPr>
            <w:r w:rsidRPr="009C4A34">
              <w:rPr>
                <w:rFonts w:ascii="Arial CE" w:hAnsi="Arial CE" w:cs="Arial CE"/>
                <w:b/>
                <w:bCs/>
                <w:color w:val="000000"/>
                <w:sz w:val="20"/>
                <w:szCs w:val="20"/>
              </w:rPr>
              <w:t>52 320,83 €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39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MF </w:t>
            </w:r>
            <w:proofErr w:type="spellStart"/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>TRANSMIS.+Service</w:t>
            </w:r>
            <w:proofErr w:type="spellEnd"/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>act</w:t>
            </w:r>
            <w:proofErr w:type="spellEnd"/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C4A34">
              <w:rPr>
                <w:rFonts w:ascii="Arial" w:hAnsi="Arial" w:cs="Arial"/>
                <w:b/>
                <w:bCs/>
                <w:sz w:val="20"/>
                <w:szCs w:val="20"/>
              </w:rPr>
              <w:t>116 918,11 €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44E66" w:rsidRPr="009C4A34" w:rsidRDefault="00544E66" w:rsidP="00544E66">
            <w:pPr>
              <w:jc w:val="center"/>
              <w:rPr>
                <w:rFonts w:ascii="Arial CE" w:hAnsi="Arial CE" w:cs="Arial CE"/>
                <w:color w:val="000000"/>
                <w:sz w:val="18"/>
                <w:szCs w:val="18"/>
              </w:rPr>
            </w:pPr>
            <w:r w:rsidRPr="009C4A34">
              <w:rPr>
                <w:rFonts w:ascii="Arial CE" w:hAnsi="Arial CE" w:cs="Arial CE"/>
                <w:color w:val="000000"/>
                <w:sz w:val="18"/>
                <w:szCs w:val="18"/>
              </w:rPr>
              <w:t> </w:t>
            </w:r>
          </w:p>
        </w:tc>
      </w:tr>
      <w:tr w:rsidR="00544E66" w:rsidRPr="009C4A34" w:rsidTr="00544E66">
        <w:trPr>
          <w:trHeight w:val="480"/>
        </w:trPr>
        <w:tc>
          <w:tcPr>
            <w:tcW w:w="2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b/>
                <w:bCs/>
              </w:rPr>
            </w:pPr>
            <w:r w:rsidRPr="009C4A34">
              <w:rPr>
                <w:rFonts w:ascii="Arial" w:hAnsi="Arial" w:cs="Arial"/>
                <w:b/>
                <w:bCs/>
              </w:rPr>
              <w:t>spolu: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jc w:val="right"/>
              <w:rPr>
                <w:rFonts w:ascii="Arial" w:hAnsi="Arial" w:cs="Arial"/>
                <w:b/>
                <w:bCs/>
              </w:rPr>
            </w:pPr>
            <w:r w:rsidRPr="009C4A34">
              <w:rPr>
                <w:rFonts w:ascii="Arial" w:hAnsi="Arial" w:cs="Arial"/>
                <w:b/>
                <w:bCs/>
              </w:rPr>
              <w:t>234 463,50 €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66" w:rsidRPr="009C4A34" w:rsidRDefault="00544E66" w:rsidP="00544E66">
            <w:pPr>
              <w:rPr>
                <w:rFonts w:ascii="Arial" w:hAnsi="Arial" w:cs="Arial"/>
                <w:sz w:val="20"/>
                <w:szCs w:val="20"/>
              </w:rPr>
            </w:pPr>
            <w:r w:rsidRPr="009C4A3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44E66" w:rsidRDefault="00544E66" w:rsidP="00544E66"/>
    <w:p w:rsidR="00544E66" w:rsidRPr="007018F3" w:rsidRDefault="00544E66" w:rsidP="00544E66">
      <w:pPr>
        <w:rPr>
          <w:rFonts w:ascii="Arial" w:hAnsi="Arial" w:cs="Arial"/>
          <w:b/>
        </w:rPr>
      </w:pPr>
      <w:r w:rsidRPr="007018F3">
        <w:rPr>
          <w:rFonts w:ascii="Arial" w:hAnsi="Arial" w:cs="Arial"/>
          <w:b/>
        </w:rPr>
        <w:t xml:space="preserve">                                                                                                            </w:t>
      </w: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Pr="007018F3" w:rsidRDefault="00544E66" w:rsidP="00544E66">
      <w:pPr>
        <w:rPr>
          <w:rFonts w:ascii="Arial" w:hAnsi="Arial" w:cs="Arial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</w:rPr>
      </w:pPr>
      <w:r w:rsidRPr="007018F3">
        <w:rPr>
          <w:rFonts w:ascii="Arial" w:hAnsi="Arial" w:cs="Arial"/>
        </w:rPr>
        <w:t xml:space="preserve">                                                                                                 </w:t>
      </w:r>
    </w:p>
    <w:p w:rsidR="00544E66" w:rsidRDefault="00544E66" w:rsidP="00544E66">
      <w:pPr>
        <w:pBdr>
          <w:bottom w:val="single" w:sz="4" w:space="1" w:color="auto"/>
        </w:pBdr>
        <w:jc w:val="both"/>
        <w:rPr>
          <w:rFonts w:ascii="Arial" w:hAnsi="Arial"/>
          <w:b/>
        </w:rPr>
      </w:pPr>
      <w:r>
        <w:rPr>
          <w:rFonts w:ascii="Arial" w:hAnsi="Arial"/>
          <w:b/>
        </w:rPr>
        <w:lastRenderedPageBreak/>
        <w:t xml:space="preserve">Stanoviská komisií Zastupiteľstva BSK </w:t>
      </w:r>
    </w:p>
    <w:p w:rsidR="00544E66" w:rsidRDefault="00544E66" w:rsidP="00544E66">
      <w:pPr>
        <w:pBdr>
          <w:bottom w:val="single" w:sz="4" w:space="1" w:color="auto"/>
        </w:pBdr>
        <w:jc w:val="both"/>
        <w:rPr>
          <w:rFonts w:ascii="Arial" w:hAnsi="Arial"/>
        </w:rPr>
      </w:pPr>
      <w:r>
        <w:rPr>
          <w:rFonts w:ascii="Arial" w:hAnsi="Arial"/>
          <w:b/>
        </w:rPr>
        <w:t xml:space="preserve">Bod: „Návrh na trvalé upustenie od vymáhania pohľadávok </w:t>
      </w:r>
      <w:r>
        <w:rPr>
          <w:rFonts w:ascii="Arial" w:hAnsi="Arial" w:cs="Arial"/>
          <w:b/>
        </w:rPr>
        <w:t>Bratislavského samosprávneho kraja“</w:t>
      </w:r>
    </w:p>
    <w:p w:rsidR="00544E66" w:rsidRDefault="00544E66" w:rsidP="00544E66">
      <w:pPr>
        <w:jc w:val="both"/>
        <w:rPr>
          <w:rFonts w:ascii="Arial" w:hAnsi="Arial"/>
          <w:b/>
          <w:bCs/>
        </w:rPr>
      </w:pPr>
    </w:p>
    <w:tbl>
      <w:tblPr>
        <w:tblW w:w="132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6"/>
        <w:gridCol w:w="2646"/>
        <w:gridCol w:w="2601"/>
        <w:gridCol w:w="2423"/>
        <w:gridCol w:w="2441"/>
      </w:tblGrid>
      <w:tr w:rsidR="00544E66" w:rsidTr="00544E66">
        <w:trPr>
          <w:trHeight w:val="1068"/>
        </w:trPr>
        <w:tc>
          <w:tcPr>
            <w:tcW w:w="3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Názov komisie</w:t>
            </w:r>
          </w:p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Stanovisko komisie k návrhu materiálu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Hlasovanie 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Akceptované / Neakceptované</w:t>
            </w:r>
          </w:p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 xml:space="preserve">Zapracované / </w:t>
            </w:r>
          </w:p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  <w:lang w:eastAsia="en-US"/>
              </w:rPr>
              <w:t>Nezapracované</w:t>
            </w:r>
          </w:p>
        </w:tc>
      </w:tr>
      <w:tr w:rsidR="00544E66" w:rsidTr="00544E66">
        <w:trPr>
          <w:trHeight w:val="1459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zdravotníctva a sociálnych vecí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Pr="005A17BF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:</w:t>
            </w: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6</w:t>
            </w: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Pr="005A17BF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386932">
              <w:rPr>
                <w:rFonts w:ascii="Arial" w:hAnsi="Arial"/>
                <w:sz w:val="22"/>
                <w:szCs w:val="22"/>
                <w:lang w:eastAsia="en-US"/>
              </w:rPr>
              <w:t>: 5</w:t>
            </w: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 </w:t>
            </w:r>
          </w:p>
          <w:p w:rsidR="00544E66" w:rsidRPr="005A17BF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544E66" w:rsidRPr="005A17BF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Zdržal  sa</w:t>
            </w:r>
            <w:r w:rsidR="00386932">
              <w:rPr>
                <w:rFonts w:ascii="Arial" w:hAnsi="Arial"/>
                <w:sz w:val="22"/>
                <w:szCs w:val="22"/>
                <w:lang w:eastAsia="en-US"/>
              </w:rPr>
              <w:t>: 1</w:t>
            </w: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 w:rsidRPr="005A17BF"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386932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 BSK a schváliť predložený návrh Uznesenia, po vypustení písmena B) z dôvodovej správy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386932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zapracované</w:t>
            </w:r>
          </w:p>
        </w:tc>
      </w:tr>
      <w:tr w:rsidR="00544E66" w:rsidTr="00544E66">
        <w:trPr>
          <w:trHeight w:val="1459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dopravy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 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2045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európskych záležitostí, </w:t>
            </w:r>
          </w:p>
          <w:p w:rsidR="00544E66" w:rsidRDefault="00544E66" w:rsidP="00544E6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Regionálnej</w:t>
            </w:r>
          </w:p>
          <w:p w:rsidR="00544E66" w:rsidRDefault="00544E66" w:rsidP="00544E6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spolupráce </w:t>
            </w:r>
          </w:p>
          <w:p w:rsidR="00544E66" w:rsidRDefault="00544E66" w:rsidP="00544E6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a cestovného ruchu  </w:t>
            </w:r>
          </w:p>
          <w:p w:rsidR="00544E66" w:rsidRDefault="00544E66" w:rsidP="00544E66">
            <w:pPr>
              <w:spacing w:line="276" w:lineRule="auto"/>
              <w:ind w:right="-762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Zdržal sa  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Nehlasoval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47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Komisia kultúry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F113D0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Prítomní     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  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 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Zdržal sa   </w:t>
            </w:r>
          </w:p>
          <w:p w:rsidR="00544E66" w:rsidRPr="002A43D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Hlasovalo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Pr="002A43D1" w:rsidRDefault="00544E66" w:rsidP="00544E66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586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Komisia </w:t>
            </w:r>
            <w:r w:rsidRPr="00AE73B2">
              <w:rPr>
                <w:rFonts w:ascii="Arial" w:hAnsi="Arial"/>
                <w:sz w:val="22"/>
                <w:szCs w:val="22"/>
                <w:lang w:eastAsia="en-US"/>
              </w:rPr>
              <w:t>regionálneho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rozvoja, územného plánovania a životného prostredia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Prítomní   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Za             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</w:p>
          <w:p w:rsidR="00544E66" w:rsidRPr="002E16A5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Proti            </w:t>
            </w:r>
          </w:p>
          <w:p w:rsidR="00544E66" w:rsidRPr="002A43D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2E16A5">
              <w:rPr>
                <w:rFonts w:ascii="Arial" w:hAnsi="Arial"/>
                <w:sz w:val="22"/>
                <w:szCs w:val="22"/>
                <w:lang w:eastAsia="en-US"/>
              </w:rPr>
              <w:t xml:space="preserve">nehlasoval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Pr="002A43D1" w:rsidRDefault="00544E66" w:rsidP="00544E66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4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b/>
                <w:bCs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školstva, športu a mládeže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Pr="00AA76A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: 5</w:t>
            </w: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</w:t>
            </w: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AA76A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: 5</w:t>
            </w: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 </w:t>
            </w:r>
          </w:p>
          <w:p w:rsidR="00544E66" w:rsidRPr="00AA76A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 xml:space="preserve">       </w:t>
            </w:r>
          </w:p>
          <w:p w:rsidR="00544E66" w:rsidRPr="00AA76A1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</w:t>
            </w: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AA76A1">
              <w:rPr>
                <w:rFonts w:ascii="Arial" w:hAnsi="Arial"/>
                <w:sz w:val="22"/>
                <w:szCs w:val="22"/>
                <w:lang w:eastAsia="en-US"/>
              </w:rPr>
              <w:t>Nehlasoval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CD6C62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 BSK a schváliť predložený návrh Uznesenia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52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 w:rsidRPr="00624A92">
              <w:rPr>
                <w:rFonts w:ascii="Arial" w:hAnsi="Arial"/>
                <w:sz w:val="22"/>
                <w:szCs w:val="22"/>
                <w:lang w:eastAsia="en-US"/>
              </w:rPr>
              <w:t>Finančná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 komisia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bol prerokovaný 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A31D61">
              <w:rPr>
                <w:rFonts w:ascii="Arial" w:hAnsi="Arial"/>
                <w:sz w:val="22"/>
                <w:szCs w:val="22"/>
                <w:lang w:eastAsia="en-US"/>
              </w:rPr>
              <w:t>: 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A31D61">
              <w:rPr>
                <w:rFonts w:ascii="Arial" w:hAnsi="Arial"/>
                <w:sz w:val="22"/>
                <w:szCs w:val="22"/>
                <w:lang w:eastAsia="en-US"/>
              </w:rPr>
              <w:t>: 6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 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A31D61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 w:rsidR="00A31D61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Pr="002A43D1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highlight w:val="yellow"/>
                <w:lang w:eastAsia="en-US"/>
              </w:rPr>
            </w:pP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 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Pr="002A43D1" w:rsidRDefault="00CD6C62" w:rsidP="00544E66">
            <w:pPr>
              <w:spacing w:line="276" w:lineRule="auto"/>
              <w:rPr>
                <w:sz w:val="20"/>
                <w:szCs w:val="20"/>
                <w:highlight w:val="yellow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 BSK a schváliť predložený návrh Uznesenia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52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Mandátová komisia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52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Komisia na ochranu verejného záujmu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Materiál </w:t>
            </w:r>
            <w:r w:rsidR="004C226C">
              <w:rPr>
                <w:rFonts w:ascii="Arial" w:hAnsi="Arial"/>
                <w:sz w:val="22"/>
                <w:szCs w:val="22"/>
                <w:lang w:eastAsia="en-US"/>
              </w:rPr>
              <w:t>ne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>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   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 </w:t>
            </w:r>
          </w:p>
          <w:p w:rsidR="00544E66" w:rsidRPr="00402E03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  </w:t>
            </w:r>
            <w:r w:rsidRPr="00402E03"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544E66" w:rsidTr="00544E66">
        <w:trPr>
          <w:trHeight w:val="1524"/>
        </w:trPr>
        <w:tc>
          <w:tcPr>
            <w:tcW w:w="3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lastRenderedPageBreak/>
              <w:t xml:space="preserve">Komisia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majetku, investícií a verejného obstarávania </w:t>
            </w:r>
          </w:p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Materiál bol prerokovaný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Prítomní</w:t>
            </w:r>
            <w:r w:rsidR="00CD6C62">
              <w:rPr>
                <w:rFonts w:ascii="Arial" w:hAnsi="Arial"/>
                <w:sz w:val="22"/>
                <w:szCs w:val="22"/>
                <w:lang w:eastAsia="en-US"/>
              </w:rPr>
              <w:t>: 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Za</w:t>
            </w:r>
            <w:r w:rsidR="00CD6C62">
              <w:rPr>
                <w:rFonts w:ascii="Arial" w:hAnsi="Arial"/>
                <w:sz w:val="22"/>
                <w:szCs w:val="22"/>
                <w:lang w:eastAsia="en-US"/>
              </w:rPr>
              <w:t>: 3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Proti</w:t>
            </w:r>
            <w:r w:rsidR="00CD6C62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         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  <w:r>
              <w:rPr>
                <w:rFonts w:ascii="Arial" w:hAnsi="Arial"/>
                <w:sz w:val="22"/>
                <w:szCs w:val="22"/>
                <w:lang w:eastAsia="en-US"/>
              </w:rPr>
              <w:t>Zdržal sa</w:t>
            </w:r>
            <w:r w:rsidR="00CD6C62">
              <w:rPr>
                <w:rFonts w:ascii="Arial" w:hAnsi="Arial"/>
                <w:sz w:val="22"/>
                <w:szCs w:val="22"/>
                <w:lang w:eastAsia="en-US"/>
              </w:rPr>
              <w:t>: 0</w:t>
            </w:r>
            <w:r>
              <w:rPr>
                <w:rFonts w:ascii="Arial" w:hAnsi="Arial"/>
                <w:sz w:val="22"/>
                <w:szCs w:val="22"/>
                <w:lang w:eastAsia="en-US"/>
              </w:rPr>
              <w:t xml:space="preserve">   </w:t>
            </w:r>
          </w:p>
          <w:p w:rsidR="00544E66" w:rsidRDefault="00544E66" w:rsidP="00544E66">
            <w:pPr>
              <w:spacing w:line="276" w:lineRule="auto"/>
              <w:jc w:val="both"/>
              <w:rPr>
                <w:rFonts w:ascii="Arial" w:hAnsi="Arial"/>
                <w:sz w:val="22"/>
                <w:szCs w:val="22"/>
                <w:lang w:eastAsia="en-US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CD6C62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Odporúča predložiť na rokovanie Z BSK a schváliť predložený návrh Uznesenia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4E66" w:rsidRDefault="00544E66" w:rsidP="00544E66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</w:tr>
    </w:tbl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   </w:t>
      </w:r>
    </w:p>
    <w:p w:rsidR="00544E66" w:rsidRPr="00B706B3" w:rsidRDefault="00544E66" w:rsidP="00544E66">
      <w:pPr>
        <w:rPr>
          <w:rFonts w:ascii="Arial" w:hAnsi="Arial" w:cs="Arial"/>
          <w:sz w:val="16"/>
          <w:szCs w:val="16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rPr>
          <w:rFonts w:ascii="Arial" w:hAnsi="Arial" w:cs="Arial"/>
          <w:b/>
          <w:u w:val="single"/>
        </w:rPr>
      </w:pPr>
    </w:p>
    <w:p w:rsidR="00544E66" w:rsidRPr="007018F3" w:rsidRDefault="00544E66" w:rsidP="00544E66">
      <w:pPr>
        <w:rPr>
          <w:rFonts w:ascii="Arial" w:hAnsi="Arial" w:cs="Arial"/>
          <w:b/>
          <w:u w:val="single"/>
        </w:rPr>
      </w:pPr>
    </w:p>
    <w:p w:rsidR="00544E66" w:rsidRDefault="00544E66" w:rsidP="00544E66">
      <w:pPr>
        <w:jc w:val="center"/>
        <w:rPr>
          <w:rFonts w:ascii="Arial" w:hAnsi="Arial" w:cs="Arial"/>
          <w:b/>
        </w:rPr>
      </w:pPr>
    </w:p>
    <w:p w:rsidR="00544E66" w:rsidRDefault="00544E66" w:rsidP="00544E66"/>
    <w:p w:rsidR="00683E4F" w:rsidRDefault="00683E4F"/>
    <w:sectPr w:rsidR="00683E4F" w:rsidSect="00544E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74A1F"/>
    <w:multiLevelType w:val="hybridMultilevel"/>
    <w:tmpl w:val="8F2615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951273"/>
    <w:multiLevelType w:val="hybridMultilevel"/>
    <w:tmpl w:val="AE8476BE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66"/>
    <w:rsid w:val="002F3A15"/>
    <w:rsid w:val="00386932"/>
    <w:rsid w:val="0040399B"/>
    <w:rsid w:val="004C226C"/>
    <w:rsid w:val="00544E66"/>
    <w:rsid w:val="005F4712"/>
    <w:rsid w:val="00683E4F"/>
    <w:rsid w:val="00A31D61"/>
    <w:rsid w:val="00CD6C62"/>
    <w:rsid w:val="00DF1402"/>
    <w:rsid w:val="00F11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4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4E66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4E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E66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44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4E66"/>
    <w:pPr>
      <w:ind w:left="720"/>
    </w:pPr>
    <w:rPr>
      <w:rFonts w:eastAsiaTheme="minorHAnsi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44E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E66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4849</Words>
  <Characters>27644</Characters>
  <Application>Microsoft Office Word</Application>
  <DocSecurity>0</DocSecurity>
  <Lines>230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Marián Matejovič</dc:creator>
  <cp:lastModifiedBy>Diana Kovačovská</cp:lastModifiedBy>
  <cp:revision>2</cp:revision>
  <dcterms:created xsi:type="dcterms:W3CDTF">2015-10-18T13:32:00Z</dcterms:created>
  <dcterms:modified xsi:type="dcterms:W3CDTF">2015-10-18T13:32:00Z</dcterms:modified>
</cp:coreProperties>
</file>