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F6D" w:rsidRPr="00FE1A99" w:rsidRDefault="007F3F6D" w:rsidP="007F3F6D">
      <w:pPr>
        <w:jc w:val="center"/>
        <w:rPr>
          <w:rFonts w:ascii="Arial" w:hAnsi="Arial" w:cs="Arial"/>
          <w:b/>
          <w:sz w:val="36"/>
          <w:szCs w:val="36"/>
        </w:rPr>
      </w:pPr>
      <w:bookmarkStart w:id="0" w:name="_GoBack"/>
      <w:bookmarkEnd w:id="0"/>
      <w:r w:rsidRPr="00FE1A99">
        <w:rPr>
          <w:rFonts w:ascii="Arial" w:hAnsi="Arial" w:cs="Arial"/>
          <w:b/>
          <w:sz w:val="36"/>
          <w:szCs w:val="36"/>
        </w:rPr>
        <w:t xml:space="preserve">Zastupiteľstvo Bratislavského samosprávneho kraja </w:t>
      </w:r>
    </w:p>
    <w:p w:rsidR="007F3F6D" w:rsidRPr="00FE1A99" w:rsidRDefault="007F3F6D" w:rsidP="007F3F6D">
      <w:pPr>
        <w:rPr>
          <w:rFonts w:ascii="Arial" w:hAnsi="Arial" w:cs="Arial"/>
          <w:b/>
          <w:sz w:val="28"/>
          <w:szCs w:val="28"/>
        </w:rPr>
      </w:pPr>
    </w:p>
    <w:p w:rsidR="007F3F6D" w:rsidRPr="00FE1A99" w:rsidRDefault="007F3F6D" w:rsidP="007F3F6D">
      <w:pPr>
        <w:jc w:val="both"/>
        <w:rPr>
          <w:rFonts w:ascii="Arial" w:hAnsi="Arial" w:cs="Arial"/>
        </w:rPr>
      </w:pPr>
      <w:r w:rsidRPr="00FE1A99">
        <w:rPr>
          <w:rFonts w:ascii="Arial" w:hAnsi="Arial" w:cs="Arial"/>
        </w:rPr>
        <w:t>Materiál na rokovanie Zastupiteľstva</w:t>
      </w:r>
    </w:p>
    <w:p w:rsidR="007F3F6D" w:rsidRPr="00FE1A99" w:rsidRDefault="007F3F6D" w:rsidP="007F3F6D">
      <w:pPr>
        <w:jc w:val="both"/>
        <w:rPr>
          <w:rFonts w:ascii="Arial" w:hAnsi="Arial" w:cs="Arial"/>
        </w:rPr>
      </w:pPr>
      <w:r w:rsidRPr="00FE1A99">
        <w:rPr>
          <w:rFonts w:ascii="Arial" w:hAnsi="Arial" w:cs="Arial"/>
        </w:rPr>
        <w:t>Bratislavského samosprávneho kraja</w:t>
      </w:r>
    </w:p>
    <w:p w:rsidR="007F3F6D" w:rsidRDefault="007F3F6D" w:rsidP="007F3F6D">
      <w:pPr>
        <w:jc w:val="both"/>
        <w:rPr>
          <w:rFonts w:ascii="Arial" w:hAnsi="Arial" w:cs="Arial"/>
        </w:rPr>
      </w:pPr>
      <w:r w:rsidRPr="00FE1A99">
        <w:rPr>
          <w:rFonts w:ascii="Arial" w:hAnsi="Arial" w:cs="Arial"/>
        </w:rPr>
        <w:t xml:space="preserve">Dňa  </w:t>
      </w:r>
      <w:r>
        <w:rPr>
          <w:rFonts w:ascii="Arial" w:hAnsi="Arial" w:cs="Arial"/>
        </w:rPr>
        <w:t>12.12</w:t>
      </w:r>
      <w:r w:rsidRPr="00FE1A99">
        <w:rPr>
          <w:rFonts w:ascii="Arial" w:hAnsi="Arial" w:cs="Arial"/>
        </w:rPr>
        <w:t>. 2014</w:t>
      </w:r>
    </w:p>
    <w:p w:rsidR="00605039" w:rsidRPr="00FE1A99" w:rsidRDefault="00605039" w:rsidP="007F3F6D">
      <w:pPr>
        <w:jc w:val="both"/>
        <w:rPr>
          <w:rFonts w:ascii="Arial" w:hAnsi="Arial" w:cs="Arial"/>
        </w:rPr>
      </w:pPr>
    </w:p>
    <w:p w:rsidR="007F3F6D" w:rsidRPr="00FE1A99" w:rsidRDefault="007F3F6D" w:rsidP="007F3F6D">
      <w:pPr>
        <w:rPr>
          <w:rFonts w:ascii="Arial" w:eastAsia="Calibri" w:hAnsi="Arial" w:cs="Arial"/>
          <w:b/>
        </w:rPr>
      </w:pPr>
    </w:p>
    <w:p w:rsidR="007F3F6D" w:rsidRPr="00605039" w:rsidRDefault="007F3F6D" w:rsidP="007F3F6D">
      <w:pPr>
        <w:jc w:val="center"/>
        <w:rPr>
          <w:rFonts w:ascii="Arial" w:hAnsi="Arial" w:cs="Arial"/>
          <w:b/>
          <w:sz w:val="28"/>
          <w:szCs w:val="28"/>
        </w:rPr>
      </w:pPr>
      <w:r w:rsidRPr="00605039">
        <w:rPr>
          <w:rFonts w:ascii="Arial" w:hAnsi="Arial" w:cs="Arial"/>
          <w:b/>
          <w:sz w:val="28"/>
          <w:szCs w:val="28"/>
        </w:rPr>
        <w:t>Návrh</w:t>
      </w:r>
    </w:p>
    <w:p w:rsidR="007F3F6D" w:rsidRDefault="007F3F6D" w:rsidP="007F3F6D">
      <w:pPr>
        <w:jc w:val="both"/>
        <w:rPr>
          <w:rFonts w:ascii="Arial" w:eastAsia="Calibri" w:hAnsi="Arial" w:cs="Arial"/>
        </w:rPr>
      </w:pPr>
    </w:p>
    <w:p w:rsidR="007F3F6D" w:rsidRDefault="007F3F6D" w:rsidP="007F3F6D">
      <w:pPr>
        <w:jc w:val="both"/>
        <w:rPr>
          <w:rFonts w:ascii="Arial" w:eastAsia="Calibri" w:hAnsi="Arial" w:cs="Arial"/>
        </w:rPr>
      </w:pPr>
    </w:p>
    <w:p w:rsidR="007F3F6D" w:rsidRDefault="007F3F6D" w:rsidP="007F3F6D">
      <w:pPr>
        <w:pBdr>
          <w:bottom w:val="single" w:sz="6" w:space="1" w:color="auto"/>
        </w:pBdr>
        <w:jc w:val="both"/>
        <w:rPr>
          <w:rFonts w:ascii="Arial" w:hAnsi="Arial" w:cs="Arial"/>
          <w:b/>
        </w:rPr>
      </w:pPr>
      <w:r>
        <w:rPr>
          <w:rFonts w:ascii="Arial" w:hAnsi="Arial" w:cs="Arial"/>
          <w:b/>
        </w:rPr>
        <w:t>na predaj spoluvlastníckeho podielu nehnuteľného majetku – kaštieľ a priľahlé pozemky vo Veľkom Bieli,  nachádzajúce sa  v k. ú. Veľký Biel, okres Senec</w:t>
      </w:r>
    </w:p>
    <w:p w:rsidR="007F3F6D" w:rsidRDefault="007F3F6D" w:rsidP="007F3F6D">
      <w:pPr>
        <w:jc w:val="both"/>
        <w:rPr>
          <w:rFonts w:ascii="Arial" w:eastAsia="Calibri" w:hAnsi="Arial" w:cs="Arial"/>
        </w:rPr>
      </w:pPr>
    </w:p>
    <w:p w:rsidR="007F3F6D" w:rsidRDefault="007F3F6D" w:rsidP="007F3F6D">
      <w:pPr>
        <w:jc w:val="both"/>
        <w:rPr>
          <w:rFonts w:ascii="Arial" w:eastAsia="Calibri" w:hAnsi="Arial" w:cs="Arial"/>
        </w:rPr>
      </w:pPr>
    </w:p>
    <w:p w:rsidR="007F3F6D" w:rsidRDefault="007F3F6D" w:rsidP="007F3F6D">
      <w:pPr>
        <w:jc w:val="both"/>
        <w:rPr>
          <w:rFonts w:ascii="Arial" w:eastAsia="Calibri" w:hAnsi="Arial" w:cs="Arial"/>
        </w:rPr>
      </w:pPr>
    </w:p>
    <w:p w:rsidR="007F3F6D" w:rsidRPr="00FE1A99" w:rsidRDefault="007F3F6D" w:rsidP="007F3F6D">
      <w:pPr>
        <w:jc w:val="both"/>
        <w:rPr>
          <w:rFonts w:ascii="Arial" w:eastAsia="Calibri" w:hAnsi="Arial" w:cs="Arial"/>
        </w:rPr>
      </w:pPr>
      <w:r w:rsidRPr="00FE1A99">
        <w:rPr>
          <w:rFonts w:ascii="Arial" w:eastAsia="Calibri" w:hAnsi="Arial" w:cs="Arial"/>
        </w:rPr>
        <w:t xml:space="preserve">                                                                                                                                                               </w:t>
      </w:r>
    </w:p>
    <w:p w:rsidR="007F3F6D" w:rsidRPr="00FE1A99" w:rsidRDefault="007F3F6D" w:rsidP="007F3F6D">
      <w:pPr>
        <w:jc w:val="both"/>
        <w:rPr>
          <w:rFonts w:ascii="Arial" w:hAnsi="Arial" w:cs="Arial"/>
        </w:rPr>
      </w:pPr>
      <w:r w:rsidRPr="00FE1A99">
        <w:rPr>
          <w:rFonts w:ascii="Arial" w:hAnsi="Arial" w:cs="Arial"/>
          <w:u w:val="single"/>
        </w:rPr>
        <w:t>Materiál predkladá:</w:t>
      </w:r>
      <w:r w:rsidRPr="00FE1A99">
        <w:rPr>
          <w:rFonts w:ascii="Arial" w:hAnsi="Arial" w:cs="Arial"/>
        </w:rPr>
        <w:t xml:space="preserve"> </w:t>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u w:val="single"/>
        </w:rPr>
        <w:t>Materiál obsahuje:</w:t>
      </w:r>
      <w:r w:rsidRPr="00FE1A99">
        <w:rPr>
          <w:rFonts w:ascii="Arial" w:hAnsi="Arial" w:cs="Arial"/>
        </w:rPr>
        <w:tab/>
      </w:r>
      <w:r w:rsidRPr="00FE1A99">
        <w:rPr>
          <w:rFonts w:ascii="Arial" w:hAnsi="Arial" w:cs="Arial"/>
        </w:rPr>
        <w:tab/>
      </w:r>
    </w:p>
    <w:p w:rsidR="007F3F6D" w:rsidRPr="00FE1A99" w:rsidRDefault="007F3F6D" w:rsidP="007F3F6D">
      <w:pPr>
        <w:tabs>
          <w:tab w:val="left" w:pos="708"/>
          <w:tab w:val="left" w:pos="1416"/>
          <w:tab w:val="left" w:pos="2124"/>
          <w:tab w:val="left" w:pos="2832"/>
          <w:tab w:val="left" w:pos="5760"/>
        </w:tabs>
        <w:ind w:left="3540" w:hanging="3540"/>
        <w:jc w:val="both"/>
        <w:rPr>
          <w:rFonts w:ascii="Arial" w:hAnsi="Arial" w:cs="Arial"/>
          <w:u w:val="single"/>
        </w:rPr>
      </w:pPr>
      <w:r w:rsidRPr="00FE1A99">
        <w:rPr>
          <w:rStyle w:val="Siln"/>
          <w:rFonts w:ascii="Arial" w:hAnsi="Arial" w:cs="Arial"/>
          <w:b w:val="0"/>
        </w:rPr>
        <w:t>Ing. Igor Bendík</w:t>
      </w:r>
      <w:r w:rsidRPr="00FE1A99">
        <w:rPr>
          <w:rFonts w:ascii="Arial" w:hAnsi="Arial" w:cs="Arial"/>
          <w:b/>
        </w:rPr>
        <w:tab/>
      </w:r>
      <w:r w:rsidRPr="00FE1A99">
        <w:rPr>
          <w:rFonts w:ascii="Arial" w:hAnsi="Arial" w:cs="Arial"/>
        </w:rPr>
        <w:t xml:space="preserve">                                                    </w:t>
      </w:r>
      <w:r w:rsidR="00A56427">
        <w:rPr>
          <w:rFonts w:ascii="Arial" w:hAnsi="Arial" w:cs="Arial"/>
        </w:rPr>
        <w:t xml:space="preserve"> </w:t>
      </w:r>
      <w:r w:rsidRPr="00FE1A99">
        <w:rPr>
          <w:rFonts w:ascii="Arial" w:hAnsi="Arial" w:cs="Arial"/>
        </w:rPr>
        <w:t>1. Návrh uznesenia</w:t>
      </w:r>
    </w:p>
    <w:p w:rsidR="007F3F6D" w:rsidRPr="00FE1A99" w:rsidRDefault="007F3F6D" w:rsidP="007F3F6D">
      <w:pPr>
        <w:tabs>
          <w:tab w:val="left" w:pos="5285"/>
        </w:tabs>
        <w:jc w:val="both"/>
        <w:rPr>
          <w:rFonts w:ascii="Arial" w:hAnsi="Arial" w:cs="Arial"/>
        </w:rPr>
      </w:pPr>
      <w:r w:rsidRPr="00FE1A99">
        <w:rPr>
          <w:rFonts w:ascii="Arial" w:hAnsi="Arial" w:cs="Arial"/>
        </w:rPr>
        <w:t>podpredseda</w:t>
      </w:r>
      <w:r w:rsidRPr="00FE1A99">
        <w:rPr>
          <w:rFonts w:ascii="Arial" w:hAnsi="Arial" w:cs="Arial"/>
        </w:rPr>
        <w:tab/>
      </w:r>
      <w:r w:rsidRPr="00FE1A99">
        <w:rPr>
          <w:rFonts w:ascii="Arial" w:hAnsi="Arial" w:cs="Arial"/>
        </w:rPr>
        <w:tab/>
        <w:t>2. Dôvodová správa</w:t>
      </w:r>
    </w:p>
    <w:p w:rsidR="007F3F6D" w:rsidRPr="00FE1A99" w:rsidRDefault="007F3F6D" w:rsidP="007F3F6D">
      <w:pPr>
        <w:tabs>
          <w:tab w:val="left" w:pos="5285"/>
        </w:tabs>
        <w:jc w:val="both"/>
        <w:rPr>
          <w:rFonts w:ascii="Arial" w:hAnsi="Arial" w:cs="Arial"/>
        </w:rPr>
      </w:pPr>
      <w:r w:rsidRPr="00FE1A99">
        <w:rPr>
          <w:rFonts w:ascii="Arial" w:hAnsi="Arial" w:cs="Arial"/>
        </w:rPr>
        <w:t>Bratislavského samosprávneho kraja</w:t>
      </w:r>
      <w:r w:rsidRPr="00FE1A99">
        <w:rPr>
          <w:rFonts w:ascii="Arial" w:hAnsi="Arial" w:cs="Arial"/>
        </w:rPr>
        <w:tab/>
      </w:r>
      <w:r w:rsidRPr="00FE1A99">
        <w:rPr>
          <w:rFonts w:ascii="Arial" w:hAnsi="Arial" w:cs="Arial"/>
        </w:rPr>
        <w:tab/>
        <w:t>3. Prílohy</w:t>
      </w:r>
    </w:p>
    <w:p w:rsidR="007F3F6D" w:rsidRPr="00FE1A99" w:rsidRDefault="007F3F6D" w:rsidP="007F3F6D">
      <w:pPr>
        <w:tabs>
          <w:tab w:val="left" w:pos="5285"/>
        </w:tabs>
        <w:jc w:val="both"/>
        <w:rPr>
          <w:rFonts w:ascii="Arial" w:hAnsi="Arial" w:cs="Arial"/>
        </w:rPr>
      </w:pPr>
      <w:r w:rsidRPr="00FE1A99">
        <w:rPr>
          <w:rFonts w:ascii="Arial" w:hAnsi="Arial" w:cs="Arial"/>
        </w:rPr>
        <w:tab/>
      </w:r>
      <w:r w:rsidRPr="00FE1A99">
        <w:rPr>
          <w:rFonts w:ascii="Arial" w:hAnsi="Arial" w:cs="Arial"/>
        </w:rPr>
        <w:tab/>
        <w:t>4. Stanoviská komisií</w:t>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rPr>
        <w:tab/>
      </w:r>
      <w:r w:rsidRPr="00FE1A99">
        <w:rPr>
          <w:rFonts w:ascii="Arial" w:hAnsi="Arial" w:cs="Arial"/>
        </w:rPr>
        <w:tab/>
      </w:r>
    </w:p>
    <w:p w:rsidR="007F3F6D" w:rsidRPr="00FE1A99" w:rsidRDefault="007F3F6D" w:rsidP="007F3F6D">
      <w:pPr>
        <w:jc w:val="both"/>
        <w:rPr>
          <w:rFonts w:ascii="Arial" w:hAnsi="Arial" w:cs="Arial"/>
        </w:rPr>
      </w:pPr>
    </w:p>
    <w:p w:rsidR="00A56427" w:rsidRDefault="00A56427" w:rsidP="00A56427">
      <w:pPr>
        <w:jc w:val="both"/>
        <w:rPr>
          <w:rFonts w:ascii="Arial" w:hAnsi="Arial" w:cs="Arial"/>
          <w:sz w:val="22"/>
          <w:szCs w:val="22"/>
          <w:u w:val="single"/>
        </w:rPr>
      </w:pPr>
    </w:p>
    <w:p w:rsidR="00A56427" w:rsidRDefault="00A56427" w:rsidP="00A56427">
      <w:pPr>
        <w:jc w:val="both"/>
        <w:rPr>
          <w:rFonts w:ascii="Arial" w:hAnsi="Arial" w:cs="Arial"/>
          <w:sz w:val="22"/>
          <w:szCs w:val="22"/>
          <w:u w:val="single"/>
        </w:rPr>
      </w:pPr>
    </w:p>
    <w:p w:rsidR="00A56427" w:rsidRDefault="00A56427" w:rsidP="00A56427">
      <w:pPr>
        <w:jc w:val="both"/>
        <w:rPr>
          <w:rFonts w:ascii="Arial" w:hAnsi="Arial" w:cs="Arial"/>
          <w:sz w:val="22"/>
          <w:szCs w:val="22"/>
          <w:u w:val="single"/>
        </w:rPr>
      </w:pPr>
    </w:p>
    <w:p w:rsidR="00A56427" w:rsidRDefault="00A56427" w:rsidP="00A56427">
      <w:pPr>
        <w:jc w:val="both"/>
        <w:rPr>
          <w:rFonts w:ascii="Arial" w:hAnsi="Arial" w:cs="Arial"/>
          <w:sz w:val="22"/>
          <w:szCs w:val="22"/>
          <w:u w:val="single"/>
        </w:rPr>
      </w:pPr>
    </w:p>
    <w:p w:rsidR="00A56427" w:rsidRDefault="00A56427" w:rsidP="00A56427">
      <w:pPr>
        <w:jc w:val="both"/>
        <w:rPr>
          <w:rFonts w:ascii="Arial" w:hAnsi="Arial" w:cs="Arial"/>
          <w:sz w:val="22"/>
          <w:szCs w:val="22"/>
          <w:u w:val="single"/>
        </w:rPr>
      </w:pPr>
      <w:r>
        <w:rPr>
          <w:rFonts w:ascii="Arial" w:hAnsi="Arial" w:cs="Arial"/>
          <w:sz w:val="22"/>
          <w:szCs w:val="22"/>
          <w:u w:val="single"/>
        </w:rPr>
        <w:t>Zodpovedný:</w:t>
      </w:r>
    </w:p>
    <w:p w:rsidR="00A56427" w:rsidRPr="009C3DD2" w:rsidRDefault="00A56427" w:rsidP="00A56427">
      <w:pPr>
        <w:jc w:val="both"/>
        <w:rPr>
          <w:rFonts w:ascii="Arial" w:eastAsia="Calibri" w:hAnsi="Arial" w:cs="Arial"/>
        </w:rPr>
      </w:pPr>
      <w:r w:rsidRPr="009C3DD2">
        <w:rPr>
          <w:rFonts w:ascii="Arial" w:eastAsia="Calibri" w:hAnsi="Arial" w:cs="Arial"/>
        </w:rPr>
        <w:t xml:space="preserve">Mgr. Ing. Ján </w:t>
      </w:r>
      <w:proofErr w:type="spellStart"/>
      <w:r w:rsidRPr="009C3DD2">
        <w:rPr>
          <w:rFonts w:ascii="Arial" w:eastAsia="Calibri" w:hAnsi="Arial" w:cs="Arial"/>
        </w:rPr>
        <w:t>Keselý</w:t>
      </w:r>
      <w:proofErr w:type="spellEnd"/>
    </w:p>
    <w:p w:rsidR="00A56427" w:rsidRDefault="00A56427" w:rsidP="00A56427">
      <w:pPr>
        <w:jc w:val="both"/>
        <w:rPr>
          <w:rFonts w:ascii="Arial" w:eastAsia="Calibri" w:hAnsi="Arial" w:cs="Arial"/>
        </w:rPr>
      </w:pPr>
      <w:r>
        <w:rPr>
          <w:rFonts w:ascii="Arial" w:eastAsia="Calibri" w:hAnsi="Arial" w:cs="Arial"/>
        </w:rPr>
        <w:t>ri</w:t>
      </w:r>
      <w:r w:rsidRPr="009C3DD2">
        <w:rPr>
          <w:rFonts w:ascii="Arial" w:eastAsia="Calibri" w:hAnsi="Arial" w:cs="Arial"/>
        </w:rPr>
        <w:t>aditeľ odboru IČ SM a</w:t>
      </w:r>
      <w:r>
        <w:rPr>
          <w:rFonts w:ascii="Arial" w:eastAsia="Calibri" w:hAnsi="Arial" w:cs="Arial"/>
        </w:rPr>
        <w:t> </w:t>
      </w:r>
      <w:r w:rsidRPr="009C3DD2">
        <w:rPr>
          <w:rFonts w:ascii="Arial" w:eastAsia="Calibri" w:hAnsi="Arial" w:cs="Arial"/>
        </w:rPr>
        <w:t>VO</w:t>
      </w:r>
    </w:p>
    <w:p w:rsidR="00A56427" w:rsidRDefault="007F3F6D" w:rsidP="007F3F6D">
      <w:pPr>
        <w:jc w:val="both"/>
        <w:rPr>
          <w:rFonts w:ascii="Arial" w:hAnsi="Arial" w:cs="Arial"/>
        </w:rPr>
      </w:pPr>
      <w:r w:rsidRPr="00FE1A99">
        <w:rPr>
          <w:rFonts w:ascii="Arial" w:hAnsi="Arial" w:cs="Arial"/>
        </w:rPr>
        <w:t xml:space="preserve">   </w:t>
      </w:r>
    </w:p>
    <w:p w:rsidR="00A56427" w:rsidRDefault="00A56427" w:rsidP="007F3F6D">
      <w:pPr>
        <w:jc w:val="both"/>
        <w:rPr>
          <w:rFonts w:ascii="Arial" w:hAnsi="Arial" w:cs="Arial"/>
        </w:rPr>
      </w:pPr>
    </w:p>
    <w:p w:rsidR="007F3F6D" w:rsidRPr="00FE1A99" w:rsidRDefault="007F3F6D" w:rsidP="007F3F6D">
      <w:pPr>
        <w:jc w:val="both"/>
        <w:rPr>
          <w:rFonts w:ascii="Arial" w:hAnsi="Arial" w:cs="Arial"/>
        </w:rPr>
      </w:pPr>
      <w:r w:rsidRPr="00FE1A99">
        <w:rPr>
          <w:rFonts w:ascii="Arial" w:hAnsi="Arial" w:cs="Arial"/>
        </w:rPr>
        <w:t xml:space="preserve">                                                       </w:t>
      </w:r>
    </w:p>
    <w:p w:rsidR="007F3F6D" w:rsidRPr="00FE1A99" w:rsidRDefault="007F3F6D" w:rsidP="007F3F6D">
      <w:pPr>
        <w:jc w:val="both"/>
        <w:rPr>
          <w:rFonts w:ascii="Arial" w:hAnsi="Arial" w:cs="Arial"/>
          <w:u w:val="single"/>
        </w:rPr>
      </w:pPr>
      <w:r w:rsidRPr="00FE1A99">
        <w:rPr>
          <w:rFonts w:ascii="Arial" w:hAnsi="Arial" w:cs="Arial"/>
          <w:u w:val="single"/>
        </w:rPr>
        <w:t>Spracovateľ:</w:t>
      </w:r>
    </w:p>
    <w:p w:rsidR="007F3F6D" w:rsidRPr="00FE1A99" w:rsidRDefault="007F3F6D" w:rsidP="007F3F6D">
      <w:pPr>
        <w:jc w:val="both"/>
        <w:rPr>
          <w:rFonts w:ascii="Arial" w:hAnsi="Arial" w:cs="Arial"/>
        </w:rPr>
      </w:pPr>
      <w:r w:rsidRPr="00FE1A99">
        <w:rPr>
          <w:rFonts w:ascii="Arial" w:hAnsi="Arial" w:cs="Arial"/>
        </w:rPr>
        <w:t>JUDr. Matúš Šaray</w:t>
      </w:r>
    </w:p>
    <w:p w:rsidR="007F3F6D" w:rsidRPr="00FE1A99" w:rsidRDefault="007F3F6D" w:rsidP="007F3F6D">
      <w:pPr>
        <w:jc w:val="both"/>
        <w:rPr>
          <w:rFonts w:ascii="Arial" w:hAnsi="Arial" w:cs="Arial"/>
          <w:u w:val="single"/>
        </w:rPr>
      </w:pPr>
      <w:r w:rsidRPr="00FE1A99">
        <w:rPr>
          <w:rFonts w:ascii="Arial" w:hAnsi="Arial" w:cs="Arial"/>
        </w:rPr>
        <w:t>vedúci právneho oddelenia</w:t>
      </w:r>
    </w:p>
    <w:p w:rsidR="007F3F6D" w:rsidRPr="00FE1A99" w:rsidRDefault="007F3F6D" w:rsidP="007F3F6D">
      <w:pPr>
        <w:jc w:val="both"/>
        <w:rPr>
          <w:rFonts w:ascii="Arial" w:hAnsi="Arial" w:cs="Arial"/>
        </w:rPr>
      </w:pPr>
      <w:r w:rsidRPr="00FE1A99">
        <w:rPr>
          <w:rFonts w:ascii="Arial" w:hAnsi="Arial" w:cs="Arial"/>
        </w:rPr>
        <w:t xml:space="preserve">Mgr. Danica Harmaniaková </w:t>
      </w:r>
    </w:p>
    <w:p w:rsidR="007F3F6D" w:rsidRPr="00FE1A99" w:rsidRDefault="007F3F6D" w:rsidP="007F3F6D">
      <w:pPr>
        <w:jc w:val="both"/>
        <w:rPr>
          <w:rFonts w:ascii="Arial" w:hAnsi="Arial" w:cs="Arial"/>
          <w:u w:val="single"/>
        </w:rPr>
      </w:pPr>
      <w:r w:rsidRPr="00FE1A99">
        <w:rPr>
          <w:rFonts w:ascii="Arial" w:hAnsi="Arial" w:cs="Arial"/>
        </w:rPr>
        <w:t>referent právneho oddelenia</w:t>
      </w:r>
    </w:p>
    <w:p w:rsidR="007F3F6D" w:rsidRPr="00FE1A99" w:rsidRDefault="007F3F6D" w:rsidP="007F3F6D">
      <w:pPr>
        <w:rPr>
          <w:rFonts w:ascii="Arial" w:hAnsi="Arial" w:cs="Arial"/>
          <w:b/>
        </w:rPr>
      </w:pPr>
    </w:p>
    <w:p w:rsidR="00A56427" w:rsidRDefault="00A56427" w:rsidP="007F3F6D">
      <w:pPr>
        <w:jc w:val="center"/>
        <w:rPr>
          <w:rFonts w:ascii="Arial" w:hAnsi="Arial" w:cs="Arial"/>
          <w:b/>
        </w:rPr>
      </w:pPr>
    </w:p>
    <w:p w:rsidR="00A56427" w:rsidRPr="00FE1A99" w:rsidRDefault="00A56427" w:rsidP="007F3F6D">
      <w:pPr>
        <w:jc w:val="center"/>
        <w:rPr>
          <w:rFonts w:ascii="Arial" w:hAnsi="Arial" w:cs="Arial"/>
          <w:b/>
        </w:rPr>
      </w:pPr>
    </w:p>
    <w:p w:rsidR="007F3F6D" w:rsidRPr="00FE1A99" w:rsidRDefault="007F3F6D" w:rsidP="007F3F6D">
      <w:pPr>
        <w:rPr>
          <w:rFonts w:ascii="Arial" w:hAnsi="Arial" w:cs="Arial"/>
          <w:b/>
        </w:rPr>
      </w:pPr>
    </w:p>
    <w:p w:rsidR="007F3F6D" w:rsidRDefault="007F3F6D" w:rsidP="007F3F6D">
      <w:pPr>
        <w:rPr>
          <w:rFonts w:ascii="Arial" w:hAnsi="Arial" w:cs="Arial"/>
          <w:b/>
        </w:rPr>
      </w:pPr>
    </w:p>
    <w:p w:rsidR="00DB0EFF" w:rsidRDefault="00DB0EFF" w:rsidP="007F3F6D">
      <w:pPr>
        <w:rPr>
          <w:rFonts w:ascii="Arial" w:hAnsi="Arial" w:cs="Arial"/>
          <w:b/>
        </w:rPr>
      </w:pPr>
    </w:p>
    <w:p w:rsidR="00DB0EFF" w:rsidRPr="00FE1A99" w:rsidRDefault="00DB0EFF" w:rsidP="007F3F6D">
      <w:pPr>
        <w:rPr>
          <w:rFonts w:ascii="Arial" w:hAnsi="Arial" w:cs="Arial"/>
          <w:b/>
        </w:rPr>
      </w:pPr>
    </w:p>
    <w:p w:rsidR="007F3F6D" w:rsidRPr="00FE1A99" w:rsidRDefault="007F3F6D" w:rsidP="007F3F6D">
      <w:pPr>
        <w:rPr>
          <w:rFonts w:ascii="Arial" w:hAnsi="Arial" w:cs="Arial"/>
          <w:b/>
        </w:rPr>
      </w:pPr>
    </w:p>
    <w:p w:rsidR="007F3F6D" w:rsidRPr="00FE1A99" w:rsidRDefault="007F3F6D" w:rsidP="007F3F6D">
      <w:pPr>
        <w:rPr>
          <w:rFonts w:ascii="Arial" w:hAnsi="Arial" w:cs="Arial"/>
          <w:b/>
        </w:rPr>
      </w:pPr>
      <w:r w:rsidRPr="00FE1A99">
        <w:rPr>
          <w:rFonts w:ascii="Arial" w:hAnsi="Arial" w:cs="Arial"/>
          <w:b/>
        </w:rPr>
        <w:tab/>
      </w:r>
      <w:r w:rsidRPr="00FE1A99">
        <w:rPr>
          <w:rFonts w:ascii="Arial" w:hAnsi="Arial" w:cs="Arial"/>
          <w:b/>
        </w:rPr>
        <w:tab/>
      </w:r>
      <w:r w:rsidRPr="00FE1A99">
        <w:rPr>
          <w:rFonts w:ascii="Arial" w:hAnsi="Arial" w:cs="Arial"/>
          <w:b/>
        </w:rPr>
        <w:tab/>
      </w:r>
      <w:r w:rsidRPr="00FE1A99">
        <w:rPr>
          <w:rFonts w:ascii="Arial" w:hAnsi="Arial" w:cs="Arial"/>
          <w:b/>
        </w:rPr>
        <w:tab/>
      </w:r>
      <w:r w:rsidRPr="00FE1A99">
        <w:rPr>
          <w:rFonts w:ascii="Arial" w:hAnsi="Arial" w:cs="Arial"/>
          <w:b/>
        </w:rPr>
        <w:tab/>
      </w:r>
      <w:r w:rsidRPr="00FE1A99">
        <w:rPr>
          <w:rFonts w:ascii="Arial" w:hAnsi="Arial" w:cs="Arial"/>
          <w:b/>
        </w:rPr>
        <w:tab/>
      </w:r>
    </w:p>
    <w:p w:rsidR="007F3F6D" w:rsidRPr="00FE1A99" w:rsidRDefault="007F3F6D" w:rsidP="007F3F6D">
      <w:pPr>
        <w:jc w:val="center"/>
        <w:rPr>
          <w:rFonts w:ascii="Arial" w:hAnsi="Arial" w:cs="Arial"/>
        </w:rPr>
      </w:pPr>
      <w:r w:rsidRPr="00FE1A99">
        <w:rPr>
          <w:rFonts w:ascii="Arial" w:hAnsi="Arial" w:cs="Arial"/>
        </w:rPr>
        <w:t>Bratislava</w:t>
      </w:r>
    </w:p>
    <w:p w:rsidR="008E681B" w:rsidRDefault="007F3F6D" w:rsidP="00F217AC">
      <w:pPr>
        <w:ind w:left="3540"/>
        <w:rPr>
          <w:rFonts w:ascii="Arial" w:eastAsia="Calibri" w:hAnsi="Arial" w:cs="Arial"/>
        </w:rPr>
      </w:pPr>
      <w:r w:rsidRPr="00FE1A99">
        <w:rPr>
          <w:rFonts w:ascii="Arial" w:hAnsi="Arial" w:cs="Arial"/>
        </w:rPr>
        <w:t xml:space="preserve">    </w:t>
      </w:r>
      <w:r w:rsidR="00A56427">
        <w:rPr>
          <w:rFonts w:ascii="Arial" w:hAnsi="Arial" w:cs="Arial"/>
        </w:rPr>
        <w:t xml:space="preserve">December </w:t>
      </w:r>
      <w:r w:rsidRPr="00FE1A99">
        <w:rPr>
          <w:rFonts w:ascii="Arial" w:hAnsi="Arial" w:cs="Arial"/>
        </w:rPr>
        <w:t>2014</w:t>
      </w:r>
      <w:r w:rsidRPr="00FE1A99">
        <w:rPr>
          <w:rFonts w:ascii="Arial" w:eastAsia="Calibri" w:hAnsi="Arial" w:cs="Arial"/>
        </w:rPr>
        <w:t xml:space="preserve">       </w:t>
      </w:r>
    </w:p>
    <w:p w:rsidR="00741907" w:rsidRPr="00F217AC" w:rsidRDefault="007F3F6D" w:rsidP="00F217AC">
      <w:pPr>
        <w:ind w:left="3540"/>
        <w:rPr>
          <w:rFonts w:ascii="Arial" w:hAnsi="Arial" w:cs="Arial"/>
        </w:rPr>
      </w:pPr>
      <w:r w:rsidRPr="00FE1A99">
        <w:rPr>
          <w:rFonts w:ascii="Arial" w:eastAsia="Calibri" w:hAnsi="Arial" w:cs="Arial"/>
        </w:rPr>
        <w:t xml:space="preserve">                                                                                            </w:t>
      </w:r>
    </w:p>
    <w:p w:rsidR="00741907" w:rsidRDefault="00741907" w:rsidP="00741907">
      <w:pPr>
        <w:jc w:val="center"/>
        <w:rPr>
          <w:rFonts w:ascii="Arial" w:hAnsi="Arial" w:cs="Arial"/>
        </w:rPr>
      </w:pPr>
      <w:r>
        <w:rPr>
          <w:rFonts w:ascii="Arial" w:hAnsi="Arial" w:cs="Arial"/>
        </w:rPr>
        <w:lastRenderedPageBreak/>
        <w:t>N á v r h     u z n e s e n i a</w:t>
      </w:r>
    </w:p>
    <w:p w:rsidR="00741907" w:rsidRDefault="00741907" w:rsidP="00741907">
      <w:pPr>
        <w:rPr>
          <w:rFonts w:ascii="Arial" w:hAnsi="Arial" w:cs="Arial"/>
        </w:rPr>
      </w:pPr>
    </w:p>
    <w:p w:rsidR="00741907" w:rsidRDefault="00741907" w:rsidP="00741907">
      <w:pPr>
        <w:rPr>
          <w:rFonts w:ascii="Arial" w:hAnsi="Arial" w:cs="Arial"/>
        </w:rPr>
      </w:pPr>
    </w:p>
    <w:p w:rsidR="00741907" w:rsidRDefault="00741907" w:rsidP="00741907">
      <w:pPr>
        <w:jc w:val="center"/>
        <w:rPr>
          <w:rFonts w:ascii="Arial" w:hAnsi="Arial" w:cs="Arial"/>
          <w:b/>
        </w:rPr>
      </w:pPr>
      <w:r>
        <w:rPr>
          <w:rFonts w:ascii="Arial" w:hAnsi="Arial" w:cs="Arial"/>
          <w:b/>
        </w:rPr>
        <w:t>UZNESENIE  č. ........ / 2014</w:t>
      </w:r>
    </w:p>
    <w:p w:rsidR="00DB0EFF" w:rsidRDefault="00DB0EFF" w:rsidP="00DB0EF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zo dňa 12.12.2014</w:t>
      </w:r>
    </w:p>
    <w:p w:rsidR="00F217AC" w:rsidRDefault="00F217AC" w:rsidP="00DB0EFF">
      <w:pPr>
        <w:rPr>
          <w:rFonts w:ascii="Arial" w:hAnsi="Arial" w:cs="Arial"/>
        </w:rPr>
      </w:pPr>
    </w:p>
    <w:p w:rsidR="00741907" w:rsidRDefault="00741907" w:rsidP="00DB0EFF">
      <w:pPr>
        <w:rPr>
          <w:rFonts w:ascii="Arial" w:hAnsi="Arial" w:cs="Arial"/>
        </w:rPr>
      </w:pPr>
      <w:r>
        <w:rPr>
          <w:rFonts w:ascii="Arial" w:hAnsi="Arial" w:cs="Arial"/>
        </w:rPr>
        <w:t xml:space="preserve">Zastupiteľstvo Bratislavského samosprávneho kraja po prerokovaní materiálu </w:t>
      </w:r>
    </w:p>
    <w:p w:rsidR="00741907" w:rsidRDefault="00741907" w:rsidP="0074190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741907" w:rsidRDefault="00741907" w:rsidP="00741907">
      <w:pPr>
        <w:rPr>
          <w:rFonts w:ascii="Arial" w:hAnsi="Arial" w:cs="Arial"/>
        </w:rPr>
      </w:pPr>
    </w:p>
    <w:p w:rsidR="00741907" w:rsidRDefault="00741907" w:rsidP="00741907">
      <w:pPr>
        <w:jc w:val="center"/>
        <w:rPr>
          <w:rFonts w:ascii="Arial" w:hAnsi="Arial" w:cs="Arial"/>
          <w:b/>
        </w:rPr>
      </w:pPr>
      <w:r>
        <w:rPr>
          <w:rFonts w:ascii="Arial" w:hAnsi="Arial" w:cs="Arial"/>
          <w:b/>
        </w:rPr>
        <w:t xml:space="preserve"> s c h v a ľ u j e</w:t>
      </w:r>
    </w:p>
    <w:p w:rsidR="00741907" w:rsidRDefault="00741907" w:rsidP="00741907">
      <w:pPr>
        <w:jc w:val="both"/>
        <w:rPr>
          <w:rFonts w:ascii="Arial" w:hAnsi="Arial" w:cs="Arial"/>
        </w:rPr>
      </w:pPr>
    </w:p>
    <w:p w:rsidR="00741907" w:rsidRDefault="00741907" w:rsidP="00741907">
      <w:pPr>
        <w:jc w:val="both"/>
        <w:rPr>
          <w:rFonts w:ascii="Arial" w:hAnsi="Arial" w:cs="Arial"/>
        </w:rPr>
      </w:pPr>
      <w:r>
        <w:rPr>
          <w:rFonts w:ascii="Arial" w:hAnsi="Arial" w:cs="Arial"/>
        </w:rPr>
        <w:t xml:space="preserve">predaj nehnuteľného majetku vedeného Okresným úradom Senec, Odborom katastrálnym, ktorý sa nachádza v k. ú. Veľký Biel, okres Senec, obec Veľký Biel, evidovaný na </w:t>
      </w:r>
    </w:p>
    <w:p w:rsidR="00741907" w:rsidRDefault="00741907" w:rsidP="00741907">
      <w:pPr>
        <w:ind w:firstLine="360"/>
        <w:jc w:val="both"/>
        <w:rPr>
          <w:rFonts w:ascii="Arial" w:hAnsi="Arial" w:cs="Arial"/>
        </w:rPr>
      </w:pPr>
    </w:p>
    <w:p w:rsidR="00741907" w:rsidRDefault="00741907" w:rsidP="00741907">
      <w:pPr>
        <w:numPr>
          <w:ilvl w:val="0"/>
          <w:numId w:val="2"/>
        </w:numPr>
        <w:jc w:val="both"/>
        <w:rPr>
          <w:rFonts w:ascii="Arial" w:hAnsi="Arial" w:cs="Arial"/>
          <w:b/>
        </w:rPr>
      </w:pPr>
      <w:r>
        <w:rPr>
          <w:rFonts w:ascii="Arial" w:hAnsi="Arial" w:cs="Arial"/>
          <w:b/>
        </w:rPr>
        <w:t>LV č. 702, kaštieľ, súp. č. 508</w:t>
      </w:r>
      <w:r>
        <w:rPr>
          <w:rFonts w:ascii="Arial" w:hAnsi="Arial" w:cs="Arial"/>
        </w:rPr>
        <w:t xml:space="preserve">, postavený na parcele č. 306 – </w:t>
      </w:r>
      <w:r>
        <w:rPr>
          <w:rFonts w:ascii="Arial" w:hAnsi="Arial" w:cs="Arial"/>
          <w:b/>
        </w:rPr>
        <w:t>národná kultúrna pamiatka v podiele 437/1944</w:t>
      </w:r>
    </w:p>
    <w:p w:rsidR="00741907" w:rsidRDefault="00741907" w:rsidP="00741907">
      <w:pPr>
        <w:ind w:left="720"/>
        <w:jc w:val="both"/>
        <w:rPr>
          <w:rFonts w:ascii="Arial" w:hAnsi="Arial" w:cs="Arial"/>
        </w:rPr>
      </w:pPr>
    </w:p>
    <w:p w:rsidR="00741907" w:rsidRDefault="00741907" w:rsidP="00741907">
      <w:pPr>
        <w:numPr>
          <w:ilvl w:val="0"/>
          <w:numId w:val="2"/>
        </w:numPr>
        <w:jc w:val="both"/>
        <w:rPr>
          <w:rFonts w:ascii="Arial" w:hAnsi="Arial" w:cs="Arial"/>
          <w:b/>
        </w:rPr>
      </w:pPr>
      <w:r>
        <w:rPr>
          <w:rFonts w:ascii="Arial" w:hAnsi="Arial" w:cs="Arial"/>
          <w:b/>
        </w:rPr>
        <w:t>LV č. 702, parc. č. 306</w:t>
      </w:r>
      <w:r>
        <w:rPr>
          <w:rFonts w:ascii="Arial" w:hAnsi="Arial" w:cs="Arial"/>
        </w:rPr>
        <w:t xml:space="preserve"> o výmere 15 617 m2, zastavané plochy a nádvoria – </w:t>
      </w:r>
      <w:r>
        <w:rPr>
          <w:rFonts w:ascii="Arial" w:hAnsi="Arial" w:cs="Arial"/>
          <w:b/>
        </w:rPr>
        <w:t>národná kultúrna pamiatka v podiele 437/1944</w:t>
      </w:r>
    </w:p>
    <w:p w:rsidR="00741907" w:rsidRDefault="00741907" w:rsidP="00741907">
      <w:pPr>
        <w:pStyle w:val="Odsekzoznamu"/>
        <w:rPr>
          <w:rFonts w:ascii="Arial" w:hAnsi="Arial" w:cs="Arial"/>
        </w:rPr>
      </w:pPr>
    </w:p>
    <w:p w:rsidR="00741907" w:rsidRDefault="00741907" w:rsidP="00741907">
      <w:pPr>
        <w:ind w:left="720"/>
        <w:jc w:val="both"/>
        <w:rPr>
          <w:rFonts w:ascii="Arial" w:hAnsi="Arial" w:cs="Arial"/>
        </w:rPr>
      </w:pPr>
    </w:p>
    <w:p w:rsidR="00741907" w:rsidRDefault="00741907" w:rsidP="00741907">
      <w:pPr>
        <w:numPr>
          <w:ilvl w:val="0"/>
          <w:numId w:val="2"/>
        </w:numPr>
        <w:jc w:val="both"/>
        <w:rPr>
          <w:rFonts w:ascii="Arial" w:hAnsi="Arial" w:cs="Arial"/>
          <w:b/>
        </w:rPr>
      </w:pPr>
      <w:r>
        <w:rPr>
          <w:rFonts w:ascii="Arial" w:hAnsi="Arial" w:cs="Arial"/>
          <w:b/>
        </w:rPr>
        <w:t>LV . 1408, parc. č. 313/2</w:t>
      </w:r>
      <w:r>
        <w:rPr>
          <w:rFonts w:ascii="Arial" w:hAnsi="Arial" w:cs="Arial"/>
        </w:rPr>
        <w:t xml:space="preserve"> o výmere 553 m2, vodné plochy – </w:t>
      </w:r>
      <w:r>
        <w:rPr>
          <w:rFonts w:ascii="Arial" w:hAnsi="Arial" w:cs="Arial"/>
          <w:b/>
        </w:rPr>
        <w:t>národná kultúrna pamiatka v podiele 437/1944</w:t>
      </w:r>
    </w:p>
    <w:p w:rsidR="00741907" w:rsidRDefault="00741907" w:rsidP="00741907">
      <w:pPr>
        <w:ind w:left="720"/>
        <w:jc w:val="both"/>
        <w:rPr>
          <w:rFonts w:ascii="Arial" w:hAnsi="Arial" w:cs="Arial"/>
        </w:rPr>
      </w:pPr>
    </w:p>
    <w:p w:rsidR="00741907" w:rsidRDefault="00741907" w:rsidP="00741907">
      <w:pPr>
        <w:numPr>
          <w:ilvl w:val="0"/>
          <w:numId w:val="2"/>
        </w:numPr>
        <w:jc w:val="both"/>
        <w:rPr>
          <w:rFonts w:ascii="Arial" w:hAnsi="Arial" w:cs="Arial"/>
          <w:b/>
        </w:rPr>
      </w:pPr>
      <w:r>
        <w:rPr>
          <w:rFonts w:ascii="Arial" w:hAnsi="Arial" w:cs="Arial"/>
          <w:b/>
        </w:rPr>
        <w:t>LV č. 1396, parc. č. 305/3</w:t>
      </w:r>
      <w:r>
        <w:rPr>
          <w:rFonts w:ascii="Arial" w:hAnsi="Arial" w:cs="Arial"/>
        </w:rPr>
        <w:t xml:space="preserve">, o výmere 17 106 m2, orná pôda – </w:t>
      </w:r>
      <w:r>
        <w:rPr>
          <w:rFonts w:ascii="Arial" w:hAnsi="Arial" w:cs="Arial"/>
          <w:b/>
        </w:rPr>
        <w:t>národná kultúrna pamiatka v podiele 437/1944</w:t>
      </w:r>
    </w:p>
    <w:p w:rsidR="00741907" w:rsidRDefault="00741907" w:rsidP="00741907">
      <w:pPr>
        <w:jc w:val="both"/>
        <w:rPr>
          <w:rFonts w:ascii="Arial" w:hAnsi="Arial" w:cs="Arial"/>
        </w:rPr>
      </w:pPr>
    </w:p>
    <w:p w:rsidR="00741907" w:rsidRDefault="00741907" w:rsidP="00741907">
      <w:pPr>
        <w:jc w:val="both"/>
        <w:rPr>
          <w:rFonts w:ascii="Arial" w:hAnsi="Arial" w:cs="Arial"/>
        </w:rPr>
      </w:pPr>
      <w:r>
        <w:rPr>
          <w:rFonts w:ascii="Arial" w:hAnsi="Arial" w:cs="Arial"/>
        </w:rPr>
        <w:t>podielovým  spoluvlastníkom v zmysle § 140 Občianskeho zákonníka</w:t>
      </w:r>
    </w:p>
    <w:p w:rsidR="00741907" w:rsidRDefault="00741907" w:rsidP="00741907">
      <w:pPr>
        <w:jc w:val="both"/>
        <w:rPr>
          <w:rFonts w:ascii="Arial" w:hAnsi="Arial" w:cs="Arial"/>
        </w:rPr>
      </w:pPr>
    </w:p>
    <w:p w:rsidR="00741907" w:rsidRDefault="00741907" w:rsidP="00741907">
      <w:pPr>
        <w:pStyle w:val="Odsekzoznamu"/>
        <w:numPr>
          <w:ilvl w:val="0"/>
          <w:numId w:val="3"/>
        </w:numPr>
        <w:jc w:val="both"/>
        <w:rPr>
          <w:rFonts w:ascii="Arial" w:hAnsi="Arial" w:cs="Arial"/>
          <w:b/>
        </w:rPr>
      </w:pPr>
      <w:r>
        <w:rPr>
          <w:rFonts w:ascii="Arial" w:hAnsi="Arial" w:cs="Arial"/>
          <w:b/>
        </w:rPr>
        <w:t xml:space="preserve">Ing. </w:t>
      </w:r>
      <w:proofErr w:type="spellStart"/>
      <w:r>
        <w:rPr>
          <w:rFonts w:ascii="Arial" w:hAnsi="Arial" w:cs="Arial"/>
          <w:b/>
        </w:rPr>
        <w:t>Krivosudská</w:t>
      </w:r>
      <w:proofErr w:type="spellEnd"/>
      <w:r>
        <w:rPr>
          <w:rFonts w:ascii="Arial" w:hAnsi="Arial" w:cs="Arial"/>
          <w:b/>
        </w:rPr>
        <w:t xml:space="preserve"> Ivana rod. Krištofíková, </w:t>
      </w:r>
      <w:proofErr w:type="spellStart"/>
      <w:r>
        <w:rPr>
          <w:rFonts w:ascii="Arial" w:hAnsi="Arial" w:cs="Arial"/>
          <w:b/>
        </w:rPr>
        <w:t>nar</w:t>
      </w:r>
      <w:proofErr w:type="spellEnd"/>
      <w:r>
        <w:rPr>
          <w:rFonts w:ascii="Arial" w:hAnsi="Arial" w:cs="Arial"/>
          <w:b/>
        </w:rPr>
        <w:t>. 19.09.1976</w:t>
      </w:r>
    </w:p>
    <w:p w:rsidR="00741907" w:rsidRDefault="00741907" w:rsidP="00741907">
      <w:pPr>
        <w:ind w:firstLine="708"/>
        <w:jc w:val="both"/>
        <w:rPr>
          <w:rFonts w:ascii="Arial" w:hAnsi="Arial" w:cs="Arial"/>
          <w:b/>
        </w:rPr>
      </w:pPr>
      <w:r>
        <w:rPr>
          <w:rFonts w:ascii="Arial" w:hAnsi="Arial" w:cs="Arial"/>
          <w:b/>
        </w:rPr>
        <w:t>Pražská č. 31</w:t>
      </w:r>
    </w:p>
    <w:p w:rsidR="00741907" w:rsidRDefault="00741907" w:rsidP="00741907">
      <w:pPr>
        <w:ind w:firstLine="708"/>
        <w:jc w:val="both"/>
        <w:rPr>
          <w:rFonts w:ascii="Arial" w:hAnsi="Arial" w:cs="Arial"/>
          <w:b/>
        </w:rPr>
      </w:pPr>
      <w:r>
        <w:rPr>
          <w:rFonts w:ascii="Arial" w:hAnsi="Arial" w:cs="Arial"/>
          <w:b/>
        </w:rPr>
        <w:t>811 04  B r a t i s l a v a</w:t>
      </w:r>
    </w:p>
    <w:p w:rsidR="00741907" w:rsidRDefault="00741907" w:rsidP="00741907">
      <w:pPr>
        <w:ind w:firstLine="708"/>
        <w:jc w:val="both"/>
        <w:rPr>
          <w:rFonts w:ascii="Arial" w:hAnsi="Arial" w:cs="Arial"/>
          <w:b/>
        </w:rPr>
      </w:pPr>
    </w:p>
    <w:p w:rsidR="00CA6198" w:rsidRDefault="00EF0EDA" w:rsidP="00741907">
      <w:pPr>
        <w:ind w:firstLine="708"/>
        <w:jc w:val="both"/>
        <w:rPr>
          <w:rFonts w:ascii="Arial" w:hAnsi="Arial" w:cs="Arial"/>
          <w:b/>
        </w:rPr>
      </w:pPr>
      <w:r>
        <w:rPr>
          <w:rFonts w:ascii="Arial" w:hAnsi="Arial" w:cs="Arial"/>
          <w:b/>
        </w:rPr>
        <w:t>v</w:t>
      </w:r>
      <w:r w:rsidR="00CA6198">
        <w:rPr>
          <w:rFonts w:ascii="Arial" w:hAnsi="Arial" w:cs="Arial"/>
          <w:b/>
        </w:rPr>
        <w:t> podiele 437/3888 za cenu 70.000,-€</w:t>
      </w:r>
    </w:p>
    <w:p w:rsidR="00EF0EDA" w:rsidRDefault="00EF0EDA" w:rsidP="00741907">
      <w:pPr>
        <w:ind w:firstLine="708"/>
        <w:jc w:val="both"/>
        <w:rPr>
          <w:rFonts w:ascii="Arial" w:hAnsi="Arial" w:cs="Arial"/>
          <w:b/>
        </w:rPr>
      </w:pPr>
    </w:p>
    <w:p w:rsidR="00741907" w:rsidRPr="00575EC0" w:rsidRDefault="00741907" w:rsidP="00575EC0">
      <w:pPr>
        <w:pStyle w:val="Odsekzoznamu"/>
        <w:numPr>
          <w:ilvl w:val="0"/>
          <w:numId w:val="3"/>
        </w:numPr>
        <w:jc w:val="both"/>
        <w:rPr>
          <w:rFonts w:ascii="Arial" w:hAnsi="Arial" w:cs="Arial"/>
          <w:b/>
        </w:rPr>
      </w:pPr>
      <w:r w:rsidRPr="00575EC0">
        <w:rPr>
          <w:rFonts w:ascii="Arial" w:hAnsi="Arial" w:cs="Arial"/>
          <w:b/>
        </w:rPr>
        <w:t xml:space="preserve">Ing. </w:t>
      </w:r>
      <w:proofErr w:type="spellStart"/>
      <w:r w:rsidRPr="00575EC0">
        <w:rPr>
          <w:rFonts w:ascii="Arial" w:hAnsi="Arial" w:cs="Arial"/>
          <w:b/>
        </w:rPr>
        <w:t>Krištofík</w:t>
      </w:r>
      <w:proofErr w:type="spellEnd"/>
      <w:r w:rsidRPr="00575EC0">
        <w:rPr>
          <w:rFonts w:ascii="Arial" w:hAnsi="Arial" w:cs="Arial"/>
          <w:b/>
        </w:rPr>
        <w:t xml:space="preserve"> Július rod. </w:t>
      </w:r>
      <w:proofErr w:type="spellStart"/>
      <w:r w:rsidRPr="00575EC0">
        <w:rPr>
          <w:rFonts w:ascii="Arial" w:hAnsi="Arial" w:cs="Arial"/>
          <w:b/>
        </w:rPr>
        <w:t>Krištofík</w:t>
      </w:r>
      <w:proofErr w:type="spellEnd"/>
      <w:r w:rsidRPr="00575EC0">
        <w:rPr>
          <w:rFonts w:ascii="Arial" w:hAnsi="Arial" w:cs="Arial"/>
          <w:b/>
        </w:rPr>
        <w:t xml:space="preserve">, </w:t>
      </w:r>
      <w:proofErr w:type="spellStart"/>
      <w:r w:rsidRPr="00575EC0">
        <w:rPr>
          <w:rFonts w:ascii="Arial" w:hAnsi="Arial" w:cs="Arial"/>
          <w:b/>
        </w:rPr>
        <w:t>nar</w:t>
      </w:r>
      <w:proofErr w:type="spellEnd"/>
      <w:r w:rsidRPr="00575EC0">
        <w:rPr>
          <w:rFonts w:ascii="Arial" w:hAnsi="Arial" w:cs="Arial"/>
          <w:b/>
        </w:rPr>
        <w:t>. 25.05.1979</w:t>
      </w:r>
    </w:p>
    <w:p w:rsidR="00741907" w:rsidRDefault="00741907" w:rsidP="00741907">
      <w:pPr>
        <w:ind w:firstLine="708"/>
        <w:jc w:val="both"/>
        <w:rPr>
          <w:rFonts w:ascii="Arial" w:hAnsi="Arial" w:cs="Arial"/>
          <w:b/>
        </w:rPr>
      </w:pPr>
      <w:r>
        <w:rPr>
          <w:rFonts w:ascii="Arial" w:hAnsi="Arial" w:cs="Arial"/>
          <w:b/>
        </w:rPr>
        <w:t>Pražská č. 31</w:t>
      </w:r>
    </w:p>
    <w:p w:rsidR="00741907" w:rsidRDefault="00741907" w:rsidP="00741907">
      <w:pPr>
        <w:ind w:firstLine="708"/>
        <w:jc w:val="both"/>
        <w:rPr>
          <w:rFonts w:ascii="Arial" w:hAnsi="Arial" w:cs="Arial"/>
          <w:b/>
        </w:rPr>
      </w:pPr>
      <w:r>
        <w:rPr>
          <w:rFonts w:ascii="Arial" w:hAnsi="Arial" w:cs="Arial"/>
          <w:b/>
        </w:rPr>
        <w:t>811 04  B r a t i s l a v a</w:t>
      </w:r>
    </w:p>
    <w:p w:rsidR="00741907" w:rsidRDefault="00741907" w:rsidP="00741907">
      <w:pPr>
        <w:jc w:val="both"/>
        <w:rPr>
          <w:rFonts w:ascii="Arial" w:hAnsi="Arial" w:cs="Arial"/>
          <w:b/>
        </w:rPr>
      </w:pPr>
    </w:p>
    <w:p w:rsidR="00F03762" w:rsidRDefault="00F03762" w:rsidP="00F03762">
      <w:pPr>
        <w:ind w:firstLine="708"/>
        <w:jc w:val="both"/>
        <w:rPr>
          <w:rFonts w:ascii="Arial" w:hAnsi="Arial" w:cs="Arial"/>
          <w:b/>
        </w:rPr>
      </w:pPr>
      <w:r>
        <w:rPr>
          <w:rFonts w:ascii="Arial" w:hAnsi="Arial" w:cs="Arial"/>
          <w:b/>
        </w:rPr>
        <w:t>v podiele 437/3888 za cenu 70.000,-€</w:t>
      </w:r>
    </w:p>
    <w:p w:rsidR="00045E3C" w:rsidRDefault="00045E3C" w:rsidP="00F03762">
      <w:pPr>
        <w:ind w:firstLine="708"/>
        <w:jc w:val="both"/>
        <w:rPr>
          <w:rFonts w:ascii="Arial" w:hAnsi="Arial" w:cs="Arial"/>
          <w:b/>
        </w:rPr>
      </w:pPr>
    </w:p>
    <w:p w:rsidR="00741907" w:rsidRDefault="00741907" w:rsidP="00741907">
      <w:pPr>
        <w:jc w:val="both"/>
        <w:rPr>
          <w:rFonts w:ascii="Arial" w:hAnsi="Arial" w:cs="Arial"/>
        </w:rPr>
      </w:pPr>
      <w:r>
        <w:rPr>
          <w:rFonts w:ascii="Arial" w:hAnsi="Arial" w:cs="Arial"/>
        </w:rPr>
        <w:t>s podmienkami:</w:t>
      </w:r>
    </w:p>
    <w:p w:rsidR="00741907" w:rsidRDefault="00741907" w:rsidP="00741907">
      <w:pPr>
        <w:jc w:val="both"/>
        <w:rPr>
          <w:rFonts w:ascii="Arial" w:hAnsi="Arial" w:cs="Arial"/>
          <w:b/>
        </w:rPr>
      </w:pPr>
    </w:p>
    <w:p w:rsidR="00741907" w:rsidRDefault="00741907" w:rsidP="00741907">
      <w:pPr>
        <w:pStyle w:val="Odsekzoznamu"/>
        <w:numPr>
          <w:ilvl w:val="0"/>
          <w:numId w:val="4"/>
        </w:numPr>
        <w:ind w:left="709" w:hanging="720"/>
        <w:contextualSpacing/>
        <w:jc w:val="both"/>
        <w:rPr>
          <w:rFonts w:ascii="Arial" w:hAnsi="Arial" w:cs="Arial"/>
          <w:b/>
        </w:rPr>
      </w:pPr>
      <w:r>
        <w:rPr>
          <w:rFonts w:ascii="Arial" w:hAnsi="Arial" w:cs="Arial"/>
        </w:rPr>
        <w:t>kupujúci podpíše kúpnu zmluvu do 60 dní od schválenia uznesenia v Zastupiteľstve Bratislavského samosprávneho kraja s tým, že ak v tejto lehote kupujúci nepodpíše kúpnu zmluvu uznesenie stráca platnosť,</w:t>
      </w:r>
    </w:p>
    <w:p w:rsidR="00741907" w:rsidRDefault="00741907" w:rsidP="00741907">
      <w:pPr>
        <w:pStyle w:val="Odsekzoznamu"/>
        <w:ind w:left="709"/>
        <w:contextualSpacing/>
        <w:jc w:val="both"/>
        <w:rPr>
          <w:rFonts w:ascii="Arial" w:hAnsi="Arial" w:cs="Arial"/>
          <w:b/>
        </w:rPr>
      </w:pPr>
    </w:p>
    <w:p w:rsidR="00741907" w:rsidRPr="00947360" w:rsidRDefault="00741907" w:rsidP="00741907">
      <w:pPr>
        <w:pStyle w:val="Odsekzoznamu"/>
        <w:numPr>
          <w:ilvl w:val="0"/>
          <w:numId w:val="4"/>
        </w:numPr>
        <w:tabs>
          <w:tab w:val="left" w:pos="0"/>
          <w:tab w:val="left" w:pos="426"/>
        </w:tabs>
        <w:jc w:val="both"/>
        <w:rPr>
          <w:rFonts w:ascii="Arial" w:hAnsi="Arial" w:cs="Arial"/>
        </w:rPr>
      </w:pPr>
      <w:r>
        <w:rPr>
          <w:rFonts w:ascii="Arial" w:hAnsi="Arial" w:cs="Arial"/>
        </w:rPr>
        <w:t>Kupujúci uhradí kúpnu cenu do 30 dní od podpísania uvedenej zml</w:t>
      </w:r>
      <w:r w:rsidR="000059CA">
        <w:rPr>
          <w:rFonts w:ascii="Arial" w:hAnsi="Arial" w:cs="Arial"/>
        </w:rPr>
        <w:t>uvy obidvoma zmluvnými stranami.</w:t>
      </w:r>
    </w:p>
    <w:p w:rsidR="007F20D8" w:rsidRPr="007F20D8" w:rsidRDefault="007F20D8" w:rsidP="007F20D8">
      <w:pPr>
        <w:ind w:left="2832"/>
        <w:jc w:val="both"/>
        <w:rPr>
          <w:rFonts w:ascii="Trebuchet MS" w:hAnsi="Trebuchet MS"/>
          <w:b/>
          <w:sz w:val="28"/>
          <w:szCs w:val="28"/>
        </w:rPr>
      </w:pPr>
      <w:r w:rsidRPr="007F20D8">
        <w:rPr>
          <w:rFonts w:ascii="Trebuchet MS" w:hAnsi="Trebuchet MS"/>
          <w:b/>
          <w:sz w:val="28"/>
          <w:szCs w:val="28"/>
        </w:rPr>
        <w:lastRenderedPageBreak/>
        <w:t>D ô v o d o v á   s p r á v a</w:t>
      </w:r>
    </w:p>
    <w:p w:rsidR="007F20D8" w:rsidRDefault="007F20D8" w:rsidP="00520141">
      <w:pPr>
        <w:jc w:val="both"/>
        <w:rPr>
          <w:rFonts w:ascii="Trebuchet MS" w:hAnsi="Trebuchet MS"/>
        </w:rPr>
      </w:pPr>
    </w:p>
    <w:p w:rsidR="007F20D8" w:rsidRDefault="007F20D8" w:rsidP="00520141">
      <w:pPr>
        <w:jc w:val="both"/>
        <w:rPr>
          <w:rFonts w:ascii="Trebuchet MS" w:hAnsi="Trebuchet MS"/>
        </w:rPr>
      </w:pPr>
    </w:p>
    <w:p w:rsidR="00520141" w:rsidRPr="00F674E9" w:rsidRDefault="000F614B" w:rsidP="00520141">
      <w:pPr>
        <w:jc w:val="both"/>
        <w:rPr>
          <w:rFonts w:ascii="Trebuchet MS" w:hAnsi="Trebuchet MS"/>
        </w:rPr>
      </w:pPr>
      <w:r>
        <w:rPr>
          <w:rFonts w:ascii="Trebuchet MS" w:hAnsi="Trebuchet MS"/>
        </w:rPr>
        <w:t>N</w:t>
      </w:r>
      <w:r w:rsidR="00520141" w:rsidRPr="00F674E9">
        <w:rPr>
          <w:rFonts w:ascii="Trebuchet MS" w:hAnsi="Trebuchet MS"/>
        </w:rPr>
        <w:t xml:space="preserve">ehnuteľný majetok – kaštieľ a priľahlé pozemky vo Veľkom Bieli je vedený Okresným úradom Senec, odborom katastrálnym,  v k. ú. Veľký Biel, okres Senec, obec Veľký Biel, na </w:t>
      </w:r>
    </w:p>
    <w:p w:rsidR="00520141" w:rsidRPr="00F674E9" w:rsidRDefault="00520141" w:rsidP="00520141">
      <w:pPr>
        <w:numPr>
          <w:ilvl w:val="0"/>
          <w:numId w:val="2"/>
        </w:numPr>
        <w:jc w:val="both"/>
        <w:rPr>
          <w:rFonts w:ascii="Trebuchet MS" w:hAnsi="Trebuchet MS"/>
        </w:rPr>
      </w:pPr>
      <w:r w:rsidRPr="00F674E9">
        <w:rPr>
          <w:rFonts w:ascii="Trebuchet MS" w:hAnsi="Trebuchet MS"/>
        </w:rPr>
        <w:t xml:space="preserve">LV č. </w:t>
      </w:r>
      <w:r w:rsidRPr="00F674E9">
        <w:rPr>
          <w:rFonts w:ascii="Trebuchet MS" w:hAnsi="Trebuchet MS"/>
          <w:b/>
        </w:rPr>
        <w:t>702</w:t>
      </w:r>
      <w:r w:rsidRPr="00F674E9">
        <w:rPr>
          <w:rFonts w:ascii="Trebuchet MS" w:hAnsi="Trebuchet MS"/>
        </w:rPr>
        <w:t>, kaštieľ, súp. č. 508, postavený na parcele č. 306 – národná kultúrna pamiatka</w:t>
      </w:r>
    </w:p>
    <w:p w:rsidR="00520141" w:rsidRPr="00F674E9" w:rsidRDefault="00520141" w:rsidP="00520141">
      <w:pPr>
        <w:numPr>
          <w:ilvl w:val="0"/>
          <w:numId w:val="2"/>
        </w:numPr>
        <w:jc w:val="both"/>
        <w:rPr>
          <w:rFonts w:ascii="Trebuchet MS" w:hAnsi="Trebuchet MS"/>
        </w:rPr>
      </w:pPr>
      <w:r w:rsidRPr="00F674E9">
        <w:rPr>
          <w:rFonts w:ascii="Trebuchet MS" w:hAnsi="Trebuchet MS"/>
        </w:rPr>
        <w:t xml:space="preserve">LV č. </w:t>
      </w:r>
      <w:r w:rsidRPr="00F674E9">
        <w:rPr>
          <w:rFonts w:ascii="Trebuchet MS" w:hAnsi="Trebuchet MS"/>
          <w:b/>
        </w:rPr>
        <w:t>702,</w:t>
      </w:r>
      <w:r w:rsidRPr="00F674E9">
        <w:rPr>
          <w:rFonts w:ascii="Trebuchet MS" w:hAnsi="Trebuchet MS"/>
        </w:rPr>
        <w:t xml:space="preserve">parc. č. 306 o výmere </w:t>
      </w:r>
      <w:smartTag w:uri="urn:schemas-microsoft-com:office:smarttags" w:element="metricconverter">
        <w:smartTagPr>
          <w:attr w:name="ProductID" w:val="15ﾠ617 m2"/>
        </w:smartTagPr>
        <w:r w:rsidRPr="00F674E9">
          <w:rPr>
            <w:rFonts w:ascii="Trebuchet MS" w:hAnsi="Trebuchet MS"/>
          </w:rPr>
          <w:t>15 617 m2</w:t>
        </w:r>
      </w:smartTag>
      <w:r w:rsidRPr="00F674E9">
        <w:rPr>
          <w:rFonts w:ascii="Trebuchet MS" w:hAnsi="Trebuchet MS"/>
        </w:rPr>
        <w:t>, zastavané plochy a nádvoria – národná kultúrna pamiatka</w:t>
      </w:r>
    </w:p>
    <w:p w:rsidR="00520141" w:rsidRPr="00F674E9" w:rsidRDefault="00520141" w:rsidP="00520141">
      <w:pPr>
        <w:numPr>
          <w:ilvl w:val="0"/>
          <w:numId w:val="2"/>
        </w:numPr>
        <w:jc w:val="both"/>
        <w:rPr>
          <w:rFonts w:ascii="Trebuchet MS" w:hAnsi="Trebuchet MS"/>
        </w:rPr>
      </w:pPr>
      <w:r w:rsidRPr="00F674E9">
        <w:rPr>
          <w:rFonts w:ascii="Trebuchet MS" w:hAnsi="Trebuchet MS"/>
        </w:rPr>
        <w:t xml:space="preserve">LV . </w:t>
      </w:r>
      <w:r w:rsidRPr="00F674E9">
        <w:rPr>
          <w:rFonts w:ascii="Trebuchet MS" w:hAnsi="Trebuchet MS"/>
          <w:b/>
        </w:rPr>
        <w:t>1408</w:t>
      </w:r>
      <w:r w:rsidRPr="00F674E9">
        <w:rPr>
          <w:rFonts w:ascii="Trebuchet MS" w:hAnsi="Trebuchet MS"/>
        </w:rPr>
        <w:t xml:space="preserve">, parc. č. 313/2 o výmere </w:t>
      </w:r>
      <w:smartTag w:uri="urn:schemas-microsoft-com:office:smarttags" w:element="metricconverter">
        <w:smartTagPr>
          <w:attr w:name="ProductID" w:val="553 m2"/>
        </w:smartTagPr>
        <w:r w:rsidRPr="00F674E9">
          <w:rPr>
            <w:rFonts w:ascii="Trebuchet MS" w:hAnsi="Trebuchet MS"/>
          </w:rPr>
          <w:t>553 m2</w:t>
        </w:r>
      </w:smartTag>
      <w:r w:rsidRPr="00F674E9">
        <w:rPr>
          <w:rFonts w:ascii="Trebuchet MS" w:hAnsi="Trebuchet MS"/>
        </w:rPr>
        <w:t>, vodné plochy – národná kultúrna pamiatka</w:t>
      </w:r>
    </w:p>
    <w:p w:rsidR="00520141" w:rsidRPr="00F674E9" w:rsidRDefault="00520141" w:rsidP="00520141">
      <w:pPr>
        <w:numPr>
          <w:ilvl w:val="0"/>
          <w:numId w:val="2"/>
        </w:numPr>
        <w:jc w:val="both"/>
        <w:rPr>
          <w:rFonts w:ascii="Trebuchet MS" w:hAnsi="Trebuchet MS"/>
        </w:rPr>
      </w:pPr>
      <w:r w:rsidRPr="00F674E9">
        <w:rPr>
          <w:rFonts w:ascii="Trebuchet MS" w:hAnsi="Trebuchet MS"/>
        </w:rPr>
        <w:t xml:space="preserve">LV č. </w:t>
      </w:r>
      <w:r w:rsidRPr="00F674E9">
        <w:rPr>
          <w:rFonts w:ascii="Trebuchet MS" w:hAnsi="Trebuchet MS"/>
          <w:b/>
        </w:rPr>
        <w:t>1396</w:t>
      </w:r>
      <w:r w:rsidRPr="00F674E9">
        <w:rPr>
          <w:rFonts w:ascii="Trebuchet MS" w:hAnsi="Trebuchet MS"/>
        </w:rPr>
        <w:t xml:space="preserve">, parc. č. 305/3, o výmere </w:t>
      </w:r>
      <w:smartTag w:uri="urn:schemas-microsoft-com:office:smarttags" w:element="metricconverter">
        <w:smartTagPr>
          <w:attr w:name="ProductID" w:val="17ﾠ106 m2"/>
        </w:smartTagPr>
        <w:r w:rsidRPr="00F674E9">
          <w:rPr>
            <w:rFonts w:ascii="Trebuchet MS" w:hAnsi="Trebuchet MS"/>
          </w:rPr>
          <w:t>17 106 m2</w:t>
        </w:r>
      </w:smartTag>
      <w:r w:rsidRPr="00F674E9">
        <w:rPr>
          <w:rFonts w:ascii="Trebuchet MS" w:hAnsi="Trebuchet MS"/>
        </w:rPr>
        <w:t>, orná pôda – národná kultúrna pamiatka</w:t>
      </w:r>
    </w:p>
    <w:p w:rsidR="00520141" w:rsidRDefault="00520141" w:rsidP="00520141">
      <w:pPr>
        <w:ind w:left="720"/>
        <w:jc w:val="both"/>
        <w:rPr>
          <w:rFonts w:ascii="Trebuchet MS" w:hAnsi="Trebuchet MS"/>
        </w:rPr>
      </w:pPr>
    </w:p>
    <w:p w:rsidR="00520141" w:rsidRPr="00055E30" w:rsidRDefault="00520141" w:rsidP="00520141">
      <w:pPr>
        <w:jc w:val="both"/>
        <w:rPr>
          <w:rFonts w:ascii="Trebuchet MS" w:hAnsi="Trebuchet MS" w:cs="Arial"/>
          <w:b/>
        </w:rPr>
      </w:pPr>
      <w:r w:rsidRPr="00F674E9">
        <w:rPr>
          <w:rFonts w:ascii="Trebuchet MS" w:hAnsi="Trebuchet MS" w:cs="Arial"/>
        </w:rPr>
        <w:t xml:space="preserve">Kaštieľ vo Veľkom Bieli je národnou kultúrnou pamiatkou, a preto v zmysle zákona č.49/2002 Z. z. o ochrane pamiatkového fondu v znení neskorších predpisov, a to </w:t>
      </w:r>
      <w:r w:rsidRPr="00F674E9">
        <w:rPr>
          <w:rStyle w:val="Siln"/>
          <w:rFonts w:ascii="Trebuchet MS" w:hAnsi="Trebuchet MS" w:cs="Arial"/>
          <w:color w:val="464646"/>
        </w:rPr>
        <w:t>§ 23</w:t>
      </w:r>
      <w:r w:rsidRPr="00F674E9">
        <w:rPr>
          <w:rFonts w:ascii="Trebuchet MS" w:hAnsi="Trebuchet MS" w:cs="Arial"/>
          <w:color w:val="464646"/>
        </w:rPr>
        <w:t xml:space="preserve">, </w:t>
      </w:r>
      <w:r w:rsidRPr="00F674E9">
        <w:rPr>
          <w:rFonts w:ascii="Trebuchet MS" w:hAnsi="Trebuchet MS" w:cs="Arial"/>
          <w:b/>
          <w:color w:val="464646"/>
        </w:rPr>
        <w:t>je vyšší územný celok povinný písomne ju ponúknuť z titulu predkupného práva na kúpu štátu, zastúpeného Ministerstvom kultúry SR. Listom č. MK 2975/2012-51/16569 zo dňa 12.11.2012 nám ministerstvo oznámilo, že ponuku na kúpu neprijíma</w:t>
      </w:r>
      <w:r w:rsidRPr="00055E30">
        <w:rPr>
          <w:rFonts w:ascii="Trebuchet MS" w:hAnsi="Trebuchet MS" w:cs="Arial"/>
          <w:b/>
          <w:color w:val="464646"/>
        </w:rPr>
        <w:t>.</w:t>
      </w:r>
    </w:p>
    <w:p w:rsidR="00520141" w:rsidRDefault="00520141" w:rsidP="00520141">
      <w:pPr>
        <w:jc w:val="both"/>
        <w:rPr>
          <w:rFonts w:ascii="Trebuchet MS" w:hAnsi="Trebuchet MS"/>
        </w:rPr>
      </w:pPr>
      <w:r w:rsidRPr="00F674E9">
        <w:rPr>
          <w:rFonts w:ascii="Trebuchet MS" w:hAnsi="Trebuchet MS"/>
        </w:rPr>
        <w:t>Uvedená nehnuteľnosť je v podielovom spoluvlastníctve viacerých podielových</w:t>
      </w:r>
      <w:r>
        <w:rPr>
          <w:rFonts w:ascii="Trebuchet MS" w:hAnsi="Trebuchet MS"/>
        </w:rPr>
        <w:t xml:space="preserve"> </w:t>
      </w:r>
      <w:r w:rsidRPr="00F674E9">
        <w:rPr>
          <w:rFonts w:ascii="Trebuchet MS" w:hAnsi="Trebuchet MS"/>
        </w:rPr>
        <w:t xml:space="preserve">spoluvlastníkov. Percentuálny podiel vlastníctva BSK vo výške </w:t>
      </w:r>
      <w:r w:rsidRPr="00F674E9">
        <w:rPr>
          <w:rFonts w:ascii="Trebuchet MS" w:hAnsi="Trebuchet MS"/>
          <w:b/>
          <w:u w:val="single"/>
        </w:rPr>
        <w:t>437/1944 k celku predstavuje 22,48 % podielu na celku</w:t>
      </w:r>
      <w:r w:rsidRPr="00F674E9">
        <w:rPr>
          <w:rFonts w:ascii="Trebuchet MS" w:hAnsi="Trebuchet MS"/>
        </w:rPr>
        <w:t>.</w:t>
      </w:r>
      <w:r>
        <w:rPr>
          <w:rFonts w:ascii="Trebuchet MS" w:hAnsi="Trebuchet MS"/>
        </w:rPr>
        <w:t xml:space="preserve"> </w:t>
      </w:r>
    </w:p>
    <w:p w:rsidR="00520141" w:rsidRDefault="00520141" w:rsidP="00520141">
      <w:pPr>
        <w:jc w:val="both"/>
        <w:rPr>
          <w:rFonts w:ascii="Trebuchet MS" w:hAnsi="Trebuchet MS" w:cs="Arial"/>
        </w:rPr>
      </w:pPr>
      <w:r>
        <w:rPr>
          <w:rFonts w:ascii="Trebuchet MS" w:hAnsi="Trebuchet MS" w:cs="Arial"/>
        </w:rPr>
        <w:t xml:space="preserve">Predmetný majetok bol uznesením Zastupiteľstva Bratislavského samosprávneho kraja č. </w:t>
      </w:r>
      <w:r>
        <w:rPr>
          <w:rFonts w:ascii="Trebuchet MS" w:hAnsi="Trebuchet MS" w:cs="Arial"/>
          <w:b/>
        </w:rPr>
        <w:t>62/2010</w:t>
      </w:r>
      <w:r>
        <w:rPr>
          <w:rFonts w:ascii="Trebuchet MS" w:hAnsi="Trebuchet MS" w:cs="Arial"/>
        </w:rPr>
        <w:t xml:space="preserve"> zo dňa </w:t>
      </w:r>
      <w:r>
        <w:rPr>
          <w:rFonts w:ascii="Trebuchet MS" w:hAnsi="Trebuchet MS" w:cs="Arial"/>
          <w:b/>
        </w:rPr>
        <w:t>1.10.2010</w:t>
      </w:r>
      <w:r>
        <w:rPr>
          <w:rFonts w:ascii="Trebuchet MS" w:hAnsi="Trebuchet MS" w:cs="Arial"/>
          <w:u w:val="single"/>
        </w:rPr>
        <w:t>vyhlásený za prebytočný a  zároveň bol schválený predaj prebytočného majetku formou obchodnej verejnej súťaže.</w:t>
      </w:r>
    </w:p>
    <w:p w:rsidR="00520141" w:rsidRDefault="00520141" w:rsidP="00520141">
      <w:pPr>
        <w:jc w:val="both"/>
        <w:rPr>
          <w:rFonts w:ascii="Trebuchet MS" w:hAnsi="Trebuchet MS" w:cs="Arial"/>
        </w:rPr>
      </w:pPr>
    </w:p>
    <w:p w:rsidR="00520141" w:rsidRDefault="00520141" w:rsidP="00520141">
      <w:pPr>
        <w:pStyle w:val="Odsekzoznamu"/>
        <w:numPr>
          <w:ilvl w:val="0"/>
          <w:numId w:val="2"/>
        </w:numPr>
        <w:jc w:val="both"/>
        <w:rPr>
          <w:rFonts w:ascii="Trebuchet MS" w:hAnsi="Trebuchet MS" w:cs="Arial"/>
        </w:rPr>
      </w:pPr>
      <w:r>
        <w:rPr>
          <w:rFonts w:ascii="Trebuchet MS" w:hAnsi="Trebuchet MS" w:cs="Arial"/>
        </w:rPr>
        <w:t xml:space="preserve">nehnuteľnosť ponúkaná na predaj formou obchodnej verejnej súťaže nebola </w:t>
      </w:r>
    </w:p>
    <w:p w:rsidR="00520141" w:rsidRDefault="00520141" w:rsidP="00520141">
      <w:pPr>
        <w:pStyle w:val="Odsekzoznamu"/>
        <w:numPr>
          <w:ilvl w:val="0"/>
          <w:numId w:val="2"/>
        </w:numPr>
        <w:jc w:val="both"/>
        <w:rPr>
          <w:rFonts w:ascii="Trebuchet MS" w:hAnsi="Trebuchet MS" w:cs="Arial"/>
        </w:rPr>
      </w:pPr>
      <w:r>
        <w:rPr>
          <w:rFonts w:ascii="Trebuchet MS" w:hAnsi="Trebuchet MS" w:cs="Arial"/>
        </w:rPr>
        <w:t>predaná ani po štyroch kolách OVS.</w:t>
      </w:r>
    </w:p>
    <w:p w:rsidR="00520141" w:rsidRDefault="00520141" w:rsidP="00520141">
      <w:pPr>
        <w:pStyle w:val="Odsekzoznamu"/>
        <w:jc w:val="both"/>
        <w:rPr>
          <w:rFonts w:ascii="Trebuchet MS" w:hAnsi="Trebuchet MS" w:cs="Arial"/>
        </w:rPr>
      </w:pPr>
    </w:p>
    <w:p w:rsidR="00520141" w:rsidRPr="00F674E9" w:rsidRDefault="00520141" w:rsidP="00520141">
      <w:pPr>
        <w:jc w:val="both"/>
        <w:rPr>
          <w:rFonts w:ascii="Trebuchet MS" w:hAnsi="Trebuchet MS" w:cs="Arial"/>
        </w:rPr>
      </w:pPr>
      <w:r w:rsidRPr="00F674E9">
        <w:rPr>
          <w:rFonts w:ascii="Trebuchet MS" w:hAnsi="Trebuchet MS" w:cs="Arial"/>
        </w:rPr>
        <w:t xml:space="preserve">Posledná OVS bola vyhlásená v termíne od 24.09.2012 do 31.10.2012. </w:t>
      </w:r>
    </w:p>
    <w:p w:rsidR="00520141" w:rsidRPr="00F674E9" w:rsidRDefault="00520141" w:rsidP="00520141">
      <w:pPr>
        <w:jc w:val="both"/>
        <w:rPr>
          <w:rFonts w:ascii="Trebuchet MS" w:hAnsi="Trebuchet MS" w:cs="Arial"/>
        </w:rPr>
      </w:pPr>
      <w:r w:rsidRPr="00F674E9">
        <w:rPr>
          <w:rFonts w:ascii="Trebuchet MS" w:hAnsi="Trebuchet MS" w:cs="Arial"/>
        </w:rPr>
        <w:t xml:space="preserve">Do súťaže sa prihlásil ako fyzická osoba p. Róbert Vydra, trvale bytom Teplička nad Váhom.  </w:t>
      </w:r>
    </w:p>
    <w:p w:rsidR="00520141" w:rsidRPr="00F674E9" w:rsidRDefault="00520141" w:rsidP="00520141">
      <w:pPr>
        <w:jc w:val="both"/>
        <w:rPr>
          <w:rFonts w:ascii="Trebuchet MS" w:hAnsi="Trebuchet MS" w:cs="Arial"/>
        </w:rPr>
      </w:pPr>
      <w:r w:rsidRPr="00F674E9">
        <w:rPr>
          <w:rFonts w:ascii="Trebuchet MS" w:hAnsi="Trebuchet MS" w:cs="Arial"/>
        </w:rPr>
        <w:t>Na zasadnutí komisie na vyhodnotenie OVS dňa 31.10.2012 bol komisii doručený súťažný návrh p. Vydru na kúpu majetkového podielu vo vlastníctve BSK za kúpnu cenu 125.000,-€. Komisia odporučila predložiť materiál na rokovanie zastupiteľstva BSK.</w:t>
      </w:r>
    </w:p>
    <w:p w:rsidR="00520141" w:rsidRPr="00F674E9" w:rsidRDefault="00520141" w:rsidP="00520141">
      <w:pPr>
        <w:jc w:val="both"/>
        <w:rPr>
          <w:rFonts w:ascii="Trebuchet MS" w:hAnsi="Trebuchet MS" w:cs="Arial"/>
        </w:rPr>
      </w:pPr>
      <w:r w:rsidRPr="00F674E9">
        <w:rPr>
          <w:rFonts w:ascii="Trebuchet MS" w:hAnsi="Trebuchet MS" w:cs="Arial"/>
        </w:rPr>
        <w:t xml:space="preserve">Následne úradom BSK boli oslovení všetci podieloví spoluvlastníci v zmysle § 140 Občianskeho  zákonníka na uplatnenie si predkupného práva. </w:t>
      </w:r>
    </w:p>
    <w:p w:rsidR="00520141" w:rsidRPr="00F674E9" w:rsidRDefault="00520141" w:rsidP="00520141">
      <w:pPr>
        <w:jc w:val="both"/>
        <w:rPr>
          <w:rFonts w:ascii="Trebuchet MS" w:hAnsi="Trebuchet MS" w:cs="Arial"/>
        </w:rPr>
      </w:pPr>
      <w:r w:rsidRPr="00F674E9">
        <w:rPr>
          <w:rFonts w:ascii="Trebuchet MS" w:hAnsi="Trebuchet MS" w:cs="Arial"/>
        </w:rPr>
        <w:t>Dňa 15.11.20112 si predkupné právo uplatnila p. Hana Krištofíková, trvale bytom Pražská 31, Bratislava. V konečnej fáze bol materiál stiahnutý z rokovania zastupiteľstva dňa 7.12.2012.</w:t>
      </w:r>
    </w:p>
    <w:p w:rsidR="00520141" w:rsidRDefault="00520141" w:rsidP="00520141">
      <w:pPr>
        <w:ind w:firstLine="720"/>
        <w:jc w:val="both"/>
        <w:rPr>
          <w:rFonts w:ascii="Trebuchet MS" w:hAnsi="Trebuchet MS"/>
        </w:rPr>
      </w:pPr>
      <w:r w:rsidRPr="00F674E9">
        <w:rPr>
          <w:rFonts w:ascii="Trebuchet MS" w:hAnsi="Trebuchet MS"/>
        </w:rPr>
        <w:t xml:space="preserve"> Po rokoch chátrania je toho času kaštieľ v zlom technickom stave. Pôvodne bol objekt sídlom DSS v zriaďovateľskej pôsobnosti  BSK, a to do roku 2005. Od uvedeného obdobia je kaštieľ prázdny. Dochádza v ňom k neustálym krádežiam čohokoľvek, čo sa dá speňažiť v zberných surovinách. Bola takto rozobratá a rozkradnutá kotolňa, na viacerých chodbách došlo dokonca k vytrhaniu elektrických káblov zo steny. Snahou väčšinových spoluvlastníkov je organizovať  </w:t>
      </w:r>
      <w:r w:rsidRPr="00F674E9">
        <w:rPr>
          <w:rFonts w:ascii="Trebuchet MS" w:hAnsi="Trebuchet MS"/>
        </w:rPr>
        <w:lastRenderedPageBreak/>
        <w:t>v objekte čo možno najväčšie množstvo spoločenských a kultúrnych podujatí a vzbudiť tak záujem širšej verejnosti o záchranu národnej kultúrnej pamiatky</w:t>
      </w:r>
      <w:r>
        <w:rPr>
          <w:rFonts w:ascii="Trebuchet MS" w:hAnsi="Trebuchet MS"/>
        </w:rPr>
        <w:t>.</w:t>
      </w:r>
    </w:p>
    <w:p w:rsidR="00520141" w:rsidRPr="00BF5884" w:rsidRDefault="00520141" w:rsidP="00520141">
      <w:pPr>
        <w:jc w:val="both"/>
        <w:rPr>
          <w:rFonts w:ascii="Trebuchet MS" w:hAnsi="Trebuchet MS" w:cs="Arial"/>
        </w:rPr>
      </w:pPr>
      <w:r w:rsidRPr="00BF5884">
        <w:rPr>
          <w:rFonts w:ascii="Trebuchet MS" w:hAnsi="Trebuchet MS" w:cs="Arial"/>
        </w:rPr>
        <w:t>Trend znehodnocovania majetku je veľmi negatívny čo dokladujú aj znalecké posudky:</w:t>
      </w:r>
    </w:p>
    <w:p w:rsidR="00520141" w:rsidRPr="00BF5884" w:rsidRDefault="00520141" w:rsidP="00520141">
      <w:pPr>
        <w:jc w:val="both"/>
        <w:rPr>
          <w:rFonts w:ascii="Trebuchet MS" w:hAnsi="Trebuchet MS"/>
        </w:rPr>
      </w:pPr>
      <w:r w:rsidRPr="00BF5884">
        <w:rPr>
          <w:rFonts w:ascii="Trebuchet MS" w:hAnsi="Trebuchet MS"/>
        </w:rPr>
        <w:t>Rok 2006</w:t>
      </w:r>
      <w:r w:rsidRPr="00BF5884">
        <w:rPr>
          <w:rFonts w:ascii="Trebuchet MS" w:hAnsi="Trebuchet MS"/>
        </w:rPr>
        <w:tab/>
        <w:t>celková cena objektu - 2 400 000 € - podiel BSK 540 000 €</w:t>
      </w:r>
    </w:p>
    <w:p w:rsidR="00520141" w:rsidRPr="00BF5884" w:rsidRDefault="00520141" w:rsidP="00520141">
      <w:pPr>
        <w:jc w:val="both"/>
        <w:rPr>
          <w:rFonts w:ascii="Trebuchet MS" w:hAnsi="Trebuchet MS"/>
        </w:rPr>
      </w:pPr>
      <w:r w:rsidRPr="00BF5884">
        <w:rPr>
          <w:rFonts w:ascii="Trebuchet MS" w:hAnsi="Trebuchet MS"/>
        </w:rPr>
        <w:t>Rok 2009</w:t>
      </w:r>
      <w:r w:rsidRPr="00BF5884">
        <w:rPr>
          <w:rFonts w:ascii="Trebuchet MS" w:hAnsi="Trebuchet MS"/>
        </w:rPr>
        <w:tab/>
        <w:t>celková cena objektu - 1 640 000 € - podiel BSK 368 000 €</w:t>
      </w:r>
    </w:p>
    <w:p w:rsidR="00520141" w:rsidRPr="00BF5884" w:rsidRDefault="00520141" w:rsidP="00520141">
      <w:pPr>
        <w:jc w:val="both"/>
        <w:rPr>
          <w:rFonts w:ascii="Trebuchet MS" w:hAnsi="Trebuchet MS"/>
        </w:rPr>
      </w:pPr>
      <w:r w:rsidRPr="00BF5884">
        <w:rPr>
          <w:rFonts w:ascii="Trebuchet MS" w:hAnsi="Trebuchet MS"/>
        </w:rPr>
        <w:t>Rok 2012</w:t>
      </w:r>
      <w:r w:rsidRPr="00BF5884">
        <w:rPr>
          <w:rFonts w:ascii="Trebuchet MS" w:hAnsi="Trebuchet MS"/>
        </w:rPr>
        <w:tab/>
        <w:t>celková cena objektu - 1 090 000 € - podiel BSK 245 000 €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Hodnoty podielu neustále klesajú a nie je v záujme BSK investovať do majetku, ktorý je pre BSK prebytočný. Zotrvanie v uvedenom trende môže pôsobiť na informovanú verejnosť ako plytvanie resp. neefektívne nakladanie s verejnými zdrojmi financií. Prípadné ďalšie odďaľovanie predaja predmetného majetkového podielu bude generovať ďalšie náklady, ktoré len zaťažia hospodárenie BSK bez žiadneho spätného prínosu. Na základe zistení od majiteľa väčšinového podielu, ešte v tomto roku 2014 bude nutné riešiť a tým pádom financovať nasledujúce práce.</w:t>
      </w:r>
    </w:p>
    <w:p w:rsidR="00520141" w:rsidRPr="00BF5884" w:rsidRDefault="00520141" w:rsidP="00520141">
      <w:pPr>
        <w:pStyle w:val="Bezriadkovania"/>
        <w:jc w:val="both"/>
        <w:rPr>
          <w:rFonts w:ascii="Trebuchet MS" w:hAnsi="Trebuchet MS" w:cs="Arial"/>
          <w:sz w:val="24"/>
          <w:szCs w:val="24"/>
        </w:rPr>
      </w:pPr>
    </w:p>
    <w:p w:rsidR="00520141" w:rsidRPr="00BF5884" w:rsidRDefault="00376E56" w:rsidP="00520141">
      <w:pPr>
        <w:pStyle w:val="Bezriadkovania"/>
        <w:pBdr>
          <w:bottom w:val="single" w:sz="8" w:space="1" w:color="auto"/>
        </w:pBdr>
        <w:jc w:val="both"/>
        <w:rPr>
          <w:rFonts w:ascii="Trebuchet MS" w:hAnsi="Trebuchet MS" w:cs="Arial"/>
          <w:sz w:val="24"/>
          <w:szCs w:val="24"/>
        </w:rPr>
      </w:pPr>
      <w:r w:rsidRPr="00BF5884">
        <w:rPr>
          <w:rFonts w:ascii="Trebuchet MS" w:hAnsi="Trebuchet MS" w:cs="Arial"/>
          <w:sz w:val="24"/>
          <w:szCs w:val="24"/>
        </w:rPr>
        <w:t>Vynaložené náklady ešte nevyú</w:t>
      </w:r>
      <w:r w:rsidR="00520141" w:rsidRPr="00BF5884">
        <w:rPr>
          <w:rFonts w:ascii="Trebuchet MS" w:hAnsi="Trebuchet MS" w:cs="Arial"/>
          <w:sz w:val="24"/>
          <w:szCs w:val="24"/>
        </w:rPr>
        <w:t>čtované za 06 - 09/ 2014:</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náklady spolu</w:t>
      </w:r>
      <w:r w:rsidRPr="00BF5884">
        <w:rPr>
          <w:rFonts w:ascii="Trebuchet MS" w:hAnsi="Trebuchet MS" w:cs="Arial"/>
          <w:sz w:val="24"/>
          <w:szCs w:val="24"/>
        </w:rPr>
        <w:tab/>
      </w:r>
      <w:r w:rsidRPr="00BF5884">
        <w:rPr>
          <w:rFonts w:ascii="Trebuchet MS" w:hAnsi="Trebuchet MS" w:cs="Arial"/>
          <w:sz w:val="24"/>
          <w:szCs w:val="24"/>
        </w:rPr>
        <w:tab/>
        <w:t>z toho BSK</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Kábel, i - center</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364,37 €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81,91 €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oprava odkvapov</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248,51 €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55,86 €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kosenie, benzín</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860,01 €</w:t>
      </w:r>
      <w:r w:rsidRPr="00BF5884">
        <w:rPr>
          <w:rFonts w:ascii="Trebuchet MS" w:hAnsi="Trebuchet MS" w:cs="Arial"/>
          <w:sz w:val="24"/>
          <w:szCs w:val="24"/>
        </w:rPr>
        <w:tab/>
      </w:r>
      <w:r w:rsidRPr="00BF5884">
        <w:rPr>
          <w:rFonts w:ascii="Trebuchet MS" w:hAnsi="Trebuchet MS" w:cs="Arial"/>
          <w:sz w:val="24"/>
          <w:szCs w:val="24"/>
        </w:rPr>
        <w:tab/>
        <w:t xml:space="preserve">         193,33 €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archív, skenovanie k výskumu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318,00 €</w:t>
      </w:r>
      <w:r w:rsidRPr="00BF5884">
        <w:rPr>
          <w:rFonts w:ascii="Trebuchet MS" w:hAnsi="Trebuchet MS" w:cs="Arial"/>
          <w:sz w:val="24"/>
          <w:szCs w:val="24"/>
        </w:rPr>
        <w:tab/>
        <w:t xml:space="preserve"> </w:t>
      </w:r>
      <w:r w:rsidRPr="00BF5884">
        <w:rPr>
          <w:rFonts w:ascii="Trebuchet MS" w:hAnsi="Trebuchet MS" w:cs="Arial"/>
          <w:sz w:val="24"/>
          <w:szCs w:val="24"/>
        </w:rPr>
        <w:tab/>
      </w:r>
      <w:r w:rsidRPr="00BF5884">
        <w:rPr>
          <w:rFonts w:ascii="Trebuchet MS" w:hAnsi="Trebuchet MS" w:cs="Arial"/>
          <w:sz w:val="24"/>
          <w:szCs w:val="24"/>
        </w:rPr>
        <w:tab/>
        <w:t xml:space="preserve"> 71,49 €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ROTEL - vysokozdvižná plošina</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348,00 €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78,23 €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ALDEVAN oprava strechy</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175,00 €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39,34 €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ZSE preddavky</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80,00 €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17,98 €</w:t>
      </w:r>
    </w:p>
    <w:p w:rsidR="00520141" w:rsidRPr="00BF5884" w:rsidRDefault="00520141" w:rsidP="00520141">
      <w:pPr>
        <w:pStyle w:val="Bezriadkovania"/>
        <w:pBdr>
          <w:bottom w:val="single" w:sz="8" w:space="1" w:color="auto"/>
        </w:pBdr>
        <w:jc w:val="both"/>
        <w:rPr>
          <w:rFonts w:ascii="Trebuchet MS" w:hAnsi="Trebuchet MS" w:cs="Arial"/>
          <w:sz w:val="24"/>
          <w:szCs w:val="24"/>
        </w:rPr>
      </w:pPr>
      <w:r w:rsidRPr="00BF5884">
        <w:rPr>
          <w:rFonts w:ascii="Trebuchet MS" w:hAnsi="Trebuchet MS" w:cs="Arial"/>
          <w:sz w:val="24"/>
          <w:szCs w:val="24"/>
        </w:rPr>
        <w:t>prenájom kontajneru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170,00 €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38,22 €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SPOLU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2 563,89€</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576,36€</w:t>
      </w:r>
    </w:p>
    <w:p w:rsidR="00520141" w:rsidRPr="00BF5884" w:rsidRDefault="00520141" w:rsidP="00520141">
      <w:pPr>
        <w:pStyle w:val="Bezriadkovania"/>
        <w:jc w:val="both"/>
        <w:rPr>
          <w:rFonts w:ascii="Trebuchet MS" w:hAnsi="Trebuchet MS" w:cs="Arial"/>
          <w:sz w:val="24"/>
          <w:szCs w:val="24"/>
        </w:rPr>
      </w:pP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Do konca roka 2014 bude potrebné zrealizovať nasledovné práce, ktoré vygenerujú ďalšie náklady:</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náklady spolu</w:t>
      </w:r>
      <w:r w:rsidRPr="00BF5884">
        <w:rPr>
          <w:rFonts w:ascii="Trebuchet MS" w:hAnsi="Trebuchet MS" w:cs="Arial"/>
          <w:sz w:val="24"/>
          <w:szCs w:val="24"/>
        </w:rPr>
        <w:tab/>
      </w:r>
      <w:r w:rsidRPr="00BF5884">
        <w:rPr>
          <w:rFonts w:ascii="Trebuchet MS" w:hAnsi="Trebuchet MS" w:cs="Arial"/>
          <w:sz w:val="24"/>
          <w:szCs w:val="24"/>
        </w:rPr>
        <w:tab/>
        <w:t>z toho BSK</w:t>
      </w:r>
    </w:p>
    <w:p w:rsidR="00520141" w:rsidRPr="00BF5884" w:rsidRDefault="00520141" w:rsidP="00520141">
      <w:pPr>
        <w:pStyle w:val="Bezriadkovania"/>
        <w:jc w:val="both"/>
        <w:rPr>
          <w:rFonts w:ascii="Trebuchet MS" w:hAnsi="Trebuchet MS" w:cs="Arial"/>
          <w:sz w:val="24"/>
          <w:szCs w:val="24"/>
        </w:rPr>
      </w:pP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výmena strešnej krytiny na hosp. budove</w:t>
      </w:r>
      <w:r w:rsidRPr="00BF5884">
        <w:rPr>
          <w:rFonts w:ascii="Trebuchet MS" w:hAnsi="Trebuchet MS" w:cs="Arial"/>
          <w:sz w:val="24"/>
          <w:szCs w:val="24"/>
        </w:rPr>
        <w:tab/>
        <w:t>25 867,20 €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5 814,95 €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oprava časti strechy kaštieľa</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2 000,00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449,60 €</w:t>
      </w:r>
    </w:p>
    <w:p w:rsidR="00520141" w:rsidRPr="00BF5884" w:rsidRDefault="00520141" w:rsidP="00520141">
      <w:pPr>
        <w:pStyle w:val="Bezriadkovania"/>
        <w:rPr>
          <w:rFonts w:ascii="Trebuchet MS" w:hAnsi="Trebuchet MS" w:cs="Arial"/>
          <w:sz w:val="24"/>
          <w:szCs w:val="24"/>
        </w:rPr>
      </w:pPr>
      <w:proofErr w:type="spellStart"/>
      <w:r w:rsidRPr="00BF5884">
        <w:rPr>
          <w:rFonts w:ascii="Trebuchet MS" w:hAnsi="Trebuchet MS" w:cs="Arial"/>
          <w:sz w:val="24"/>
          <w:szCs w:val="24"/>
        </w:rPr>
        <w:t>M-arte</w:t>
      </w:r>
      <w:proofErr w:type="spellEnd"/>
      <w:r w:rsidRPr="00BF5884">
        <w:rPr>
          <w:rFonts w:ascii="Trebuchet MS" w:hAnsi="Trebuchet MS" w:cs="Arial"/>
          <w:sz w:val="24"/>
          <w:szCs w:val="24"/>
        </w:rPr>
        <w:t>, výskum - doplatok</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4 970,00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1 117,26 €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výrub stromu - topoľ</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1 800,00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404,64 €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vyrezávanie suchých a invazívnych stromov</w:t>
      </w:r>
      <w:r w:rsidRPr="00BF5884">
        <w:rPr>
          <w:rFonts w:ascii="Trebuchet MS" w:hAnsi="Trebuchet MS" w:cs="Arial"/>
          <w:sz w:val="24"/>
          <w:szCs w:val="24"/>
        </w:rPr>
        <w:tab/>
        <w:t>1 500,00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337,20 €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obitie fasádnej omietky- sokel</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5 000,00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1 124,00 €</w:t>
      </w:r>
    </w:p>
    <w:p w:rsidR="00520141" w:rsidRPr="00BF5884" w:rsidRDefault="00520141" w:rsidP="00520141">
      <w:pPr>
        <w:pStyle w:val="Bezriadkovania"/>
        <w:pBdr>
          <w:bottom w:val="single" w:sz="8" w:space="1" w:color="auto"/>
        </w:pBdr>
        <w:rPr>
          <w:rFonts w:ascii="Trebuchet MS" w:hAnsi="Trebuchet MS" w:cs="Arial"/>
          <w:sz w:val="24"/>
          <w:szCs w:val="24"/>
        </w:rPr>
      </w:pPr>
      <w:r w:rsidRPr="00BF5884">
        <w:rPr>
          <w:rFonts w:ascii="Trebuchet MS" w:hAnsi="Trebuchet MS" w:cs="Arial"/>
          <w:sz w:val="24"/>
          <w:szCs w:val="24"/>
        </w:rPr>
        <w:t>drobné náklady na opravy</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2 000,00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449,60 €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SPOLU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43 137,20 €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9 697,24 €</w:t>
      </w:r>
    </w:p>
    <w:p w:rsidR="00520141" w:rsidRPr="00BF5884" w:rsidRDefault="00520141" w:rsidP="00520141">
      <w:pPr>
        <w:pStyle w:val="Bezriadkovania"/>
        <w:rPr>
          <w:rFonts w:ascii="Trebuchet MS" w:hAnsi="Trebuchet MS" w:cs="Arial"/>
          <w:sz w:val="24"/>
          <w:szCs w:val="24"/>
        </w:rPr>
      </w:pP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V budúcom roku 2015 sú plánované ďalšie práce na revitalizáciu kaštieľa, ktoré vygenerujú ďalšie náklady:</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náklady spolu</w:t>
      </w:r>
      <w:r w:rsidRPr="00BF5884">
        <w:rPr>
          <w:rFonts w:ascii="Trebuchet MS" w:hAnsi="Trebuchet MS" w:cs="Arial"/>
          <w:sz w:val="24"/>
          <w:szCs w:val="24"/>
        </w:rPr>
        <w:tab/>
      </w:r>
      <w:r w:rsidRPr="00BF5884">
        <w:rPr>
          <w:rFonts w:ascii="Trebuchet MS" w:hAnsi="Trebuchet MS" w:cs="Arial"/>
          <w:sz w:val="24"/>
          <w:szCs w:val="24"/>
        </w:rPr>
        <w:tab/>
        <w:t>z toho BSK</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 xml:space="preserve">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výmena strešnej krytiny kaštieľa podľa CP</w:t>
      </w:r>
      <w:r w:rsidRPr="00BF5884">
        <w:rPr>
          <w:rFonts w:ascii="Trebuchet MS" w:hAnsi="Trebuchet MS" w:cs="Arial"/>
          <w:sz w:val="24"/>
          <w:szCs w:val="24"/>
        </w:rPr>
        <w:tab/>
        <w:t>391 391,83 €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87 984,88 €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stavebno-technický posudok krovu</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 nariadenie KPU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10 000,00 €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2 248,00 €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lastRenderedPageBreak/>
        <w:t>geodetické zameranie- nariadenie KPU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podľa CP</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30 000,00 €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6 744,00 €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reš</w:t>
      </w:r>
      <w:r w:rsidR="00770EAE" w:rsidRPr="00BF5884">
        <w:rPr>
          <w:rFonts w:ascii="Trebuchet MS" w:hAnsi="Trebuchet MS" w:cs="Arial"/>
          <w:sz w:val="24"/>
          <w:szCs w:val="24"/>
        </w:rPr>
        <w:t>t</w:t>
      </w:r>
      <w:r w:rsidRPr="00BF5884">
        <w:rPr>
          <w:rFonts w:ascii="Trebuchet MS" w:hAnsi="Trebuchet MS" w:cs="Arial"/>
          <w:sz w:val="24"/>
          <w:szCs w:val="24"/>
        </w:rPr>
        <w:t>aurátorský výskum - avizované</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nariadenie - podľa CP</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16 050,00 €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3 608,04 €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nový elektrický prívod do budovy</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 podľa CP</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16 581,64 €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3 727,55 €</w:t>
      </w: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kosenie plôch - predpoklad</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2 500,00 €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562,00 €</w:t>
      </w:r>
    </w:p>
    <w:p w:rsidR="00520141" w:rsidRPr="00BF5884" w:rsidRDefault="00520141" w:rsidP="00520141">
      <w:pPr>
        <w:pStyle w:val="Bezriadkovania"/>
        <w:pBdr>
          <w:bottom w:val="single" w:sz="8" w:space="1" w:color="auto"/>
        </w:pBdr>
        <w:jc w:val="both"/>
        <w:rPr>
          <w:rFonts w:ascii="Trebuchet MS" w:hAnsi="Trebuchet MS" w:cs="Arial"/>
          <w:sz w:val="24"/>
          <w:szCs w:val="24"/>
        </w:rPr>
      </w:pPr>
      <w:r w:rsidRPr="00BF5884">
        <w:rPr>
          <w:rFonts w:ascii="Trebuchet MS" w:hAnsi="Trebuchet MS" w:cs="Arial"/>
          <w:sz w:val="24"/>
          <w:szCs w:val="24"/>
        </w:rPr>
        <w:t>sanácia objektu - predpoklad</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100 000,00 €</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22 480,00 €</w:t>
      </w:r>
    </w:p>
    <w:p w:rsidR="00520141" w:rsidRPr="00BF5884" w:rsidRDefault="00520141" w:rsidP="00520141">
      <w:pPr>
        <w:pStyle w:val="Bezriadkovania"/>
        <w:rPr>
          <w:rFonts w:ascii="Trebuchet MS" w:hAnsi="Trebuchet MS" w:cs="Arial"/>
          <w:sz w:val="24"/>
          <w:szCs w:val="24"/>
        </w:rPr>
      </w:pPr>
      <w:r w:rsidRPr="00BF5884">
        <w:rPr>
          <w:rFonts w:ascii="Trebuchet MS" w:hAnsi="Trebuchet MS" w:cs="Arial"/>
          <w:sz w:val="24"/>
          <w:szCs w:val="24"/>
        </w:rPr>
        <w:t>SPOLU</w:t>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r>
      <w:r w:rsidRPr="00BF5884">
        <w:rPr>
          <w:rFonts w:ascii="Trebuchet MS" w:hAnsi="Trebuchet MS" w:cs="Arial"/>
          <w:sz w:val="24"/>
          <w:szCs w:val="24"/>
        </w:rPr>
        <w:tab/>
        <w:t xml:space="preserve"> 566 523,47 €</w:t>
      </w:r>
      <w:r w:rsidRPr="00BF5884">
        <w:rPr>
          <w:rFonts w:ascii="Trebuchet MS" w:hAnsi="Trebuchet MS" w:cs="Arial"/>
          <w:sz w:val="24"/>
          <w:szCs w:val="24"/>
        </w:rPr>
        <w:tab/>
        <w:t xml:space="preserve">        127 354,48 €</w:t>
      </w:r>
    </w:p>
    <w:p w:rsidR="00520141" w:rsidRPr="00BF5884" w:rsidRDefault="00520141" w:rsidP="00520141">
      <w:pPr>
        <w:pStyle w:val="Bezriadkovania"/>
        <w:jc w:val="both"/>
        <w:rPr>
          <w:rFonts w:ascii="Trebuchet MS" w:hAnsi="Trebuchet MS" w:cs="Arial"/>
          <w:sz w:val="24"/>
          <w:szCs w:val="24"/>
        </w:rPr>
      </w:pP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Položka sanácia objektu vo výške 100 000,00 € sa môže dokonc</w:t>
      </w:r>
      <w:r w:rsidR="00770EAE" w:rsidRPr="00BF5884">
        <w:rPr>
          <w:rFonts w:ascii="Trebuchet MS" w:hAnsi="Trebuchet MS" w:cs="Arial"/>
          <w:sz w:val="24"/>
          <w:szCs w:val="24"/>
        </w:rPr>
        <w:t xml:space="preserve">a navýšiť, nakoľko ide o </w:t>
      </w:r>
      <w:proofErr w:type="spellStart"/>
      <w:r w:rsidR="00770EAE" w:rsidRPr="00BF5884">
        <w:rPr>
          <w:rFonts w:ascii="Trebuchet MS" w:hAnsi="Trebuchet MS" w:cs="Arial"/>
          <w:sz w:val="24"/>
          <w:szCs w:val="24"/>
        </w:rPr>
        <w:t>injektáž</w:t>
      </w:r>
      <w:proofErr w:type="spellEnd"/>
      <w:r w:rsidRPr="00BF5884">
        <w:rPr>
          <w:rFonts w:ascii="Trebuchet MS" w:hAnsi="Trebuchet MS" w:cs="Arial"/>
          <w:sz w:val="24"/>
          <w:szCs w:val="24"/>
        </w:rPr>
        <w:t xml:space="preserve"> vš</w:t>
      </w:r>
      <w:r w:rsidR="00770EAE" w:rsidRPr="00BF5884">
        <w:rPr>
          <w:rFonts w:ascii="Trebuchet MS" w:hAnsi="Trebuchet MS" w:cs="Arial"/>
          <w:sz w:val="24"/>
          <w:szCs w:val="24"/>
        </w:rPr>
        <w:t>etkých obvodových múrov vnútorný</w:t>
      </w:r>
      <w:r w:rsidRPr="00BF5884">
        <w:rPr>
          <w:rFonts w:ascii="Trebuchet MS" w:hAnsi="Trebuchet MS" w:cs="Arial"/>
          <w:sz w:val="24"/>
          <w:szCs w:val="24"/>
        </w:rPr>
        <w:t>ch i vonkajších a nosných priečok pričom cenová ponuka je zatiaľ predbežná. Okrem uvedeného v týchto d</w:t>
      </w:r>
      <w:r w:rsidR="00770EAE" w:rsidRPr="00BF5884">
        <w:rPr>
          <w:rFonts w:ascii="Trebuchet MS" w:hAnsi="Trebuchet MS" w:cs="Arial"/>
          <w:sz w:val="24"/>
          <w:szCs w:val="24"/>
        </w:rPr>
        <w:t>ňoch vo východnom krídle kaštieľ</w:t>
      </w:r>
      <w:r w:rsidRPr="00BF5884">
        <w:rPr>
          <w:rFonts w:ascii="Trebuchet MS" w:hAnsi="Trebuchet MS" w:cs="Arial"/>
          <w:sz w:val="24"/>
          <w:szCs w:val="24"/>
        </w:rPr>
        <w:t>a začali sadať základy a došlo k odtrhnutiu steny od podlahy, čo predstavuje ďalšie finančné náklady.</w:t>
      </w:r>
    </w:p>
    <w:p w:rsidR="00520141" w:rsidRPr="00BF5884" w:rsidRDefault="00520141" w:rsidP="00520141">
      <w:pPr>
        <w:pStyle w:val="Bezriadkovania"/>
        <w:rPr>
          <w:rFonts w:ascii="Trebuchet MS" w:hAnsi="Trebuchet MS" w:cs="Arial"/>
          <w:sz w:val="24"/>
          <w:szCs w:val="24"/>
        </w:rPr>
      </w:pPr>
    </w:p>
    <w:p w:rsidR="00520141" w:rsidRPr="00BF5884"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Do konca roka 2014 bude v kaštieli celkovo preinvestovaných 45 701,09 € čo pre Bratislavský samosprávny kraj znamená finančnú záťaž vo výške 10 273,60 €. S účasťou v roku 2015, by celkove náklady pre BSK predstavovali až 137 628,08 €.</w:t>
      </w:r>
    </w:p>
    <w:p w:rsidR="00520141" w:rsidRPr="00BF5884" w:rsidRDefault="00520141" w:rsidP="00520141">
      <w:pPr>
        <w:pStyle w:val="Bezriadkovania"/>
        <w:jc w:val="both"/>
        <w:rPr>
          <w:rFonts w:ascii="Trebuchet MS" w:hAnsi="Trebuchet MS" w:cs="Arial"/>
          <w:sz w:val="24"/>
          <w:szCs w:val="24"/>
        </w:rPr>
      </w:pPr>
    </w:p>
    <w:p w:rsidR="00520141" w:rsidRDefault="00520141" w:rsidP="00520141">
      <w:pPr>
        <w:pStyle w:val="Bezriadkovania"/>
        <w:jc w:val="both"/>
        <w:rPr>
          <w:rFonts w:ascii="Trebuchet MS" w:hAnsi="Trebuchet MS" w:cs="Arial"/>
          <w:sz w:val="24"/>
          <w:szCs w:val="24"/>
        </w:rPr>
      </w:pPr>
      <w:r w:rsidRPr="00BF5884">
        <w:rPr>
          <w:rFonts w:ascii="Trebuchet MS" w:hAnsi="Trebuchet MS" w:cs="Arial"/>
          <w:sz w:val="24"/>
          <w:szCs w:val="24"/>
        </w:rPr>
        <w:t>Z doteraz uvedeného vývoja je zrejmé, že situácia nie je priaznivá pre efektívne hospodárenie BSK a predmetný prebytočný majetok je nevyhnutné čo najskôr odpredať aj s ohľadom na § 4, VZN č. 1/2002 z 21. marca 2002 v zmysle jeho ďalších aktualizácií, o hospodárnom nakladaní s majetkom a na základe § 7, zákona č. 446/2001 Z. z. o majetku vyšších územných celkov v znení ďalších predpisov.</w:t>
      </w:r>
    </w:p>
    <w:p w:rsidR="00403066" w:rsidRDefault="00403066" w:rsidP="00520141">
      <w:pPr>
        <w:pStyle w:val="Bezriadkovania"/>
        <w:jc w:val="both"/>
        <w:rPr>
          <w:rFonts w:ascii="Trebuchet MS" w:hAnsi="Trebuchet MS" w:cs="Arial"/>
          <w:sz w:val="24"/>
          <w:szCs w:val="24"/>
        </w:rPr>
      </w:pPr>
    </w:p>
    <w:p w:rsidR="00403066" w:rsidRPr="00BF5884" w:rsidRDefault="00403066" w:rsidP="00520141">
      <w:pPr>
        <w:pStyle w:val="Bezriadkovania"/>
        <w:jc w:val="both"/>
        <w:rPr>
          <w:rFonts w:ascii="Trebuchet MS" w:hAnsi="Trebuchet MS" w:cs="Arial"/>
          <w:sz w:val="24"/>
          <w:szCs w:val="24"/>
        </w:rPr>
      </w:pPr>
      <w:r>
        <w:rPr>
          <w:rFonts w:ascii="Trebuchet MS" w:hAnsi="Trebuchet MS" w:cs="Arial"/>
          <w:sz w:val="24"/>
          <w:szCs w:val="24"/>
        </w:rPr>
        <w:t xml:space="preserve">K uplatneniu predkupného práva došlo dňa 15.11.2012 podielovou spoluvlastníčkou p. Hanou </w:t>
      </w:r>
      <w:proofErr w:type="spellStart"/>
      <w:r>
        <w:rPr>
          <w:rFonts w:ascii="Trebuchet MS" w:hAnsi="Trebuchet MS" w:cs="Arial"/>
          <w:sz w:val="24"/>
          <w:szCs w:val="24"/>
        </w:rPr>
        <w:t>Krištofikovou</w:t>
      </w:r>
      <w:proofErr w:type="spellEnd"/>
      <w:r>
        <w:rPr>
          <w:rFonts w:ascii="Trebuchet MS" w:hAnsi="Trebuchet MS" w:cs="Arial"/>
          <w:sz w:val="24"/>
          <w:szCs w:val="24"/>
        </w:rPr>
        <w:t xml:space="preserve">, trvale bytom Pražská 31, 811 04 Bratislava, v súlade </w:t>
      </w:r>
      <w:r w:rsidR="00BF688C">
        <w:rPr>
          <w:rFonts w:ascii="Trebuchet MS" w:hAnsi="Trebuchet MS" w:cs="Arial"/>
          <w:sz w:val="24"/>
          <w:szCs w:val="24"/>
        </w:rPr>
        <w:t>s § 140 OZ. Z</w:t>
      </w:r>
      <w:r>
        <w:rPr>
          <w:rFonts w:ascii="Trebuchet MS" w:hAnsi="Trebuchet MS" w:cs="Arial"/>
          <w:sz w:val="24"/>
          <w:szCs w:val="24"/>
        </w:rPr>
        <w:t>a</w:t>
      </w:r>
      <w:r w:rsidR="00BF688C">
        <w:rPr>
          <w:rFonts w:ascii="Trebuchet MS" w:hAnsi="Trebuchet MS" w:cs="Arial"/>
          <w:sz w:val="24"/>
          <w:szCs w:val="24"/>
        </w:rPr>
        <w:t xml:space="preserve"> podiel BSK ponúkla kúpnu</w:t>
      </w:r>
      <w:r>
        <w:rPr>
          <w:rFonts w:ascii="Trebuchet MS" w:hAnsi="Trebuchet MS" w:cs="Arial"/>
          <w:sz w:val="24"/>
          <w:szCs w:val="24"/>
        </w:rPr>
        <w:t xml:space="preserve"> cenu 125.000,-€</w:t>
      </w:r>
      <w:r w:rsidR="00BF688C">
        <w:rPr>
          <w:rFonts w:ascii="Trebuchet MS" w:hAnsi="Trebuchet MS" w:cs="Arial"/>
          <w:sz w:val="24"/>
          <w:szCs w:val="24"/>
        </w:rPr>
        <w:t>.</w:t>
      </w:r>
    </w:p>
    <w:p w:rsidR="00520141" w:rsidRPr="00F674E9" w:rsidRDefault="00520141" w:rsidP="00520141">
      <w:pPr>
        <w:jc w:val="both"/>
        <w:rPr>
          <w:rFonts w:ascii="Trebuchet MS" w:hAnsi="Trebuchet MS"/>
        </w:rPr>
      </w:pPr>
    </w:p>
    <w:p w:rsidR="00520141" w:rsidRPr="00F674E9" w:rsidRDefault="00520141" w:rsidP="00520141">
      <w:pPr>
        <w:jc w:val="both"/>
        <w:rPr>
          <w:rFonts w:ascii="Trebuchet MS" w:hAnsi="Trebuchet MS"/>
        </w:rPr>
      </w:pPr>
      <w:r w:rsidRPr="00F674E9">
        <w:rPr>
          <w:rFonts w:ascii="Trebuchet MS" w:hAnsi="Trebuchet MS"/>
        </w:rPr>
        <w:t xml:space="preserve">Pani </w:t>
      </w:r>
      <w:proofErr w:type="spellStart"/>
      <w:r w:rsidRPr="00F674E9">
        <w:rPr>
          <w:rFonts w:ascii="Trebuchet MS" w:hAnsi="Trebuchet MS"/>
        </w:rPr>
        <w:t>Krištof</w:t>
      </w:r>
      <w:r w:rsidR="00403066">
        <w:rPr>
          <w:rFonts w:ascii="Trebuchet MS" w:hAnsi="Trebuchet MS"/>
        </w:rPr>
        <w:t>i</w:t>
      </w:r>
      <w:r w:rsidRPr="00F674E9">
        <w:rPr>
          <w:rFonts w:ascii="Trebuchet MS" w:hAnsi="Trebuchet MS"/>
        </w:rPr>
        <w:t>ková</w:t>
      </w:r>
      <w:proofErr w:type="spellEnd"/>
      <w:r w:rsidRPr="00F674E9">
        <w:rPr>
          <w:rFonts w:ascii="Trebuchet MS" w:hAnsi="Trebuchet MS"/>
        </w:rPr>
        <w:t xml:space="preserve"> ako podielová spoluvlastníčka koncom roku 2013 zomrela a predkupné právo k podielu vo vlastníctve BSK si uplatnili jej potomkovia – dedičia zo zákona, a to</w:t>
      </w:r>
      <w:r>
        <w:rPr>
          <w:rFonts w:ascii="Trebuchet MS" w:hAnsi="Trebuchet MS"/>
        </w:rPr>
        <w:t xml:space="preserve"> </w:t>
      </w:r>
      <w:r w:rsidRPr="00F674E9">
        <w:rPr>
          <w:rFonts w:ascii="Trebuchet MS" w:hAnsi="Trebuchet MS" w:cs="Arial"/>
        </w:rPr>
        <w:t xml:space="preserve">Ing. </w:t>
      </w:r>
      <w:proofErr w:type="spellStart"/>
      <w:r w:rsidRPr="00F674E9">
        <w:rPr>
          <w:rFonts w:ascii="Trebuchet MS" w:hAnsi="Trebuchet MS" w:cs="Arial"/>
        </w:rPr>
        <w:t>Krivosudská</w:t>
      </w:r>
      <w:proofErr w:type="spellEnd"/>
      <w:r w:rsidRPr="00F674E9">
        <w:rPr>
          <w:rFonts w:ascii="Trebuchet MS" w:hAnsi="Trebuchet MS" w:cs="Arial"/>
        </w:rPr>
        <w:t xml:space="preserve"> Ivana rod. Krištofíková a Ing. </w:t>
      </w:r>
      <w:proofErr w:type="spellStart"/>
      <w:r w:rsidRPr="00F674E9">
        <w:rPr>
          <w:rFonts w:ascii="Trebuchet MS" w:hAnsi="Trebuchet MS" w:cs="Arial"/>
        </w:rPr>
        <w:t>Krištofík</w:t>
      </w:r>
      <w:proofErr w:type="spellEnd"/>
      <w:r w:rsidRPr="00F674E9">
        <w:rPr>
          <w:rFonts w:ascii="Trebuchet MS" w:hAnsi="Trebuchet MS" w:cs="Arial"/>
        </w:rPr>
        <w:t xml:space="preserve"> Július.</w:t>
      </w:r>
    </w:p>
    <w:p w:rsidR="00520141" w:rsidRDefault="00520141" w:rsidP="00520141">
      <w:pPr>
        <w:jc w:val="both"/>
        <w:rPr>
          <w:rFonts w:ascii="Trebuchet MS" w:hAnsi="Trebuchet MS"/>
        </w:rPr>
      </w:pPr>
      <w:r w:rsidRPr="00F674E9">
        <w:rPr>
          <w:rFonts w:ascii="Trebuchet MS" w:hAnsi="Trebuchet MS"/>
        </w:rPr>
        <w:t xml:space="preserve">Po rokovaniach s podpredsedom Bratislavského samosprávneho kraja s Ing. </w:t>
      </w:r>
      <w:proofErr w:type="spellStart"/>
      <w:r w:rsidRPr="00F674E9">
        <w:rPr>
          <w:rFonts w:ascii="Trebuchet MS" w:hAnsi="Trebuchet MS"/>
        </w:rPr>
        <w:t>Bendíkom</w:t>
      </w:r>
      <w:proofErr w:type="spellEnd"/>
      <w:r w:rsidRPr="00F674E9">
        <w:rPr>
          <w:rFonts w:ascii="Trebuchet MS" w:hAnsi="Trebuchet MS"/>
        </w:rPr>
        <w:t xml:space="preserve"> dňa 09.09.2014, zvýšili podieloví spoluvlastníci svoju ponuku na odkúpenie spoluvlastníckeho podielu vo výške 437/1944 na cenu 140.000,-€.</w:t>
      </w:r>
    </w:p>
    <w:p w:rsidR="00BD4E3B" w:rsidRPr="00F674E9" w:rsidRDefault="00BD4E3B" w:rsidP="00520141">
      <w:pPr>
        <w:jc w:val="both"/>
        <w:rPr>
          <w:rFonts w:ascii="Trebuchet MS" w:hAnsi="Trebuchet MS"/>
        </w:rPr>
      </w:pPr>
    </w:p>
    <w:p w:rsidR="00520141" w:rsidRPr="00F674E9" w:rsidRDefault="00520141" w:rsidP="00520141">
      <w:r w:rsidRPr="00F674E9">
        <w:rPr>
          <w:rFonts w:ascii="Trebuchet MS" w:hAnsi="Trebuchet MS"/>
        </w:rPr>
        <w:t>Na základe vyššie uvedených skutočností Vám predkladáme materiál</w:t>
      </w:r>
      <w:r w:rsidR="0063215F">
        <w:rPr>
          <w:rFonts w:ascii="Trebuchet MS" w:hAnsi="Trebuchet MS"/>
        </w:rPr>
        <w:t xml:space="preserve"> na schválenie v ZBSK.</w:t>
      </w:r>
    </w:p>
    <w:p w:rsidR="00520141" w:rsidRDefault="00520141" w:rsidP="00520141"/>
    <w:p w:rsidR="00520141" w:rsidRDefault="00520141" w:rsidP="00520141"/>
    <w:p w:rsidR="00520141" w:rsidRDefault="00520141" w:rsidP="00520141"/>
    <w:p w:rsidR="00520141" w:rsidRDefault="00520141" w:rsidP="00520141"/>
    <w:p w:rsidR="00520141" w:rsidRDefault="00520141" w:rsidP="00520141"/>
    <w:p w:rsidR="00520141" w:rsidRDefault="00520141" w:rsidP="00520141"/>
    <w:p w:rsidR="00520141" w:rsidRDefault="00520141" w:rsidP="00520141"/>
    <w:p w:rsidR="00D63BF1" w:rsidRDefault="00D63BF1" w:rsidP="00741907">
      <w:pPr>
        <w:jc w:val="center"/>
        <w:rPr>
          <w:rFonts w:ascii="Arial" w:eastAsia="Arial Unicode MS" w:hAnsi="Arial" w:cs="Arial"/>
          <w:b/>
          <w:sz w:val="32"/>
          <w:szCs w:val="32"/>
        </w:rPr>
      </w:pPr>
    </w:p>
    <w:p w:rsidR="00D63BF1" w:rsidRDefault="00D63BF1" w:rsidP="00741907">
      <w:pPr>
        <w:jc w:val="center"/>
        <w:rPr>
          <w:rFonts w:ascii="Arial" w:eastAsia="Arial Unicode MS" w:hAnsi="Arial" w:cs="Arial"/>
          <w:b/>
          <w:sz w:val="32"/>
          <w:szCs w:val="32"/>
        </w:rPr>
      </w:pPr>
    </w:p>
    <w:p w:rsidR="00D63BF1" w:rsidRDefault="00D63BF1" w:rsidP="00741907">
      <w:pPr>
        <w:jc w:val="center"/>
        <w:rPr>
          <w:rFonts w:ascii="Arial" w:eastAsia="Arial Unicode MS" w:hAnsi="Arial" w:cs="Arial"/>
          <w:b/>
          <w:sz w:val="32"/>
          <w:szCs w:val="32"/>
        </w:rPr>
      </w:pPr>
    </w:p>
    <w:p w:rsidR="00D63BF1" w:rsidRDefault="00D63BF1" w:rsidP="0063215F">
      <w:pPr>
        <w:rPr>
          <w:rFonts w:ascii="Arial" w:eastAsia="Arial Unicode MS" w:hAnsi="Arial" w:cs="Arial"/>
          <w:b/>
          <w:sz w:val="32"/>
          <w:szCs w:val="32"/>
        </w:rPr>
      </w:pPr>
    </w:p>
    <w:p w:rsidR="00D63BF1" w:rsidRDefault="00D63BF1" w:rsidP="00741907">
      <w:pPr>
        <w:jc w:val="center"/>
        <w:rPr>
          <w:rFonts w:ascii="Arial" w:eastAsia="Arial Unicode MS" w:hAnsi="Arial" w:cs="Arial"/>
          <w:b/>
          <w:sz w:val="32"/>
          <w:szCs w:val="32"/>
        </w:rPr>
      </w:pPr>
    </w:p>
    <w:p w:rsidR="00D63BF1" w:rsidRDefault="00D63BF1" w:rsidP="00741907">
      <w:pPr>
        <w:jc w:val="center"/>
        <w:rPr>
          <w:rFonts w:ascii="Arial" w:eastAsia="Arial Unicode MS" w:hAnsi="Arial" w:cs="Arial"/>
          <w:b/>
          <w:sz w:val="32"/>
          <w:szCs w:val="32"/>
        </w:rPr>
      </w:pPr>
    </w:p>
    <w:p w:rsidR="00741907" w:rsidRDefault="00741907" w:rsidP="00741907">
      <w:pPr>
        <w:jc w:val="center"/>
        <w:rPr>
          <w:rFonts w:ascii="Arial" w:eastAsia="Arial Unicode MS" w:hAnsi="Arial" w:cs="Arial"/>
          <w:b/>
          <w:sz w:val="32"/>
          <w:szCs w:val="32"/>
        </w:rPr>
      </w:pPr>
      <w:r>
        <w:rPr>
          <w:rFonts w:ascii="Arial" w:eastAsia="Arial Unicode MS" w:hAnsi="Arial" w:cs="Arial"/>
          <w:b/>
          <w:sz w:val="32"/>
          <w:szCs w:val="32"/>
        </w:rPr>
        <w:t>Stanoviská komisií Zastupiteľstva BSK</w:t>
      </w:r>
    </w:p>
    <w:p w:rsidR="00741907" w:rsidRDefault="00741907" w:rsidP="00741907">
      <w:pPr>
        <w:jc w:val="center"/>
        <w:rPr>
          <w:rFonts w:ascii="Arial" w:eastAsia="Arial Unicode MS" w:hAnsi="Arial" w:cs="Arial"/>
          <w:b/>
          <w:sz w:val="32"/>
          <w:szCs w:val="32"/>
        </w:rPr>
      </w:pPr>
      <w:r>
        <w:rPr>
          <w:rFonts w:ascii="Arial" w:eastAsia="Arial Unicode MS" w:hAnsi="Arial" w:cs="Arial"/>
          <w:b/>
          <w:sz w:val="32"/>
          <w:szCs w:val="32"/>
        </w:rPr>
        <w:t xml:space="preserve"> </w:t>
      </w:r>
    </w:p>
    <w:p w:rsidR="00741907" w:rsidRDefault="00741907" w:rsidP="00741907">
      <w:pPr>
        <w:pBdr>
          <w:bottom w:val="single" w:sz="4" w:space="1" w:color="auto"/>
        </w:pBdr>
        <w:jc w:val="both"/>
        <w:rPr>
          <w:rFonts w:ascii="Arial" w:hAnsi="Arial" w:cs="Arial"/>
          <w:b/>
        </w:rPr>
      </w:pPr>
      <w:r>
        <w:rPr>
          <w:rFonts w:ascii="Arial" w:hAnsi="Arial" w:cs="Arial"/>
          <w:b/>
        </w:rPr>
        <w:t xml:space="preserve">Bod :„Návrh </w:t>
      </w:r>
      <w:r>
        <w:rPr>
          <w:rFonts w:ascii="Arial" w:eastAsia="Calibri" w:hAnsi="Arial" w:cs="Arial"/>
          <w:bCs/>
          <w:lang w:eastAsia="en-US"/>
        </w:rPr>
        <w:t xml:space="preserve"> </w:t>
      </w:r>
      <w:r>
        <w:rPr>
          <w:rFonts w:ascii="Arial" w:hAnsi="Arial" w:cs="Arial"/>
          <w:b/>
        </w:rPr>
        <w:t>na predaj spoluvlastníckeho podielu nehnuteľného majetku – kaštieľ a priľahlé pozemky vo Veľkom Bieli, k. ú. Veľký Biel, okres Senec.“</w:t>
      </w:r>
    </w:p>
    <w:p w:rsidR="00741907" w:rsidRDefault="00741907" w:rsidP="00741907">
      <w:pPr>
        <w:pBdr>
          <w:bottom w:val="single" w:sz="4" w:space="1" w:color="auto"/>
        </w:pBdr>
        <w:jc w:val="center"/>
        <w:rPr>
          <w:rFonts w:ascii="Arial" w:eastAsia="Arial Unicode MS" w:hAnsi="Arial" w:cs="Arial"/>
          <w:b/>
          <w:sz w:val="32"/>
          <w:szCs w:val="32"/>
        </w:rPr>
      </w:pPr>
      <w:r>
        <w:rPr>
          <w:rFonts w:ascii="Arial" w:hAnsi="Arial"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8"/>
        <w:gridCol w:w="2617"/>
        <w:gridCol w:w="19"/>
        <w:gridCol w:w="1362"/>
        <w:gridCol w:w="1809"/>
        <w:gridCol w:w="22"/>
        <w:gridCol w:w="1831"/>
      </w:tblGrid>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Názov komisie</w:t>
            </w:r>
          </w:p>
          <w:p w:rsidR="00741907" w:rsidRDefault="00741907">
            <w:pPr>
              <w:spacing w:line="276" w:lineRule="auto"/>
              <w:rPr>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rFonts w:ascii="Arial" w:eastAsia="Arial Unicode MS" w:hAnsi="Arial" w:cs="Arial"/>
                <w:b/>
                <w:sz w:val="22"/>
                <w:szCs w:val="22"/>
                <w:lang w:eastAsia="en-US"/>
              </w:rPr>
              <w:t>Stanovisko komisie k návrhu materiálu</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rFonts w:ascii="Arial" w:hAnsi="Arial" w:cs="Arial"/>
                <w:b/>
                <w:sz w:val="22"/>
                <w:szCs w:val="22"/>
                <w:lang w:eastAsia="en-US"/>
              </w:rPr>
            </w:pPr>
            <w:r>
              <w:rPr>
                <w:rFonts w:ascii="Arial" w:hAnsi="Arial" w:cs="Arial"/>
                <w:b/>
                <w:sz w:val="22"/>
                <w:szCs w:val="22"/>
                <w:lang w:eastAsia="en-US"/>
              </w:rPr>
              <w:t xml:space="preserve">Hlasovanie </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Akceptované / Neakceptované</w:t>
            </w:r>
          </w:p>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rFonts w:ascii="Arial" w:eastAsia="Arial Unicode MS" w:hAnsi="Arial" w:cs="Arial"/>
                <w:b/>
                <w:sz w:val="22"/>
                <w:szCs w:val="22"/>
                <w:lang w:eastAsia="en-US"/>
              </w:rPr>
              <w:t>Zapracované / Nezapracované</w:t>
            </w: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p>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zdravotníctva a sociálnych vecí</w:t>
            </w:r>
          </w:p>
          <w:p w:rsidR="00741907" w:rsidRDefault="00741907">
            <w:pPr>
              <w:spacing w:line="276" w:lineRule="auto"/>
              <w:rPr>
                <w:rFonts w:ascii="Arial" w:eastAsia="Arial Unicode MS" w:hAnsi="Arial" w:cs="Arial"/>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Materiál nebol prerokovaný</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jc w:val="both"/>
              <w:rPr>
                <w:lang w:eastAsia="en-US"/>
              </w:rPr>
            </w:pPr>
            <w:r>
              <w:rPr>
                <w:lang w:eastAsia="en-US"/>
              </w:rPr>
              <w:t xml:space="preserve">Prítomní      </w:t>
            </w:r>
          </w:p>
          <w:p w:rsidR="00741907" w:rsidRDefault="00741907">
            <w:pPr>
              <w:spacing w:line="276" w:lineRule="auto"/>
              <w:jc w:val="both"/>
              <w:rPr>
                <w:lang w:eastAsia="en-US"/>
              </w:rPr>
            </w:pPr>
            <w:r>
              <w:rPr>
                <w:lang w:eastAsia="en-US"/>
              </w:rPr>
              <w:t xml:space="preserve">Za                </w:t>
            </w:r>
          </w:p>
          <w:p w:rsidR="00741907" w:rsidRDefault="00741907">
            <w:pPr>
              <w:spacing w:line="276" w:lineRule="auto"/>
              <w:jc w:val="both"/>
              <w:rPr>
                <w:lang w:eastAsia="en-US"/>
              </w:rPr>
            </w:pPr>
            <w:r>
              <w:rPr>
                <w:lang w:eastAsia="en-US"/>
              </w:rPr>
              <w:t xml:space="preserve">Proti            </w:t>
            </w:r>
          </w:p>
          <w:p w:rsidR="00741907" w:rsidRDefault="00741907">
            <w:pPr>
              <w:spacing w:line="276" w:lineRule="auto"/>
              <w:jc w:val="both"/>
              <w:rPr>
                <w:lang w:eastAsia="en-US"/>
              </w:rPr>
            </w:pPr>
            <w:r>
              <w:rPr>
                <w:lang w:eastAsia="en-US"/>
              </w:rPr>
              <w:t xml:space="preserve">Zdržal  sa    </w:t>
            </w:r>
          </w:p>
          <w:p w:rsidR="00741907" w:rsidRDefault="00741907">
            <w:pPr>
              <w:spacing w:line="276" w:lineRule="auto"/>
              <w:jc w:val="both"/>
              <w:rPr>
                <w:lang w:eastAsia="en-US"/>
              </w:rPr>
            </w:pPr>
            <w:r>
              <w:rPr>
                <w:lang w:eastAsia="en-US"/>
              </w:rPr>
              <w:t xml:space="preserve">Nehlasoval   </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sz w:val="22"/>
                <w:szCs w:val="22"/>
                <w:lang w:eastAsia="en-US"/>
              </w:rPr>
            </w:pPr>
          </w:p>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dopravy</w:t>
            </w:r>
          </w:p>
          <w:p w:rsidR="00741907" w:rsidRDefault="00741907">
            <w:pPr>
              <w:spacing w:line="276" w:lineRule="auto"/>
              <w:rPr>
                <w:rFonts w:ascii="Arial" w:eastAsia="Arial Unicode MS" w:hAnsi="Arial" w:cs="Arial"/>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Materiál nebol prerokovaný</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 xml:space="preserve">Prítomní </w:t>
            </w:r>
          </w:p>
          <w:p w:rsidR="00741907" w:rsidRDefault="00741907">
            <w:pPr>
              <w:spacing w:line="276" w:lineRule="auto"/>
              <w:rPr>
                <w:lang w:eastAsia="en-US"/>
              </w:rPr>
            </w:pPr>
            <w:r>
              <w:rPr>
                <w:lang w:eastAsia="en-US"/>
              </w:rPr>
              <w:t xml:space="preserve">Za           </w:t>
            </w:r>
          </w:p>
          <w:p w:rsidR="00741907" w:rsidRDefault="00741907">
            <w:pPr>
              <w:spacing w:line="276" w:lineRule="auto"/>
              <w:rPr>
                <w:lang w:eastAsia="en-US"/>
              </w:rPr>
            </w:pPr>
            <w:r>
              <w:rPr>
                <w:lang w:eastAsia="en-US"/>
              </w:rPr>
              <w:t xml:space="preserve">Proti       </w:t>
            </w:r>
          </w:p>
          <w:p w:rsidR="00741907" w:rsidRDefault="00741907">
            <w:pPr>
              <w:spacing w:line="276" w:lineRule="auto"/>
              <w:rPr>
                <w:lang w:eastAsia="en-US"/>
              </w:rPr>
            </w:pPr>
            <w:r>
              <w:rPr>
                <w:lang w:eastAsia="en-US"/>
              </w:rPr>
              <w:t xml:space="preserve">Zdržal sa   </w:t>
            </w:r>
          </w:p>
          <w:p w:rsidR="00741907" w:rsidRDefault="00741907">
            <w:pPr>
              <w:spacing w:line="276" w:lineRule="auto"/>
              <w:rPr>
                <w:lang w:eastAsia="en-US"/>
              </w:rPr>
            </w:pPr>
            <w:r>
              <w:rPr>
                <w:lang w:eastAsia="en-US"/>
              </w:rPr>
              <w:t>Nehlasoval</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p>
          <w:p w:rsidR="00741907" w:rsidRDefault="00741907">
            <w:pPr>
              <w:spacing w:line="276" w:lineRule="auto"/>
              <w:ind w:right="-762"/>
              <w:rPr>
                <w:rFonts w:ascii="Arial" w:eastAsia="Arial Unicode MS" w:hAnsi="Arial" w:cs="Arial"/>
                <w:sz w:val="22"/>
                <w:szCs w:val="22"/>
                <w:lang w:eastAsia="en-US"/>
              </w:rPr>
            </w:pPr>
            <w:r>
              <w:rPr>
                <w:rFonts w:ascii="Arial" w:eastAsia="Arial Unicode MS" w:hAnsi="Arial" w:cs="Arial"/>
                <w:sz w:val="22"/>
                <w:szCs w:val="22"/>
                <w:lang w:eastAsia="en-US"/>
              </w:rPr>
              <w:t xml:space="preserve">Komisia európskych záležitostí, regionálnej spolupráce a cestovného ruchu  </w:t>
            </w:r>
          </w:p>
          <w:p w:rsidR="00741907" w:rsidRDefault="00741907">
            <w:pPr>
              <w:spacing w:line="276" w:lineRule="auto"/>
              <w:ind w:right="-762"/>
              <w:rPr>
                <w:rFonts w:ascii="Arial" w:eastAsia="Arial Unicode MS" w:hAnsi="Arial" w:cs="Arial"/>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Materiál nebol prerokovaný</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Prítomní</w:t>
            </w:r>
          </w:p>
          <w:p w:rsidR="00741907" w:rsidRDefault="00741907">
            <w:pPr>
              <w:spacing w:line="276" w:lineRule="auto"/>
              <w:rPr>
                <w:lang w:eastAsia="en-US"/>
              </w:rPr>
            </w:pPr>
            <w:r>
              <w:rPr>
                <w:lang w:eastAsia="en-US"/>
              </w:rPr>
              <w:t xml:space="preserve">Za          </w:t>
            </w:r>
          </w:p>
          <w:p w:rsidR="00741907" w:rsidRDefault="00741907">
            <w:pPr>
              <w:spacing w:line="276" w:lineRule="auto"/>
              <w:rPr>
                <w:lang w:eastAsia="en-US"/>
              </w:rPr>
            </w:pPr>
            <w:r>
              <w:rPr>
                <w:lang w:eastAsia="en-US"/>
              </w:rPr>
              <w:t xml:space="preserve">Proti      </w:t>
            </w:r>
          </w:p>
          <w:p w:rsidR="00741907" w:rsidRDefault="00741907">
            <w:pPr>
              <w:spacing w:line="276" w:lineRule="auto"/>
              <w:rPr>
                <w:lang w:eastAsia="en-US"/>
              </w:rPr>
            </w:pPr>
            <w:r>
              <w:rPr>
                <w:lang w:eastAsia="en-US"/>
              </w:rPr>
              <w:t xml:space="preserve">Zdržal sa  </w:t>
            </w:r>
          </w:p>
          <w:p w:rsidR="00741907" w:rsidRDefault="00741907">
            <w:pPr>
              <w:spacing w:line="276" w:lineRule="auto"/>
              <w:rPr>
                <w:lang w:eastAsia="en-US"/>
              </w:rPr>
            </w:pPr>
            <w:r>
              <w:rPr>
                <w:lang w:eastAsia="en-US"/>
              </w:rPr>
              <w:t>Nehlasoval</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p>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kultúry</w:t>
            </w:r>
          </w:p>
          <w:p w:rsidR="00741907" w:rsidRDefault="00741907">
            <w:pPr>
              <w:spacing w:line="276" w:lineRule="auto"/>
              <w:rPr>
                <w:rFonts w:ascii="Arial" w:eastAsia="Arial Unicode MS" w:hAnsi="Arial" w:cs="Arial"/>
                <w:b/>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rsidP="00440593">
            <w:pPr>
              <w:spacing w:line="276" w:lineRule="auto"/>
              <w:rPr>
                <w:lang w:eastAsia="en-US"/>
              </w:rPr>
            </w:pPr>
            <w:r>
              <w:rPr>
                <w:lang w:eastAsia="en-US"/>
              </w:rPr>
              <w:t xml:space="preserve">Materiál bol prerokovaný </w:t>
            </w:r>
            <w:r w:rsidR="00930BFA">
              <w:rPr>
                <w:lang w:eastAsia="en-US"/>
              </w:rPr>
              <w:t>komisia odporúča ZBSK schváliť predložený návrh uznesenia.</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930BFA">
            <w:pPr>
              <w:spacing w:line="276" w:lineRule="auto"/>
              <w:rPr>
                <w:lang w:eastAsia="en-US"/>
              </w:rPr>
            </w:pPr>
            <w:r>
              <w:rPr>
                <w:lang w:eastAsia="en-US"/>
              </w:rPr>
              <w:t>Prítomní 8</w:t>
            </w:r>
          </w:p>
          <w:p w:rsidR="00741907" w:rsidRDefault="00930BFA">
            <w:pPr>
              <w:spacing w:line="276" w:lineRule="auto"/>
              <w:rPr>
                <w:lang w:eastAsia="en-US"/>
              </w:rPr>
            </w:pPr>
            <w:r>
              <w:rPr>
                <w:lang w:eastAsia="en-US"/>
              </w:rPr>
              <w:t>Za           6</w:t>
            </w:r>
          </w:p>
          <w:p w:rsidR="00741907" w:rsidRDefault="00741907">
            <w:pPr>
              <w:spacing w:line="276" w:lineRule="auto"/>
              <w:rPr>
                <w:lang w:eastAsia="en-US"/>
              </w:rPr>
            </w:pPr>
            <w:r>
              <w:rPr>
                <w:lang w:eastAsia="en-US"/>
              </w:rPr>
              <w:t>Proti      0  Zdržal sa 0</w:t>
            </w:r>
          </w:p>
          <w:p w:rsidR="00741907" w:rsidRDefault="00741907">
            <w:pPr>
              <w:tabs>
                <w:tab w:val="left" w:pos="1090"/>
              </w:tabs>
              <w:spacing w:line="276" w:lineRule="auto"/>
              <w:rPr>
                <w:lang w:eastAsia="en-US"/>
              </w:rPr>
            </w:pPr>
            <w:r>
              <w:rPr>
                <w:lang w:eastAsia="en-US"/>
              </w:rPr>
              <w:t>Nehlasoval</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p>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 xml:space="preserve">Komisia regionálneho rozvoja, územného plánovania a životného prostredia </w:t>
            </w:r>
          </w:p>
          <w:p w:rsidR="00741907" w:rsidRDefault="00741907">
            <w:pPr>
              <w:spacing w:line="276" w:lineRule="auto"/>
              <w:rPr>
                <w:rFonts w:ascii="Arial" w:eastAsia="Arial Unicode MS" w:hAnsi="Arial" w:cs="Arial"/>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Materiál nebol prerokovaný</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 xml:space="preserve">Prítomní  </w:t>
            </w:r>
          </w:p>
          <w:p w:rsidR="00741907" w:rsidRDefault="00741907">
            <w:pPr>
              <w:spacing w:line="276" w:lineRule="auto"/>
              <w:rPr>
                <w:lang w:eastAsia="en-US"/>
              </w:rPr>
            </w:pPr>
            <w:r>
              <w:rPr>
                <w:lang w:eastAsia="en-US"/>
              </w:rPr>
              <w:t xml:space="preserve">Za            </w:t>
            </w:r>
          </w:p>
          <w:p w:rsidR="00741907" w:rsidRDefault="00741907">
            <w:pPr>
              <w:spacing w:line="276" w:lineRule="auto"/>
              <w:rPr>
                <w:lang w:eastAsia="en-US"/>
              </w:rPr>
            </w:pPr>
            <w:r>
              <w:rPr>
                <w:lang w:eastAsia="en-US"/>
              </w:rPr>
              <w:t xml:space="preserve">Proti        </w:t>
            </w:r>
          </w:p>
          <w:p w:rsidR="00741907" w:rsidRDefault="00741907">
            <w:pPr>
              <w:spacing w:line="276" w:lineRule="auto"/>
              <w:rPr>
                <w:lang w:eastAsia="en-US"/>
              </w:rPr>
            </w:pPr>
            <w:r>
              <w:rPr>
                <w:lang w:eastAsia="en-US"/>
              </w:rPr>
              <w:t xml:space="preserve">Zdržal sa    </w:t>
            </w:r>
          </w:p>
          <w:p w:rsidR="00741907" w:rsidRDefault="00741907">
            <w:pPr>
              <w:spacing w:line="276" w:lineRule="auto"/>
              <w:rPr>
                <w:lang w:eastAsia="en-US"/>
              </w:rPr>
            </w:pPr>
            <w:r>
              <w:rPr>
                <w:lang w:eastAsia="en-US"/>
              </w:rPr>
              <w:t>Nehlasoval</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b/>
                <w:sz w:val="22"/>
                <w:szCs w:val="22"/>
                <w:lang w:eastAsia="en-US"/>
              </w:rPr>
            </w:pPr>
          </w:p>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 xml:space="preserve">Komisia </w:t>
            </w:r>
            <w:r>
              <w:rPr>
                <w:rFonts w:ascii="Arial" w:eastAsia="Arial Unicode MS" w:hAnsi="Arial" w:cs="Arial"/>
                <w:sz w:val="22"/>
                <w:szCs w:val="22"/>
                <w:lang w:eastAsia="en-US"/>
              </w:rPr>
              <w:lastRenderedPageBreak/>
              <w:t>školstva, športu a mládeže</w:t>
            </w:r>
          </w:p>
          <w:p w:rsidR="00741907" w:rsidRDefault="00741907">
            <w:pPr>
              <w:spacing w:line="276" w:lineRule="auto"/>
              <w:rPr>
                <w:rFonts w:ascii="Arial" w:eastAsia="Arial Unicode MS" w:hAnsi="Arial" w:cs="Arial"/>
                <w:sz w:val="22"/>
                <w:szCs w:val="22"/>
                <w:lang w:eastAsia="en-US"/>
              </w:rPr>
            </w:pPr>
          </w:p>
          <w:p w:rsidR="00741907" w:rsidRDefault="00741907">
            <w:pPr>
              <w:spacing w:line="276" w:lineRule="auto"/>
              <w:rPr>
                <w:rFonts w:ascii="Arial" w:eastAsia="Arial Unicode MS" w:hAnsi="Arial" w:cs="Arial"/>
                <w:sz w:val="22"/>
                <w:szCs w:val="22"/>
                <w:lang w:eastAsia="en-US"/>
              </w:rPr>
            </w:pPr>
          </w:p>
        </w:tc>
        <w:tc>
          <w:tcPr>
            <w:tcW w:w="1409"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p w:rsidR="00741907" w:rsidRDefault="00741907">
            <w:pPr>
              <w:spacing w:line="276" w:lineRule="auto"/>
              <w:rPr>
                <w:lang w:eastAsia="en-US"/>
              </w:rPr>
            </w:pPr>
            <w:r>
              <w:rPr>
                <w:lang w:eastAsia="en-US"/>
              </w:rPr>
              <w:t xml:space="preserve">Materiál nebol </w:t>
            </w:r>
            <w:r>
              <w:rPr>
                <w:lang w:eastAsia="en-US"/>
              </w:rPr>
              <w:lastRenderedPageBreak/>
              <w:t xml:space="preserve">prerokovaný </w:t>
            </w:r>
          </w:p>
        </w:tc>
        <w:tc>
          <w:tcPr>
            <w:tcW w:w="743"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lastRenderedPageBreak/>
              <w:t xml:space="preserve">Prítomní      </w:t>
            </w:r>
          </w:p>
          <w:p w:rsidR="00741907" w:rsidRDefault="00741907">
            <w:pPr>
              <w:spacing w:line="276" w:lineRule="auto"/>
              <w:rPr>
                <w:lang w:eastAsia="en-US"/>
              </w:rPr>
            </w:pPr>
            <w:r>
              <w:rPr>
                <w:lang w:eastAsia="en-US"/>
              </w:rPr>
              <w:t xml:space="preserve">Za                </w:t>
            </w:r>
          </w:p>
          <w:p w:rsidR="00741907" w:rsidRDefault="007F09C1">
            <w:pPr>
              <w:spacing w:line="276" w:lineRule="auto"/>
              <w:rPr>
                <w:lang w:eastAsia="en-US"/>
              </w:rPr>
            </w:pPr>
            <w:r>
              <w:rPr>
                <w:lang w:eastAsia="en-US"/>
              </w:rPr>
              <w:lastRenderedPageBreak/>
              <w:t xml:space="preserve">Proti            </w:t>
            </w:r>
          </w:p>
          <w:p w:rsidR="00741907" w:rsidRDefault="007F09C1">
            <w:pPr>
              <w:spacing w:line="276" w:lineRule="auto"/>
              <w:rPr>
                <w:lang w:eastAsia="en-US"/>
              </w:rPr>
            </w:pPr>
            <w:r>
              <w:rPr>
                <w:lang w:eastAsia="en-US"/>
              </w:rPr>
              <w:t xml:space="preserve">Zdržal sa     </w:t>
            </w:r>
          </w:p>
          <w:p w:rsidR="00741907" w:rsidRDefault="007F09C1">
            <w:pPr>
              <w:spacing w:line="276" w:lineRule="auto"/>
              <w:rPr>
                <w:lang w:eastAsia="en-US"/>
              </w:rPr>
            </w:pPr>
            <w:r>
              <w:rPr>
                <w:lang w:eastAsia="en-US"/>
              </w:rPr>
              <w:t xml:space="preserve">Nehlasoval  </w:t>
            </w:r>
          </w:p>
        </w:tc>
        <w:tc>
          <w:tcPr>
            <w:tcW w:w="986"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8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741907" w:rsidTr="00A821D4">
        <w:tc>
          <w:tcPr>
            <w:tcW w:w="876"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lastRenderedPageBreak/>
              <w:t>Finančná komisia</w:t>
            </w:r>
          </w:p>
          <w:p w:rsidR="00741907" w:rsidRDefault="00741907">
            <w:pPr>
              <w:spacing w:line="276" w:lineRule="auto"/>
              <w:rPr>
                <w:rFonts w:ascii="Arial" w:eastAsia="Arial Unicode MS" w:hAnsi="Arial" w:cs="Arial"/>
                <w:sz w:val="22"/>
                <w:szCs w:val="22"/>
                <w:lang w:eastAsia="en-US"/>
              </w:rPr>
            </w:pPr>
          </w:p>
          <w:p w:rsidR="00741907" w:rsidRDefault="00741907">
            <w:pPr>
              <w:spacing w:line="276" w:lineRule="auto"/>
              <w:rPr>
                <w:rFonts w:ascii="Arial" w:eastAsia="Arial Unicode MS" w:hAnsi="Arial" w:cs="Arial"/>
                <w:sz w:val="22"/>
                <w:szCs w:val="22"/>
                <w:lang w:eastAsia="en-US"/>
              </w:rPr>
            </w:pPr>
          </w:p>
        </w:tc>
        <w:tc>
          <w:tcPr>
            <w:tcW w:w="1419" w:type="pct"/>
            <w:gridSpan w:val="2"/>
            <w:tcBorders>
              <w:top w:val="single" w:sz="4" w:space="0" w:color="auto"/>
              <w:left w:val="single" w:sz="4" w:space="0" w:color="auto"/>
              <w:bottom w:val="single" w:sz="4" w:space="0" w:color="auto"/>
              <w:right w:val="single" w:sz="4" w:space="0" w:color="auto"/>
            </w:tcBorders>
            <w:hideMark/>
          </w:tcPr>
          <w:p w:rsidR="00741907" w:rsidRDefault="00741907">
            <w:pPr>
              <w:spacing w:line="276" w:lineRule="auto"/>
              <w:rPr>
                <w:lang w:eastAsia="en-US"/>
              </w:rPr>
            </w:pPr>
            <w:r>
              <w:rPr>
                <w:lang w:eastAsia="en-US"/>
              </w:rPr>
              <w:t xml:space="preserve">Materiál bol prerokovaný </w:t>
            </w:r>
            <w:r w:rsidR="00265D27">
              <w:rPr>
                <w:lang w:eastAsia="en-US"/>
              </w:rPr>
              <w:t xml:space="preserve">- </w:t>
            </w:r>
            <w:r w:rsidR="00265D27">
              <w:t>komisia odporúča uvedený materiál predložiť a schváliť na rokovaní ZBSK.</w:t>
            </w:r>
          </w:p>
        </w:tc>
        <w:tc>
          <w:tcPr>
            <w:tcW w:w="733" w:type="pct"/>
            <w:tcBorders>
              <w:top w:val="single" w:sz="4" w:space="0" w:color="auto"/>
              <w:left w:val="single" w:sz="4" w:space="0" w:color="auto"/>
              <w:bottom w:val="single" w:sz="4" w:space="0" w:color="auto"/>
              <w:right w:val="single" w:sz="4" w:space="0" w:color="auto"/>
            </w:tcBorders>
            <w:hideMark/>
          </w:tcPr>
          <w:p w:rsidR="00741907" w:rsidRDefault="00265D27">
            <w:pPr>
              <w:spacing w:line="276" w:lineRule="auto"/>
              <w:jc w:val="both"/>
              <w:rPr>
                <w:lang w:eastAsia="en-US"/>
              </w:rPr>
            </w:pPr>
            <w:r>
              <w:rPr>
                <w:lang w:eastAsia="en-US"/>
              </w:rPr>
              <w:t>Prítomní  6</w:t>
            </w:r>
            <w:r w:rsidR="00741907">
              <w:rPr>
                <w:lang w:eastAsia="en-US"/>
              </w:rPr>
              <w:t xml:space="preserve">  </w:t>
            </w:r>
          </w:p>
          <w:p w:rsidR="00741907" w:rsidRDefault="00741907">
            <w:pPr>
              <w:spacing w:line="276" w:lineRule="auto"/>
              <w:jc w:val="both"/>
              <w:rPr>
                <w:lang w:eastAsia="en-US"/>
              </w:rPr>
            </w:pPr>
            <w:r>
              <w:rPr>
                <w:lang w:eastAsia="en-US"/>
              </w:rPr>
              <w:t xml:space="preserve">Za  </w:t>
            </w:r>
            <w:r w:rsidR="00265D27">
              <w:rPr>
                <w:lang w:eastAsia="en-US"/>
              </w:rPr>
              <w:t>6</w:t>
            </w:r>
            <w:r>
              <w:rPr>
                <w:lang w:eastAsia="en-US"/>
              </w:rPr>
              <w:t xml:space="preserve">           </w:t>
            </w:r>
          </w:p>
          <w:p w:rsidR="00741907" w:rsidRDefault="00741907">
            <w:pPr>
              <w:spacing w:line="276" w:lineRule="auto"/>
              <w:jc w:val="both"/>
              <w:rPr>
                <w:lang w:eastAsia="en-US"/>
              </w:rPr>
            </w:pPr>
            <w:r>
              <w:rPr>
                <w:lang w:eastAsia="en-US"/>
              </w:rPr>
              <w:t xml:space="preserve">Proti       0     </w:t>
            </w:r>
          </w:p>
          <w:p w:rsidR="00741907" w:rsidRDefault="00741907">
            <w:pPr>
              <w:spacing w:line="276" w:lineRule="auto"/>
              <w:jc w:val="both"/>
              <w:rPr>
                <w:lang w:eastAsia="en-US"/>
              </w:rPr>
            </w:pPr>
            <w:r>
              <w:rPr>
                <w:lang w:eastAsia="en-US"/>
              </w:rPr>
              <w:t xml:space="preserve">Zdržal sa   0  </w:t>
            </w:r>
          </w:p>
          <w:p w:rsidR="00741907" w:rsidRDefault="00741907">
            <w:pPr>
              <w:spacing w:line="276" w:lineRule="auto"/>
              <w:jc w:val="both"/>
              <w:rPr>
                <w:lang w:eastAsia="en-US"/>
              </w:rPr>
            </w:pPr>
            <w:r>
              <w:rPr>
                <w:lang w:eastAsia="en-US"/>
              </w:rPr>
              <w:t>Nehlasoval  0</w:t>
            </w:r>
          </w:p>
        </w:tc>
        <w:tc>
          <w:tcPr>
            <w:tcW w:w="974" w:type="pct"/>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c>
          <w:tcPr>
            <w:tcW w:w="998" w:type="pct"/>
            <w:gridSpan w:val="2"/>
            <w:tcBorders>
              <w:top w:val="single" w:sz="4" w:space="0" w:color="auto"/>
              <w:left w:val="single" w:sz="4" w:space="0" w:color="auto"/>
              <w:bottom w:val="single" w:sz="4" w:space="0" w:color="auto"/>
              <w:right w:val="single" w:sz="4" w:space="0" w:color="auto"/>
            </w:tcBorders>
          </w:tcPr>
          <w:p w:rsidR="00741907" w:rsidRDefault="00741907">
            <w:pPr>
              <w:spacing w:line="276" w:lineRule="auto"/>
              <w:rPr>
                <w:lang w:eastAsia="en-US"/>
              </w:rPr>
            </w:pPr>
          </w:p>
        </w:tc>
      </w:tr>
      <w:tr w:rsidR="00A821D4" w:rsidTr="00A821D4">
        <w:tc>
          <w:tcPr>
            <w:tcW w:w="877" w:type="pct"/>
            <w:tcBorders>
              <w:top w:val="single" w:sz="4" w:space="0" w:color="auto"/>
              <w:left w:val="single" w:sz="4" w:space="0" w:color="auto"/>
              <w:bottom w:val="single" w:sz="4" w:space="0" w:color="auto"/>
              <w:right w:val="single" w:sz="4" w:space="0" w:color="auto"/>
            </w:tcBorders>
          </w:tcPr>
          <w:p w:rsidR="00A821D4" w:rsidRDefault="00A821D4" w:rsidP="006459F4">
            <w:pPr>
              <w:rPr>
                <w:rFonts w:ascii="Arial" w:eastAsia="Arial Unicode MS" w:hAnsi="Arial" w:cs="Arial"/>
                <w:b/>
              </w:rPr>
            </w:pPr>
          </w:p>
          <w:p w:rsidR="00A821D4" w:rsidRPr="004B79C6" w:rsidRDefault="00A821D4" w:rsidP="006459F4">
            <w:pPr>
              <w:rPr>
                <w:rFonts w:ascii="Arial" w:eastAsia="Arial Unicode MS" w:hAnsi="Arial" w:cs="Arial"/>
              </w:rPr>
            </w:pPr>
            <w:r w:rsidRPr="004B79C6">
              <w:rPr>
                <w:rFonts w:ascii="Arial" w:hAnsi="Arial" w:cs="Arial"/>
              </w:rPr>
              <w:t>Komisie majetku, investícií a verejného obstarávania</w:t>
            </w:r>
          </w:p>
        </w:tc>
        <w:tc>
          <w:tcPr>
            <w:tcW w:w="1409" w:type="pct"/>
            <w:tcBorders>
              <w:top w:val="single" w:sz="4" w:space="0" w:color="auto"/>
              <w:left w:val="single" w:sz="4" w:space="0" w:color="auto"/>
              <w:bottom w:val="single" w:sz="4" w:space="0" w:color="auto"/>
              <w:right w:val="single" w:sz="4" w:space="0" w:color="auto"/>
            </w:tcBorders>
            <w:hideMark/>
          </w:tcPr>
          <w:p w:rsidR="00A821D4" w:rsidRDefault="00A821D4" w:rsidP="006459F4">
            <w:r>
              <w:t xml:space="preserve">Materiál bol prerokovaný </w:t>
            </w:r>
            <w:r w:rsidR="00EC65FE">
              <w:t>– komisia odporúča uvedený materiál predložiť a schváliť na rokovaní ZBSK.</w:t>
            </w:r>
          </w:p>
        </w:tc>
        <w:tc>
          <w:tcPr>
            <w:tcW w:w="743" w:type="pct"/>
            <w:gridSpan w:val="2"/>
            <w:tcBorders>
              <w:top w:val="single" w:sz="4" w:space="0" w:color="auto"/>
              <w:left w:val="single" w:sz="4" w:space="0" w:color="auto"/>
              <w:bottom w:val="single" w:sz="4" w:space="0" w:color="auto"/>
              <w:right w:val="single" w:sz="4" w:space="0" w:color="auto"/>
            </w:tcBorders>
            <w:hideMark/>
          </w:tcPr>
          <w:p w:rsidR="00A821D4" w:rsidRDefault="00A821D4" w:rsidP="006459F4">
            <w:r>
              <w:t xml:space="preserve">Prítomní  </w:t>
            </w:r>
            <w:r w:rsidR="00EC65FE">
              <w:t>5</w:t>
            </w:r>
          </w:p>
          <w:p w:rsidR="00A821D4" w:rsidRDefault="00A821D4" w:rsidP="006459F4">
            <w:r>
              <w:t xml:space="preserve">Za            </w:t>
            </w:r>
            <w:r w:rsidR="00EC65FE">
              <w:t>5</w:t>
            </w:r>
          </w:p>
          <w:p w:rsidR="00A821D4" w:rsidRDefault="00A821D4" w:rsidP="006459F4">
            <w:r>
              <w:t xml:space="preserve">Proti        </w:t>
            </w:r>
            <w:r w:rsidR="00EC65FE">
              <w:t>0</w:t>
            </w:r>
          </w:p>
          <w:p w:rsidR="00A821D4" w:rsidRDefault="00A821D4" w:rsidP="006459F4">
            <w:r>
              <w:t xml:space="preserve">Zdržal sa  </w:t>
            </w:r>
            <w:r w:rsidR="00EC65FE">
              <w:t>0</w:t>
            </w:r>
            <w:r>
              <w:t xml:space="preserve"> </w:t>
            </w:r>
          </w:p>
          <w:p w:rsidR="00A821D4" w:rsidRDefault="00A821D4" w:rsidP="006459F4">
            <w:r>
              <w:t>Nehlasoval</w:t>
            </w:r>
          </w:p>
        </w:tc>
        <w:tc>
          <w:tcPr>
            <w:tcW w:w="986" w:type="pct"/>
            <w:gridSpan w:val="2"/>
            <w:tcBorders>
              <w:top w:val="single" w:sz="4" w:space="0" w:color="auto"/>
              <w:left w:val="single" w:sz="4" w:space="0" w:color="auto"/>
              <w:bottom w:val="single" w:sz="4" w:space="0" w:color="auto"/>
              <w:right w:val="single" w:sz="4" w:space="0" w:color="auto"/>
            </w:tcBorders>
          </w:tcPr>
          <w:p w:rsidR="00A821D4" w:rsidRDefault="00A821D4" w:rsidP="006459F4"/>
        </w:tc>
        <w:tc>
          <w:tcPr>
            <w:tcW w:w="986" w:type="pct"/>
            <w:tcBorders>
              <w:top w:val="single" w:sz="4" w:space="0" w:color="auto"/>
              <w:left w:val="single" w:sz="4" w:space="0" w:color="auto"/>
              <w:bottom w:val="single" w:sz="4" w:space="0" w:color="auto"/>
              <w:right w:val="single" w:sz="4" w:space="0" w:color="auto"/>
            </w:tcBorders>
          </w:tcPr>
          <w:p w:rsidR="00A821D4" w:rsidRDefault="00A821D4" w:rsidP="006459F4"/>
        </w:tc>
      </w:tr>
    </w:tbl>
    <w:p w:rsidR="00741907" w:rsidRDefault="00741907" w:rsidP="00741907"/>
    <w:p w:rsidR="00741907" w:rsidRDefault="00741907" w:rsidP="00741907">
      <w:pPr>
        <w:jc w:val="both"/>
        <w:rPr>
          <w:rFonts w:ascii="Arial" w:hAnsi="Arial" w:cs="Arial"/>
        </w:rPr>
      </w:pPr>
    </w:p>
    <w:p w:rsidR="00741907" w:rsidRDefault="00741907" w:rsidP="00741907">
      <w:pPr>
        <w:rPr>
          <w:rFonts w:ascii="Trebuchet MS" w:hAnsi="Trebuchet MS"/>
        </w:rPr>
      </w:pPr>
    </w:p>
    <w:p w:rsidR="00412046" w:rsidRDefault="00412046"/>
    <w:sectPr w:rsidR="004120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41D" w:rsidRDefault="00F5141D" w:rsidP="00F217AC">
      <w:r>
        <w:separator/>
      </w:r>
    </w:p>
  </w:endnote>
  <w:endnote w:type="continuationSeparator" w:id="0">
    <w:p w:rsidR="00F5141D" w:rsidRDefault="00F5141D" w:rsidP="00F2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41D" w:rsidRDefault="00F5141D" w:rsidP="00F217AC">
      <w:r>
        <w:separator/>
      </w:r>
    </w:p>
  </w:footnote>
  <w:footnote w:type="continuationSeparator" w:id="0">
    <w:p w:rsidR="00F5141D" w:rsidRDefault="00F5141D" w:rsidP="00F21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3ADF308E"/>
    <w:multiLevelType w:val="hybridMultilevel"/>
    <w:tmpl w:val="EAB6EEFE"/>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52210967"/>
    <w:multiLevelType w:val="hybridMultilevel"/>
    <w:tmpl w:val="77D6C7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nsid w:val="613E5377"/>
    <w:multiLevelType w:val="hybridMultilevel"/>
    <w:tmpl w:val="CAC0B1EE"/>
    <w:lvl w:ilvl="0" w:tplc="0376024A">
      <w:start w:val="1"/>
      <w:numFmt w:val="bullet"/>
      <w:lvlText w:val="-"/>
      <w:lvlJc w:val="left"/>
      <w:pPr>
        <w:ind w:left="960" w:hanging="360"/>
      </w:pPr>
      <w:rPr>
        <w:rFonts w:ascii="Arial" w:eastAsia="Times New Roman" w:hAnsi="Arial" w:cs="Arial"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718"/>
    <w:rsid w:val="000059CA"/>
    <w:rsid w:val="00045E3C"/>
    <w:rsid w:val="00055E30"/>
    <w:rsid w:val="000F614B"/>
    <w:rsid w:val="00265D27"/>
    <w:rsid w:val="003616CA"/>
    <w:rsid w:val="00363CE9"/>
    <w:rsid w:val="00376E56"/>
    <w:rsid w:val="003B4C58"/>
    <w:rsid w:val="00403066"/>
    <w:rsid w:val="00412046"/>
    <w:rsid w:val="00440593"/>
    <w:rsid w:val="004B79C6"/>
    <w:rsid w:val="00520141"/>
    <w:rsid w:val="00575EC0"/>
    <w:rsid w:val="00605039"/>
    <w:rsid w:val="0063215F"/>
    <w:rsid w:val="006C3BA1"/>
    <w:rsid w:val="006E178E"/>
    <w:rsid w:val="00741907"/>
    <w:rsid w:val="00770EAE"/>
    <w:rsid w:val="007F09C1"/>
    <w:rsid w:val="007F20D8"/>
    <w:rsid w:val="007F3F6D"/>
    <w:rsid w:val="00820580"/>
    <w:rsid w:val="0087233F"/>
    <w:rsid w:val="008E681B"/>
    <w:rsid w:val="00930BFA"/>
    <w:rsid w:val="00947360"/>
    <w:rsid w:val="009732B1"/>
    <w:rsid w:val="00990F59"/>
    <w:rsid w:val="00A56427"/>
    <w:rsid w:val="00A63718"/>
    <w:rsid w:val="00A821D4"/>
    <w:rsid w:val="00AD44EC"/>
    <w:rsid w:val="00BA1309"/>
    <w:rsid w:val="00BD4E3B"/>
    <w:rsid w:val="00BF5884"/>
    <w:rsid w:val="00BF688C"/>
    <w:rsid w:val="00CA6198"/>
    <w:rsid w:val="00D63BF1"/>
    <w:rsid w:val="00DB0EFF"/>
    <w:rsid w:val="00E76673"/>
    <w:rsid w:val="00EC65FE"/>
    <w:rsid w:val="00EF0EDA"/>
    <w:rsid w:val="00F03762"/>
    <w:rsid w:val="00F217AC"/>
    <w:rsid w:val="00F5141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4190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52014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41907"/>
    <w:pPr>
      <w:ind w:left="720"/>
    </w:pPr>
    <w:rPr>
      <w:rFonts w:eastAsiaTheme="minorHAnsi"/>
    </w:rPr>
  </w:style>
  <w:style w:type="character" w:styleId="Siln">
    <w:name w:val="Strong"/>
    <w:basedOn w:val="Predvolenpsmoodseku"/>
    <w:uiPriority w:val="22"/>
    <w:qFormat/>
    <w:rsid w:val="00820580"/>
    <w:rPr>
      <w:b/>
      <w:bCs/>
    </w:rPr>
  </w:style>
  <w:style w:type="paragraph" w:styleId="Textbubliny">
    <w:name w:val="Balloon Text"/>
    <w:basedOn w:val="Normlny"/>
    <w:link w:val="TextbublinyChar"/>
    <w:uiPriority w:val="99"/>
    <w:semiHidden/>
    <w:unhideWhenUsed/>
    <w:rsid w:val="00E76673"/>
    <w:rPr>
      <w:rFonts w:ascii="Tahoma" w:hAnsi="Tahoma" w:cs="Tahoma"/>
      <w:sz w:val="16"/>
      <w:szCs w:val="16"/>
    </w:rPr>
  </w:style>
  <w:style w:type="character" w:customStyle="1" w:styleId="TextbublinyChar">
    <w:name w:val="Text bubliny Char"/>
    <w:basedOn w:val="Predvolenpsmoodseku"/>
    <w:link w:val="Textbubliny"/>
    <w:uiPriority w:val="99"/>
    <w:semiHidden/>
    <w:rsid w:val="00E76673"/>
    <w:rPr>
      <w:rFonts w:ascii="Tahoma" w:eastAsia="Times New Roman" w:hAnsi="Tahoma" w:cs="Tahoma"/>
      <w:sz w:val="16"/>
      <w:szCs w:val="16"/>
      <w:lang w:eastAsia="sk-SK"/>
    </w:rPr>
  </w:style>
  <w:style w:type="character" w:customStyle="1" w:styleId="Nadpis1Char">
    <w:name w:val="Nadpis 1 Char"/>
    <w:basedOn w:val="Predvolenpsmoodseku"/>
    <w:link w:val="Nadpis1"/>
    <w:uiPriority w:val="9"/>
    <w:rsid w:val="00520141"/>
    <w:rPr>
      <w:rFonts w:asciiTheme="majorHAnsi" w:eastAsiaTheme="majorEastAsia" w:hAnsiTheme="majorHAnsi" w:cstheme="majorBidi"/>
      <w:b/>
      <w:bCs/>
      <w:color w:val="365F91" w:themeColor="accent1" w:themeShade="BF"/>
      <w:sz w:val="28"/>
      <w:szCs w:val="28"/>
      <w:lang w:eastAsia="sk-SK"/>
    </w:rPr>
  </w:style>
  <w:style w:type="paragraph" w:styleId="Bezriadkovania">
    <w:name w:val="No Spacing"/>
    <w:uiPriority w:val="1"/>
    <w:qFormat/>
    <w:rsid w:val="00520141"/>
    <w:pPr>
      <w:spacing w:after="0" w:line="240" w:lineRule="auto"/>
    </w:pPr>
    <w:rPr>
      <w:rFonts w:eastAsiaTheme="minorEastAsia"/>
      <w:lang w:eastAsia="sk-SK"/>
    </w:rPr>
  </w:style>
  <w:style w:type="paragraph" w:styleId="Hlavika">
    <w:name w:val="header"/>
    <w:basedOn w:val="Normlny"/>
    <w:link w:val="HlavikaChar"/>
    <w:uiPriority w:val="99"/>
    <w:unhideWhenUsed/>
    <w:rsid w:val="00F217AC"/>
    <w:pPr>
      <w:tabs>
        <w:tab w:val="center" w:pos="4536"/>
        <w:tab w:val="right" w:pos="9072"/>
      </w:tabs>
    </w:pPr>
  </w:style>
  <w:style w:type="character" w:customStyle="1" w:styleId="HlavikaChar">
    <w:name w:val="Hlavička Char"/>
    <w:basedOn w:val="Predvolenpsmoodseku"/>
    <w:link w:val="Hlavika"/>
    <w:uiPriority w:val="99"/>
    <w:rsid w:val="00F217A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217AC"/>
    <w:pPr>
      <w:tabs>
        <w:tab w:val="center" w:pos="4536"/>
        <w:tab w:val="right" w:pos="9072"/>
      </w:tabs>
    </w:pPr>
  </w:style>
  <w:style w:type="character" w:customStyle="1" w:styleId="PtaChar">
    <w:name w:val="Päta Char"/>
    <w:basedOn w:val="Predvolenpsmoodseku"/>
    <w:link w:val="Pta"/>
    <w:uiPriority w:val="99"/>
    <w:rsid w:val="00F217AC"/>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4190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52014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41907"/>
    <w:pPr>
      <w:ind w:left="720"/>
    </w:pPr>
    <w:rPr>
      <w:rFonts w:eastAsiaTheme="minorHAnsi"/>
    </w:rPr>
  </w:style>
  <w:style w:type="character" w:styleId="Siln">
    <w:name w:val="Strong"/>
    <w:basedOn w:val="Predvolenpsmoodseku"/>
    <w:uiPriority w:val="22"/>
    <w:qFormat/>
    <w:rsid w:val="00820580"/>
    <w:rPr>
      <w:b/>
      <w:bCs/>
    </w:rPr>
  </w:style>
  <w:style w:type="paragraph" w:styleId="Textbubliny">
    <w:name w:val="Balloon Text"/>
    <w:basedOn w:val="Normlny"/>
    <w:link w:val="TextbublinyChar"/>
    <w:uiPriority w:val="99"/>
    <w:semiHidden/>
    <w:unhideWhenUsed/>
    <w:rsid w:val="00E76673"/>
    <w:rPr>
      <w:rFonts w:ascii="Tahoma" w:hAnsi="Tahoma" w:cs="Tahoma"/>
      <w:sz w:val="16"/>
      <w:szCs w:val="16"/>
    </w:rPr>
  </w:style>
  <w:style w:type="character" w:customStyle="1" w:styleId="TextbublinyChar">
    <w:name w:val="Text bubliny Char"/>
    <w:basedOn w:val="Predvolenpsmoodseku"/>
    <w:link w:val="Textbubliny"/>
    <w:uiPriority w:val="99"/>
    <w:semiHidden/>
    <w:rsid w:val="00E76673"/>
    <w:rPr>
      <w:rFonts w:ascii="Tahoma" w:eastAsia="Times New Roman" w:hAnsi="Tahoma" w:cs="Tahoma"/>
      <w:sz w:val="16"/>
      <w:szCs w:val="16"/>
      <w:lang w:eastAsia="sk-SK"/>
    </w:rPr>
  </w:style>
  <w:style w:type="character" w:customStyle="1" w:styleId="Nadpis1Char">
    <w:name w:val="Nadpis 1 Char"/>
    <w:basedOn w:val="Predvolenpsmoodseku"/>
    <w:link w:val="Nadpis1"/>
    <w:uiPriority w:val="9"/>
    <w:rsid w:val="00520141"/>
    <w:rPr>
      <w:rFonts w:asciiTheme="majorHAnsi" w:eastAsiaTheme="majorEastAsia" w:hAnsiTheme="majorHAnsi" w:cstheme="majorBidi"/>
      <w:b/>
      <w:bCs/>
      <w:color w:val="365F91" w:themeColor="accent1" w:themeShade="BF"/>
      <w:sz w:val="28"/>
      <w:szCs w:val="28"/>
      <w:lang w:eastAsia="sk-SK"/>
    </w:rPr>
  </w:style>
  <w:style w:type="paragraph" w:styleId="Bezriadkovania">
    <w:name w:val="No Spacing"/>
    <w:uiPriority w:val="1"/>
    <w:qFormat/>
    <w:rsid w:val="00520141"/>
    <w:pPr>
      <w:spacing w:after="0" w:line="240" w:lineRule="auto"/>
    </w:pPr>
    <w:rPr>
      <w:rFonts w:eastAsiaTheme="minorEastAsia"/>
      <w:lang w:eastAsia="sk-SK"/>
    </w:rPr>
  </w:style>
  <w:style w:type="paragraph" w:styleId="Hlavika">
    <w:name w:val="header"/>
    <w:basedOn w:val="Normlny"/>
    <w:link w:val="HlavikaChar"/>
    <w:uiPriority w:val="99"/>
    <w:unhideWhenUsed/>
    <w:rsid w:val="00F217AC"/>
    <w:pPr>
      <w:tabs>
        <w:tab w:val="center" w:pos="4536"/>
        <w:tab w:val="right" w:pos="9072"/>
      </w:tabs>
    </w:pPr>
  </w:style>
  <w:style w:type="character" w:customStyle="1" w:styleId="HlavikaChar">
    <w:name w:val="Hlavička Char"/>
    <w:basedOn w:val="Predvolenpsmoodseku"/>
    <w:link w:val="Hlavika"/>
    <w:uiPriority w:val="99"/>
    <w:rsid w:val="00F217A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217AC"/>
    <w:pPr>
      <w:tabs>
        <w:tab w:val="center" w:pos="4536"/>
        <w:tab w:val="right" w:pos="9072"/>
      </w:tabs>
    </w:pPr>
  </w:style>
  <w:style w:type="character" w:customStyle="1" w:styleId="PtaChar">
    <w:name w:val="Päta Char"/>
    <w:basedOn w:val="Predvolenpsmoodseku"/>
    <w:link w:val="Pta"/>
    <w:uiPriority w:val="99"/>
    <w:rsid w:val="00F217AC"/>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27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A49DD-1B75-4821-B07D-925C44AC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1708</Words>
  <Characters>9737</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2014-12-01T10:55:00Z</cp:lastPrinted>
  <dcterms:created xsi:type="dcterms:W3CDTF">2014-12-02T18:29:00Z</dcterms:created>
  <dcterms:modified xsi:type="dcterms:W3CDTF">2014-12-02T18:29:00Z</dcterms:modified>
</cp:coreProperties>
</file>