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BA4" w:rsidRPr="00D62BA4" w:rsidRDefault="00D62BA4" w:rsidP="00D62BA4">
      <w:pPr>
        <w:jc w:val="center"/>
        <w:rPr>
          <w:rFonts w:ascii="Arial" w:hAnsi="Arial" w:cs="Arial"/>
          <w:b/>
          <w:sz w:val="36"/>
          <w:szCs w:val="36"/>
        </w:rPr>
      </w:pPr>
      <w:r w:rsidRPr="00D62BA4">
        <w:rPr>
          <w:rFonts w:ascii="Arial" w:hAnsi="Arial" w:cs="Arial"/>
          <w:b/>
          <w:sz w:val="36"/>
          <w:szCs w:val="36"/>
        </w:rPr>
        <w:t xml:space="preserve">Zastupiteľstvo Bratislavského samosprávneho kraja </w:t>
      </w:r>
    </w:p>
    <w:p w:rsidR="00D62BA4" w:rsidRPr="00D62BA4" w:rsidRDefault="00D62BA4" w:rsidP="00D62BA4">
      <w:pPr>
        <w:jc w:val="center"/>
        <w:rPr>
          <w:rFonts w:ascii="Arial" w:hAnsi="Arial" w:cs="Arial"/>
          <w:b/>
          <w:sz w:val="28"/>
          <w:szCs w:val="28"/>
        </w:rPr>
      </w:pPr>
    </w:p>
    <w:p w:rsidR="00D62BA4" w:rsidRPr="00D62BA4" w:rsidRDefault="00D62BA4" w:rsidP="00D62BA4">
      <w:pPr>
        <w:jc w:val="center"/>
        <w:rPr>
          <w:rFonts w:ascii="Arial" w:hAnsi="Arial" w:cs="Arial"/>
          <w:b/>
          <w:sz w:val="28"/>
          <w:szCs w:val="28"/>
        </w:rPr>
      </w:pPr>
    </w:p>
    <w:p w:rsidR="00D62BA4" w:rsidRPr="00D62BA4" w:rsidRDefault="00D62BA4" w:rsidP="00D62BA4">
      <w:pPr>
        <w:jc w:val="center"/>
        <w:rPr>
          <w:rFonts w:ascii="Arial" w:hAnsi="Arial" w:cs="Arial"/>
          <w:b/>
          <w:sz w:val="28"/>
          <w:szCs w:val="28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Materiál na rokovanie Zastupiteľstva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Bratislavského samosprávneho kraja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dňa 2</w:t>
      </w:r>
      <w:r w:rsidR="00FC196E">
        <w:rPr>
          <w:rFonts w:ascii="Arial" w:hAnsi="Arial" w:cs="Arial"/>
          <w:sz w:val="22"/>
          <w:szCs w:val="22"/>
        </w:rPr>
        <w:t>6</w:t>
      </w:r>
      <w:r w:rsidRPr="00D62BA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FC196E">
        <w:rPr>
          <w:rFonts w:ascii="Arial" w:hAnsi="Arial" w:cs="Arial"/>
          <w:sz w:val="22"/>
          <w:szCs w:val="22"/>
        </w:rPr>
        <w:t xml:space="preserve">októbra </w:t>
      </w:r>
      <w:r w:rsidRPr="00D62BA4">
        <w:rPr>
          <w:rFonts w:ascii="Arial" w:hAnsi="Arial" w:cs="Arial"/>
          <w:sz w:val="22"/>
          <w:szCs w:val="22"/>
        </w:rPr>
        <w:t>2012</w:t>
      </w:r>
    </w:p>
    <w:p w:rsidR="00D62BA4" w:rsidRPr="00D62BA4" w:rsidRDefault="00D62BA4" w:rsidP="00D62BA4">
      <w:pPr>
        <w:jc w:val="center"/>
        <w:rPr>
          <w:rFonts w:ascii="Arial" w:eastAsia="Calibri" w:hAnsi="Arial" w:cs="Arial"/>
          <w:b/>
          <w:lang w:eastAsia="en-US"/>
        </w:rPr>
      </w:pPr>
    </w:p>
    <w:p w:rsidR="00D62BA4" w:rsidRPr="00D62BA4" w:rsidRDefault="00D62BA4" w:rsidP="00D62BA4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62BA4" w:rsidRPr="00D62BA4" w:rsidRDefault="00D62BA4" w:rsidP="00D62BA4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62BA4" w:rsidRPr="00D62BA4" w:rsidRDefault="00D62BA4" w:rsidP="00D62BA4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62BA4" w:rsidRPr="00D62BA4" w:rsidRDefault="00D62BA4" w:rsidP="00D62BA4">
      <w:pPr>
        <w:jc w:val="center"/>
        <w:rPr>
          <w:rFonts w:ascii="Arial" w:hAnsi="Arial" w:cs="Arial"/>
          <w:b/>
          <w:sz w:val="32"/>
          <w:szCs w:val="32"/>
        </w:rPr>
      </w:pPr>
      <w:r w:rsidRPr="00D62BA4">
        <w:rPr>
          <w:rFonts w:ascii="Arial" w:hAnsi="Arial" w:cs="Arial"/>
          <w:b/>
          <w:sz w:val="32"/>
          <w:szCs w:val="32"/>
        </w:rPr>
        <w:t>Návrh</w:t>
      </w:r>
    </w:p>
    <w:p w:rsidR="00D62BA4" w:rsidRPr="00D62BA4" w:rsidRDefault="00D62BA4" w:rsidP="00D62BA4">
      <w:pPr>
        <w:jc w:val="center"/>
        <w:rPr>
          <w:rFonts w:ascii="Arial" w:hAnsi="Arial" w:cs="Arial"/>
          <w:b/>
          <w:sz w:val="32"/>
          <w:szCs w:val="32"/>
        </w:rPr>
      </w:pPr>
    </w:p>
    <w:p w:rsidR="00D62BA4" w:rsidRPr="0014025C" w:rsidRDefault="00FC196E" w:rsidP="00FC196E">
      <w:pPr>
        <w:pBdr>
          <w:bottom w:val="single" w:sz="4" w:space="1" w:color="auto"/>
        </w:pBd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eastAsia="Calibri" w:hAnsi="Arial" w:cs="Arial"/>
          <w:bCs/>
          <w:lang w:eastAsia="en-US"/>
        </w:rPr>
        <w:t>n</w:t>
      </w:r>
      <w:r w:rsidRPr="00E50BF3">
        <w:rPr>
          <w:rFonts w:ascii="Arial" w:eastAsia="Calibri" w:hAnsi="Arial" w:cs="Arial"/>
          <w:bCs/>
          <w:lang w:eastAsia="en-US"/>
        </w:rPr>
        <w:t xml:space="preserve">a zrušenie OVS </w:t>
      </w:r>
      <w:r w:rsidR="000C1861">
        <w:rPr>
          <w:rFonts w:ascii="Arial" w:eastAsia="Calibri" w:hAnsi="Arial" w:cs="Arial"/>
          <w:bCs/>
          <w:lang w:eastAsia="en-US"/>
        </w:rPr>
        <w:t xml:space="preserve">vyhlásenej Z BSK </w:t>
      </w:r>
      <w:r w:rsidRPr="00E50BF3">
        <w:rPr>
          <w:rFonts w:ascii="Arial" w:eastAsia="Calibri" w:hAnsi="Arial" w:cs="Arial"/>
          <w:bCs/>
          <w:lang w:eastAsia="en-US"/>
        </w:rPr>
        <w:t>dňa 22.júna 2012</w:t>
      </w:r>
      <w:r w:rsidR="000C1861">
        <w:rPr>
          <w:rFonts w:ascii="Arial" w:eastAsia="Calibri" w:hAnsi="Arial" w:cs="Arial"/>
          <w:bCs/>
          <w:lang w:eastAsia="en-US"/>
        </w:rPr>
        <w:t xml:space="preserve"> uznesením č. 57/2012 na predaj</w:t>
      </w:r>
      <w:r w:rsidRPr="00E50BF3">
        <w:rPr>
          <w:rFonts w:ascii="Arial" w:eastAsia="Calibri" w:hAnsi="Arial" w:cs="Arial"/>
          <w:bCs/>
          <w:lang w:eastAsia="en-US"/>
        </w:rPr>
        <w:t xml:space="preserve"> </w:t>
      </w:r>
      <w:r>
        <w:rPr>
          <w:rFonts w:ascii="Arial" w:eastAsia="Calibri" w:hAnsi="Arial" w:cs="Arial"/>
          <w:b/>
          <w:bCs/>
          <w:lang w:eastAsia="en-US"/>
        </w:rPr>
        <w:t>-</w:t>
      </w:r>
      <w:r w:rsidR="00D62BA4">
        <w:rPr>
          <w:rFonts w:ascii="Arial" w:hAnsi="Arial" w:cs="Arial"/>
          <w:b/>
        </w:rPr>
        <w:t>– „areál</w:t>
      </w:r>
      <w:r w:rsidR="00F21588">
        <w:rPr>
          <w:rFonts w:ascii="Arial" w:hAnsi="Arial" w:cs="Arial"/>
          <w:b/>
        </w:rPr>
        <w:t>u</w:t>
      </w:r>
      <w:r w:rsidR="00D62BA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bývalého SOU energetického, Pod </w:t>
      </w:r>
      <w:r w:rsidR="00D62BA4">
        <w:rPr>
          <w:rFonts w:ascii="Arial" w:hAnsi="Arial" w:cs="Arial"/>
          <w:b/>
        </w:rPr>
        <w:t xml:space="preserve">Holým vrchom, Záhorská Bystrica – k. ú. Záhorská Bystrica, okres Bratislava IV, obec BA IV., m. č. Záhorská Bystrica, evidovanom na LV č. 4526“ </w:t>
      </w:r>
    </w:p>
    <w:p w:rsidR="00D62BA4" w:rsidRPr="00D62BA4" w:rsidRDefault="00D62BA4" w:rsidP="00D62BA4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D62BA4" w:rsidRPr="00D62BA4" w:rsidRDefault="00D62BA4" w:rsidP="00D62BA4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62BA4" w:rsidRPr="00D62BA4" w:rsidRDefault="00D62BA4" w:rsidP="00387303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  <w:u w:val="single"/>
        </w:rPr>
        <w:t>Materiál predkladá:</w:t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  <w:t xml:space="preserve"> </w:t>
      </w:r>
      <w:r w:rsidRPr="00D62BA4">
        <w:rPr>
          <w:rFonts w:ascii="Arial" w:hAnsi="Arial" w:cs="Arial"/>
          <w:sz w:val="22"/>
          <w:szCs w:val="22"/>
          <w:u w:val="single"/>
        </w:rPr>
        <w:t>Materiál obsahuje:</w:t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</w:p>
    <w:p w:rsidR="00D62BA4" w:rsidRPr="00D62BA4" w:rsidRDefault="00387303" w:rsidP="00D62BA4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Ivo Nesrovnal</w:t>
      </w:r>
      <w:r w:rsidR="00D62BA4" w:rsidRPr="00D62BA4">
        <w:rPr>
          <w:rFonts w:ascii="Arial" w:hAnsi="Arial" w:cs="Arial"/>
          <w:sz w:val="22"/>
          <w:szCs w:val="22"/>
        </w:rPr>
        <w:tab/>
      </w:r>
      <w:r w:rsidR="00D62BA4" w:rsidRPr="00D62BA4">
        <w:rPr>
          <w:rFonts w:ascii="Arial" w:hAnsi="Arial" w:cs="Arial"/>
          <w:sz w:val="22"/>
          <w:szCs w:val="22"/>
        </w:rPr>
        <w:tab/>
        <w:t>1. Návrh uznesenia</w:t>
      </w:r>
    </w:p>
    <w:p w:rsidR="00D62BA4" w:rsidRPr="00D62BA4" w:rsidRDefault="00E74749" w:rsidP="00D62BA4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</w:t>
      </w:r>
      <w:bookmarkStart w:id="0" w:name="_GoBack"/>
      <w:bookmarkEnd w:id="0"/>
      <w:r w:rsidR="00D62BA4" w:rsidRPr="00D62BA4">
        <w:rPr>
          <w:rFonts w:ascii="Arial" w:hAnsi="Arial" w:cs="Arial"/>
          <w:sz w:val="22"/>
          <w:szCs w:val="22"/>
        </w:rPr>
        <w:tab/>
      </w:r>
      <w:r w:rsidR="00D62BA4" w:rsidRPr="00D62BA4">
        <w:rPr>
          <w:rFonts w:ascii="Arial" w:hAnsi="Arial" w:cs="Arial"/>
          <w:sz w:val="22"/>
          <w:szCs w:val="22"/>
        </w:rPr>
        <w:tab/>
        <w:t>2. Dôvodová správa</w:t>
      </w:r>
    </w:p>
    <w:p w:rsidR="00D62BA4" w:rsidRPr="00D62BA4" w:rsidRDefault="00D62BA4" w:rsidP="00D62BA4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Bratislavského samosprávneho kraja</w:t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  <w:t>3. Prílohy</w:t>
      </w:r>
    </w:p>
    <w:p w:rsidR="004D0F61" w:rsidRDefault="004D0F61" w:rsidP="00D62BA4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D62BA4" w:rsidRPr="00D62BA4" w:rsidRDefault="00D62BA4" w:rsidP="00D62BA4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  <w:r w:rsidRPr="00D62BA4">
        <w:rPr>
          <w:rFonts w:ascii="Arial" w:hAnsi="Arial" w:cs="Arial"/>
          <w:sz w:val="22"/>
          <w:szCs w:val="22"/>
          <w:u w:val="single"/>
        </w:rPr>
        <w:t xml:space="preserve">Zodpovedný:  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  <w:r w:rsidRPr="00D62BA4">
        <w:rPr>
          <w:rFonts w:ascii="Arial" w:hAnsi="Arial" w:cs="Arial"/>
          <w:sz w:val="22"/>
          <w:szCs w:val="22"/>
        </w:rPr>
        <w:t>Ing. Bystrík Žák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riaditeľ Úradu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 xml:space="preserve">Bratislavského samosprávneho kraja   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 xml:space="preserve">                                                          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  <w:r w:rsidRPr="00D62BA4">
        <w:rPr>
          <w:rFonts w:ascii="Arial" w:hAnsi="Arial" w:cs="Arial"/>
          <w:sz w:val="22"/>
          <w:szCs w:val="22"/>
          <w:u w:val="single"/>
        </w:rPr>
        <w:t>Spracovateľ: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JUDr. Matúš Šaray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  <w:r w:rsidRPr="00D62BA4">
        <w:rPr>
          <w:rFonts w:ascii="Arial" w:hAnsi="Arial" w:cs="Arial"/>
          <w:sz w:val="22"/>
          <w:szCs w:val="22"/>
        </w:rPr>
        <w:t>vedúci právneho oddelenia</w:t>
      </w:r>
    </w:p>
    <w:p w:rsidR="00D62BA4" w:rsidRDefault="00D62BA4" w:rsidP="00D62BA4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Mgr. Danica Harmaniaková</w:t>
      </w:r>
    </w:p>
    <w:p w:rsidR="00D62BA4" w:rsidRPr="00005BC0" w:rsidRDefault="00D62BA4" w:rsidP="00D62BA4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62BA4" w:rsidRPr="00D62BA4" w:rsidRDefault="00D62BA4" w:rsidP="00D62BA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62BA4" w:rsidRPr="00D62BA4" w:rsidRDefault="00D62BA4" w:rsidP="00D62BA4">
      <w:pPr>
        <w:jc w:val="center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Bratislava</w:t>
      </w:r>
    </w:p>
    <w:p w:rsidR="00D62BA4" w:rsidRPr="00D62BA4" w:rsidRDefault="006C287A" w:rsidP="00D62BA4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október </w:t>
      </w:r>
      <w:r w:rsidR="00D62BA4" w:rsidRPr="00D62BA4">
        <w:rPr>
          <w:rFonts w:ascii="Arial" w:hAnsi="Arial" w:cs="Arial"/>
          <w:sz w:val="22"/>
          <w:szCs w:val="22"/>
        </w:rPr>
        <w:t>2012</w:t>
      </w:r>
    </w:p>
    <w:p w:rsidR="00D62BA4" w:rsidRDefault="00D62BA4" w:rsidP="00D62BA4">
      <w:pPr>
        <w:jc w:val="center"/>
        <w:rPr>
          <w:rFonts w:ascii="Arial" w:hAnsi="Arial" w:cs="Arial"/>
          <w:lang w:eastAsia="cs-CZ"/>
        </w:rPr>
      </w:pPr>
    </w:p>
    <w:p w:rsidR="00CE1D89" w:rsidRDefault="00CE1D89" w:rsidP="00D62BA4">
      <w:pPr>
        <w:jc w:val="center"/>
        <w:rPr>
          <w:rFonts w:ascii="Arial" w:hAnsi="Arial" w:cs="Arial"/>
          <w:lang w:eastAsia="cs-CZ"/>
        </w:rPr>
      </w:pPr>
    </w:p>
    <w:p w:rsidR="00CE1D89" w:rsidRPr="00D62BA4" w:rsidRDefault="00CE1D89" w:rsidP="00D62BA4">
      <w:pPr>
        <w:jc w:val="center"/>
        <w:rPr>
          <w:rFonts w:ascii="Arial" w:hAnsi="Arial" w:cs="Arial"/>
          <w:lang w:eastAsia="cs-CZ"/>
        </w:rPr>
      </w:pPr>
    </w:p>
    <w:p w:rsidR="00D62BA4" w:rsidRPr="00D62BA4" w:rsidRDefault="00D62BA4" w:rsidP="00D62BA4">
      <w:pPr>
        <w:jc w:val="center"/>
        <w:rPr>
          <w:rFonts w:ascii="Arial" w:hAnsi="Arial" w:cs="Arial"/>
          <w:lang w:eastAsia="cs-CZ"/>
        </w:rPr>
      </w:pPr>
      <w:r w:rsidRPr="00D62BA4">
        <w:rPr>
          <w:rFonts w:ascii="Arial" w:hAnsi="Arial" w:cs="Arial"/>
          <w:lang w:eastAsia="cs-CZ"/>
        </w:rPr>
        <w:t xml:space="preserve">N á v r h   u z n e s e n i a </w:t>
      </w:r>
    </w:p>
    <w:p w:rsidR="00D62BA4" w:rsidRPr="00D62BA4" w:rsidRDefault="00D62BA4" w:rsidP="00D62BA4">
      <w:pPr>
        <w:jc w:val="center"/>
        <w:rPr>
          <w:rFonts w:ascii="Arial" w:hAnsi="Arial" w:cs="Arial"/>
          <w:lang w:eastAsia="cs-CZ"/>
        </w:rPr>
      </w:pPr>
    </w:p>
    <w:p w:rsidR="00D62BA4" w:rsidRPr="00D62BA4" w:rsidRDefault="00D62BA4" w:rsidP="00D62BA4">
      <w:pPr>
        <w:jc w:val="center"/>
        <w:rPr>
          <w:rFonts w:ascii="Arial" w:hAnsi="Arial" w:cs="Arial"/>
          <w:b/>
          <w:lang w:eastAsia="cs-CZ"/>
        </w:rPr>
      </w:pPr>
      <w:r w:rsidRPr="00D62BA4">
        <w:rPr>
          <w:rFonts w:ascii="Arial" w:hAnsi="Arial" w:cs="Arial"/>
          <w:b/>
          <w:lang w:eastAsia="cs-CZ"/>
        </w:rPr>
        <w:t>UZNESENIE č. ....... / 2012</w:t>
      </w:r>
    </w:p>
    <w:p w:rsidR="00D62BA4" w:rsidRPr="00D62BA4" w:rsidRDefault="00D62BA4" w:rsidP="00D62BA4">
      <w:pPr>
        <w:jc w:val="center"/>
        <w:rPr>
          <w:rFonts w:ascii="Arial" w:hAnsi="Arial" w:cs="Arial"/>
          <w:sz w:val="22"/>
          <w:szCs w:val="22"/>
          <w:lang w:eastAsia="cs-CZ"/>
        </w:rPr>
      </w:pPr>
      <w:r w:rsidRPr="00D62BA4">
        <w:rPr>
          <w:rFonts w:ascii="Arial" w:hAnsi="Arial" w:cs="Arial"/>
          <w:sz w:val="22"/>
          <w:szCs w:val="22"/>
          <w:lang w:eastAsia="cs-CZ"/>
        </w:rPr>
        <w:t>zo dňa 2</w:t>
      </w:r>
      <w:r w:rsidR="00ED77DC">
        <w:rPr>
          <w:rFonts w:ascii="Arial" w:hAnsi="Arial" w:cs="Arial"/>
          <w:sz w:val="22"/>
          <w:szCs w:val="22"/>
          <w:lang w:eastAsia="cs-CZ"/>
        </w:rPr>
        <w:t>6.10.</w:t>
      </w:r>
      <w:r w:rsidRPr="00D62BA4">
        <w:rPr>
          <w:rFonts w:ascii="Arial" w:hAnsi="Arial" w:cs="Arial"/>
          <w:sz w:val="22"/>
          <w:szCs w:val="22"/>
          <w:lang w:eastAsia="cs-CZ"/>
        </w:rPr>
        <w:t>2012</w:t>
      </w:r>
    </w:p>
    <w:p w:rsidR="00D62BA4" w:rsidRPr="00D62BA4" w:rsidRDefault="00D62BA4" w:rsidP="00D62BA4">
      <w:pPr>
        <w:jc w:val="center"/>
        <w:rPr>
          <w:rFonts w:ascii="Arial" w:hAnsi="Arial" w:cs="Arial"/>
          <w:sz w:val="22"/>
          <w:szCs w:val="22"/>
          <w:lang w:eastAsia="cs-CZ"/>
        </w:rPr>
      </w:pPr>
    </w:p>
    <w:p w:rsidR="00996543" w:rsidRDefault="00996543" w:rsidP="00996543">
      <w:pPr>
        <w:jc w:val="center"/>
        <w:rPr>
          <w:rFonts w:ascii="Arial" w:hAnsi="Arial" w:cs="Arial"/>
          <w:szCs w:val="36"/>
          <w:lang w:eastAsia="cs-CZ"/>
        </w:rPr>
      </w:pPr>
    </w:p>
    <w:p w:rsidR="00996543" w:rsidRDefault="00996543" w:rsidP="00996543">
      <w:pPr>
        <w:jc w:val="center"/>
        <w:rPr>
          <w:rFonts w:ascii="Arial" w:hAnsi="Arial" w:cs="Arial"/>
          <w:szCs w:val="36"/>
          <w:lang w:eastAsia="cs-CZ"/>
        </w:rPr>
      </w:pPr>
    </w:p>
    <w:p w:rsidR="00996543" w:rsidRDefault="00996543" w:rsidP="00996543">
      <w:pPr>
        <w:jc w:val="both"/>
        <w:rPr>
          <w:rFonts w:ascii="Arial" w:hAnsi="Arial" w:cs="Arial"/>
          <w:szCs w:val="36"/>
          <w:lang w:eastAsia="cs-CZ"/>
        </w:rPr>
      </w:pPr>
      <w:r>
        <w:rPr>
          <w:rFonts w:ascii="Arial" w:hAnsi="Arial" w:cs="Arial"/>
          <w:szCs w:val="36"/>
          <w:lang w:eastAsia="cs-CZ"/>
        </w:rPr>
        <w:t>Zastupiteľstvo Bratislavského samosprávneho kraja po prerokovaní materiálu</w:t>
      </w:r>
    </w:p>
    <w:p w:rsidR="00996543" w:rsidRDefault="00996543" w:rsidP="00996543">
      <w:pPr>
        <w:keepNext/>
        <w:autoSpaceDE w:val="0"/>
        <w:autoSpaceDN w:val="0"/>
        <w:adjustRightInd w:val="0"/>
        <w:spacing w:after="60"/>
        <w:jc w:val="center"/>
        <w:outlineLvl w:val="0"/>
        <w:rPr>
          <w:rFonts w:ascii="Arial" w:eastAsia="Calibri" w:hAnsi="Arial" w:cs="Arial"/>
          <w:lang w:eastAsia="en-US"/>
        </w:rPr>
      </w:pPr>
    </w:p>
    <w:p w:rsidR="00996543" w:rsidRDefault="00996543" w:rsidP="00996543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  <w:b/>
          <w:bCs/>
        </w:rPr>
      </w:pPr>
    </w:p>
    <w:p w:rsidR="00996543" w:rsidRDefault="00B5029A" w:rsidP="00B5029A">
      <w:pPr>
        <w:pStyle w:val="Odsekzoznamu"/>
        <w:keepNext/>
        <w:numPr>
          <w:ilvl w:val="0"/>
          <w:numId w:val="16"/>
        </w:numPr>
        <w:tabs>
          <w:tab w:val="left" w:pos="352"/>
        </w:tabs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 </w:t>
      </w:r>
      <w:r w:rsidRPr="00B5029A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 </w:t>
      </w:r>
      <w:r w:rsidRPr="00B5029A">
        <w:rPr>
          <w:rFonts w:ascii="Arial" w:hAnsi="Arial" w:cs="Arial"/>
          <w:b/>
          <w:bCs/>
        </w:rPr>
        <w:t>š</w:t>
      </w:r>
      <w:r>
        <w:rPr>
          <w:rFonts w:ascii="Arial" w:hAnsi="Arial" w:cs="Arial"/>
          <w:b/>
          <w:bCs/>
        </w:rPr>
        <w:t xml:space="preserve"> </w:t>
      </w:r>
      <w:r w:rsidRPr="00B5029A">
        <w:rPr>
          <w:rFonts w:ascii="Arial" w:hAnsi="Arial" w:cs="Arial"/>
          <w:b/>
          <w:bCs/>
        </w:rPr>
        <w:t>í</w:t>
      </w:r>
      <w:r>
        <w:rPr>
          <w:rFonts w:ascii="Arial" w:hAnsi="Arial" w:cs="Arial"/>
          <w:b/>
          <w:bCs/>
        </w:rPr>
        <w:t xml:space="preserve"> </w:t>
      </w:r>
    </w:p>
    <w:p w:rsidR="005A1D79" w:rsidRDefault="002622C7" w:rsidP="005A1D79">
      <w:pPr>
        <w:keepNext/>
        <w:tabs>
          <w:tab w:val="left" w:pos="352"/>
        </w:tabs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</w:rPr>
      </w:pPr>
      <w:r w:rsidRPr="00533814">
        <w:rPr>
          <w:rFonts w:ascii="Arial" w:hAnsi="Arial" w:cs="Arial"/>
        </w:rPr>
        <w:t xml:space="preserve">obchodnú verejnú súťaž </w:t>
      </w:r>
      <w:r w:rsidR="007D614A">
        <w:rPr>
          <w:rFonts w:ascii="Arial" w:hAnsi="Arial" w:cs="Arial"/>
          <w:szCs w:val="36"/>
          <w:lang w:eastAsia="cs-CZ"/>
        </w:rPr>
        <w:t>vyhlásenú  dňa 22.06.2012 uznesením zastupiteľstva BSK č. 57/2012, na predaj nehnuteľného majetku</w:t>
      </w:r>
      <w:r w:rsidR="007D614A">
        <w:rPr>
          <w:rFonts w:ascii="Arial" w:hAnsi="Arial" w:cs="Arial"/>
        </w:rPr>
        <w:t xml:space="preserve"> vedeného Správou katastra Bratislava </w:t>
      </w:r>
      <w:r w:rsidR="007D614A" w:rsidRPr="00533814">
        <w:rPr>
          <w:rFonts w:ascii="Arial" w:hAnsi="Arial" w:cs="Arial"/>
        </w:rPr>
        <w:t>na LV č. 4526</w:t>
      </w:r>
      <w:r w:rsidR="005A1D79">
        <w:rPr>
          <w:rFonts w:ascii="Arial" w:hAnsi="Arial" w:cs="Arial"/>
        </w:rPr>
        <w:t xml:space="preserve"> k. </w:t>
      </w:r>
      <w:r w:rsidR="005A1D79" w:rsidRPr="00533814">
        <w:rPr>
          <w:rFonts w:ascii="Arial" w:hAnsi="Arial" w:cs="Arial"/>
        </w:rPr>
        <w:t>ú. Záhorská Bystrica, ok</w:t>
      </w:r>
      <w:r w:rsidR="005A1D79">
        <w:rPr>
          <w:rFonts w:ascii="Arial" w:hAnsi="Arial" w:cs="Arial"/>
        </w:rPr>
        <w:t xml:space="preserve">res Bratislava IV, obec BA IV. - </w:t>
      </w:r>
      <w:r w:rsidR="005A1D79" w:rsidRPr="00533814">
        <w:rPr>
          <w:rFonts w:ascii="Arial" w:hAnsi="Arial" w:cs="Arial"/>
        </w:rPr>
        <w:t xml:space="preserve">m. č. Záhorská Bystrica, </w:t>
      </w:r>
      <w:r w:rsidR="007D614A">
        <w:rPr>
          <w:rFonts w:ascii="Arial" w:hAnsi="Arial" w:cs="Arial"/>
        </w:rPr>
        <w:t xml:space="preserve"> </w:t>
      </w:r>
      <w:r w:rsidR="00FB309F" w:rsidRPr="00533814">
        <w:rPr>
          <w:rFonts w:ascii="Arial" w:hAnsi="Arial" w:cs="Arial"/>
        </w:rPr>
        <w:t xml:space="preserve">– „areál bývalého SOU energetického, Pod Holým vrchom, </w:t>
      </w:r>
      <w:r w:rsidR="005A1D79">
        <w:rPr>
          <w:rFonts w:ascii="Arial" w:hAnsi="Arial" w:cs="Arial"/>
        </w:rPr>
        <w:t>Bratislava IV.</w:t>
      </w:r>
    </w:p>
    <w:p w:rsidR="005A1D79" w:rsidRDefault="005A1D79" w:rsidP="005A1D79">
      <w:pPr>
        <w:keepNext/>
        <w:tabs>
          <w:tab w:val="left" w:pos="352"/>
        </w:tabs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</w:rPr>
      </w:pPr>
    </w:p>
    <w:p w:rsidR="00533814" w:rsidRDefault="00533814" w:rsidP="00533814">
      <w:pPr>
        <w:jc w:val="both"/>
        <w:rPr>
          <w:rFonts w:ascii="Arial" w:hAnsi="Arial" w:cs="Arial"/>
        </w:rPr>
      </w:pPr>
    </w:p>
    <w:p w:rsidR="00996543" w:rsidRDefault="00996543" w:rsidP="00996543">
      <w:pPr>
        <w:rPr>
          <w:rFonts w:ascii="Arial" w:hAnsi="Arial" w:cs="Arial"/>
          <w:b/>
        </w:rPr>
      </w:pPr>
    </w:p>
    <w:p w:rsidR="00FB309F" w:rsidRDefault="00533814" w:rsidP="005A1D79">
      <w:pPr>
        <w:pStyle w:val="Zarkazkladnhotextu"/>
        <w:numPr>
          <w:ilvl w:val="0"/>
          <w:numId w:val="1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ukladá</w:t>
      </w:r>
    </w:p>
    <w:p w:rsidR="00533814" w:rsidRDefault="00533814" w:rsidP="00533814">
      <w:pPr>
        <w:pStyle w:val="Zarkazkladnhotextu"/>
        <w:ind w:firstLine="0"/>
        <w:rPr>
          <w:rFonts w:ascii="Arial" w:hAnsi="Arial" w:cs="Arial"/>
          <w:b/>
        </w:rPr>
      </w:pPr>
    </w:p>
    <w:p w:rsidR="00533814" w:rsidRPr="00831540" w:rsidRDefault="00533814" w:rsidP="00533814">
      <w:pPr>
        <w:jc w:val="both"/>
        <w:rPr>
          <w:rFonts w:ascii="Arial" w:hAnsi="Arial" w:cs="Arial"/>
          <w:u w:val="single"/>
        </w:rPr>
      </w:pPr>
      <w:r w:rsidRPr="00831540">
        <w:rPr>
          <w:rFonts w:ascii="Arial" w:hAnsi="Arial" w:cs="Arial"/>
          <w:u w:val="single"/>
        </w:rPr>
        <w:t>riaditeľovi Úradu Bratislavského samosprávneho kraja:</w:t>
      </w:r>
    </w:p>
    <w:p w:rsidR="00533814" w:rsidRDefault="00533814" w:rsidP="00533814">
      <w:pPr>
        <w:jc w:val="both"/>
        <w:rPr>
          <w:rFonts w:ascii="Arial" w:hAnsi="Arial" w:cs="Arial"/>
        </w:rPr>
      </w:pPr>
    </w:p>
    <w:p w:rsidR="00B92B7D" w:rsidRDefault="00B92B7D" w:rsidP="00B92B7D">
      <w:pPr>
        <w:ind w:left="360"/>
        <w:jc w:val="both"/>
        <w:rPr>
          <w:rFonts w:ascii="Arial" w:hAnsi="Arial" w:cs="Arial"/>
        </w:rPr>
      </w:pPr>
      <w:r w:rsidRPr="00B92B7D">
        <w:rPr>
          <w:rFonts w:ascii="Arial" w:hAnsi="Arial" w:cs="Arial"/>
        </w:rPr>
        <w:t>Z</w:t>
      </w:r>
      <w:r w:rsidR="00533814" w:rsidRPr="00B92B7D">
        <w:rPr>
          <w:rFonts w:ascii="Arial" w:hAnsi="Arial" w:cs="Arial"/>
        </w:rPr>
        <w:t>verejniť oznámenie o </w:t>
      </w:r>
      <w:r w:rsidR="00871A72" w:rsidRPr="00B92B7D">
        <w:rPr>
          <w:rFonts w:ascii="Arial" w:hAnsi="Arial" w:cs="Arial"/>
        </w:rPr>
        <w:t>zrušení</w:t>
      </w:r>
      <w:r w:rsidR="00533814" w:rsidRPr="00B92B7D">
        <w:rPr>
          <w:rFonts w:ascii="Arial" w:hAnsi="Arial" w:cs="Arial"/>
        </w:rPr>
        <w:t xml:space="preserve"> obchodnej verejnej súťaže na predaj majetku samospr</w:t>
      </w:r>
      <w:r w:rsidR="00871A72" w:rsidRPr="00B92B7D">
        <w:rPr>
          <w:rFonts w:ascii="Arial" w:hAnsi="Arial" w:cs="Arial"/>
        </w:rPr>
        <w:t>ávneho kraja na úradnej tabuli</w:t>
      </w:r>
      <w:r w:rsidR="00F10CAB" w:rsidRPr="00B92B7D">
        <w:rPr>
          <w:rFonts w:ascii="Arial" w:hAnsi="Arial" w:cs="Arial"/>
        </w:rPr>
        <w:t xml:space="preserve"> Úradu BSK</w:t>
      </w:r>
      <w:r w:rsidR="00871A72" w:rsidRPr="00B92B7D">
        <w:rPr>
          <w:rFonts w:ascii="Arial" w:hAnsi="Arial" w:cs="Arial"/>
        </w:rPr>
        <w:t xml:space="preserve"> a </w:t>
      </w:r>
      <w:r w:rsidR="00533814" w:rsidRPr="00B92B7D">
        <w:rPr>
          <w:rFonts w:ascii="Arial" w:hAnsi="Arial" w:cs="Arial"/>
        </w:rPr>
        <w:t>internetovej stránke</w:t>
      </w:r>
      <w:r>
        <w:rPr>
          <w:rFonts w:ascii="Arial" w:hAnsi="Arial" w:cs="Arial"/>
        </w:rPr>
        <w:t>.</w:t>
      </w:r>
    </w:p>
    <w:p w:rsidR="00B92B7D" w:rsidRPr="00B92B7D" w:rsidRDefault="00533814" w:rsidP="00B92B7D">
      <w:pPr>
        <w:ind w:left="360"/>
        <w:jc w:val="both"/>
        <w:rPr>
          <w:rFonts w:ascii="Arial" w:hAnsi="Arial" w:cs="Arial"/>
          <w:b/>
        </w:rPr>
      </w:pPr>
      <w:r w:rsidRPr="00B92B7D">
        <w:rPr>
          <w:rFonts w:ascii="Arial" w:hAnsi="Arial" w:cs="Arial"/>
        </w:rPr>
        <w:t xml:space="preserve"> </w:t>
      </w:r>
    </w:p>
    <w:p w:rsidR="00533814" w:rsidRPr="00B92B7D" w:rsidRDefault="00533814" w:rsidP="00B92B7D">
      <w:pPr>
        <w:ind w:left="4608"/>
        <w:jc w:val="both"/>
        <w:rPr>
          <w:rFonts w:ascii="Arial" w:hAnsi="Arial" w:cs="Arial"/>
          <w:b/>
        </w:rPr>
      </w:pPr>
      <w:r w:rsidRPr="00B92B7D">
        <w:rPr>
          <w:rFonts w:ascii="Arial" w:hAnsi="Arial" w:cs="Arial"/>
          <w:b/>
        </w:rPr>
        <w:t>T: bezprostredne po podpise uznesení</w:t>
      </w:r>
    </w:p>
    <w:p w:rsidR="00533814" w:rsidRDefault="00533814" w:rsidP="00533814">
      <w:pPr>
        <w:pStyle w:val="Odsekzoznamu"/>
        <w:ind w:left="426"/>
        <w:jc w:val="both"/>
        <w:rPr>
          <w:rFonts w:ascii="Arial" w:hAnsi="Arial" w:cs="Arial"/>
        </w:rPr>
      </w:pPr>
    </w:p>
    <w:p w:rsidR="00533814" w:rsidRDefault="00533814" w:rsidP="00533814">
      <w:pPr>
        <w:ind w:left="567" w:hanging="567"/>
        <w:jc w:val="both"/>
        <w:rPr>
          <w:rFonts w:ascii="Arial" w:hAnsi="Arial" w:cs="Arial"/>
        </w:rPr>
      </w:pPr>
    </w:p>
    <w:p w:rsidR="00533814" w:rsidRDefault="00533814" w:rsidP="00533814">
      <w:pPr>
        <w:pStyle w:val="Zarkazkladnhotextu"/>
        <w:ind w:firstLine="0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FB309F" w:rsidRDefault="00FB309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7F5893" w:rsidRDefault="007F5893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3F3CE9" w:rsidRDefault="003F3CE9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372B8F" w:rsidRDefault="00372B8F" w:rsidP="00372B8F">
      <w:pPr>
        <w:pStyle w:val="Zarkazkladnhotextu"/>
        <w:ind w:firstLine="0"/>
        <w:jc w:val="center"/>
        <w:rPr>
          <w:rFonts w:ascii="Arial" w:hAnsi="Arial" w:cs="Arial"/>
          <w:b/>
        </w:rPr>
      </w:pPr>
      <w:r w:rsidRPr="00C75307">
        <w:rPr>
          <w:rFonts w:ascii="Arial" w:hAnsi="Arial" w:cs="Arial"/>
          <w:b/>
        </w:rPr>
        <w:lastRenderedPageBreak/>
        <w:t>Dôvodová správa</w:t>
      </w:r>
    </w:p>
    <w:p w:rsidR="00FC76B3" w:rsidRDefault="00FC76B3" w:rsidP="00996543">
      <w:pPr>
        <w:ind w:left="567" w:hanging="567"/>
        <w:jc w:val="both"/>
        <w:rPr>
          <w:rFonts w:ascii="Arial" w:hAnsi="Arial" w:cs="Arial"/>
        </w:rPr>
      </w:pPr>
    </w:p>
    <w:p w:rsidR="00996543" w:rsidRPr="00A45862" w:rsidRDefault="00996543" w:rsidP="00996543">
      <w:pPr>
        <w:jc w:val="both"/>
        <w:rPr>
          <w:rFonts w:ascii="Arial" w:hAnsi="Arial" w:cs="Arial"/>
          <w:b/>
        </w:rPr>
      </w:pPr>
      <w:r w:rsidRPr="00A45862">
        <w:rPr>
          <w:rFonts w:ascii="Arial" w:hAnsi="Arial" w:cs="Arial"/>
        </w:rPr>
        <w:t>Areál bývalého SOU energetického v Záhorskej Bystrici</w:t>
      </w:r>
      <w:r>
        <w:rPr>
          <w:rFonts w:ascii="Arial" w:hAnsi="Arial" w:cs="Arial"/>
        </w:rPr>
        <w:t>, ktorý bol uvoľnený v r. 2007- zlúčením s SOU strojárskym J. Jonáša, Bratislava,</w:t>
      </w:r>
      <w:r w:rsidRPr="00A45862">
        <w:rPr>
          <w:rFonts w:ascii="Arial" w:hAnsi="Arial" w:cs="Arial"/>
        </w:rPr>
        <w:t xml:space="preserve"> je oplotený, s vybudovanými spevnenými plochami – prístupovými chodníkmi pre peších, cestnými komunikáciami, 3</w:t>
      </w:r>
      <w:r>
        <w:rPr>
          <w:rFonts w:ascii="Arial" w:hAnsi="Arial" w:cs="Arial"/>
        </w:rPr>
        <w:t> </w:t>
      </w:r>
      <w:r w:rsidRPr="00A45862">
        <w:rPr>
          <w:rFonts w:ascii="Arial" w:hAnsi="Arial" w:cs="Arial"/>
        </w:rPr>
        <w:t xml:space="preserve">parkoviskami pre internát, dielne a garáže, ihriskom, vonkajšími schodmi pred internátom, školou, plavárňou a prípojkami vody, kanalizácie, plynu STL, elektrickými rozvodmi a obrubníkmi. </w:t>
      </w:r>
    </w:p>
    <w:p w:rsidR="00996543" w:rsidRDefault="00996543" w:rsidP="00996543">
      <w:pPr>
        <w:jc w:val="both"/>
        <w:rPr>
          <w:rFonts w:ascii="Arial" w:hAnsi="Arial" w:cs="Arial"/>
        </w:rPr>
      </w:pPr>
      <w:r w:rsidRPr="00A45862">
        <w:rPr>
          <w:rFonts w:ascii="Arial" w:hAnsi="Arial" w:cs="Arial"/>
        </w:rPr>
        <w:t>Objekt</w:t>
      </w:r>
      <w:r>
        <w:rPr>
          <w:rFonts w:ascii="Arial" w:hAnsi="Arial" w:cs="Arial"/>
        </w:rPr>
        <w:t xml:space="preserve"> pozostáva z</w:t>
      </w:r>
      <w:r w:rsidR="00FC76B3">
        <w:rPr>
          <w:rFonts w:ascii="Arial" w:hAnsi="Arial" w:cs="Arial"/>
        </w:rPr>
        <w:t xml:space="preserve"> </w:t>
      </w:r>
      <w:r w:rsidRPr="00A45862">
        <w:rPr>
          <w:rFonts w:ascii="Arial" w:hAnsi="Arial" w:cs="Arial"/>
        </w:rPr>
        <w:t>internátu</w:t>
      </w:r>
      <w:r>
        <w:rPr>
          <w:rFonts w:ascii="Arial" w:hAnsi="Arial" w:cs="Arial"/>
        </w:rPr>
        <w:t>,</w:t>
      </w:r>
      <w:r w:rsidR="00FC76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A45862">
        <w:rPr>
          <w:rFonts w:ascii="Arial" w:hAnsi="Arial" w:cs="Arial"/>
        </w:rPr>
        <w:t>udov</w:t>
      </w:r>
      <w:r>
        <w:rPr>
          <w:rFonts w:ascii="Arial" w:hAnsi="Arial" w:cs="Arial"/>
        </w:rPr>
        <w:t>y</w:t>
      </w:r>
      <w:r w:rsidRPr="00A45862">
        <w:rPr>
          <w:rFonts w:ascii="Arial" w:hAnsi="Arial" w:cs="Arial"/>
        </w:rPr>
        <w:t xml:space="preserve"> školy</w:t>
      </w:r>
      <w:r>
        <w:rPr>
          <w:rFonts w:ascii="Arial" w:hAnsi="Arial" w:cs="Arial"/>
        </w:rPr>
        <w:t>,</w:t>
      </w:r>
      <w:r w:rsidR="00FC76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ktorá je </w:t>
      </w:r>
      <w:r w:rsidRPr="00A45862">
        <w:rPr>
          <w:rFonts w:ascii="Arial" w:hAnsi="Arial" w:cs="Arial"/>
        </w:rPr>
        <w:t>na pozemku s telocvičňou</w:t>
      </w:r>
      <w:r w:rsidRPr="00A45862">
        <w:rPr>
          <w:rFonts w:ascii="Arial" w:hAnsi="Arial" w:cs="Arial"/>
          <w:b/>
        </w:rPr>
        <w:t xml:space="preserve"> </w:t>
      </w:r>
      <w:r w:rsidRPr="00A45862">
        <w:rPr>
          <w:rFonts w:ascii="Arial" w:hAnsi="Arial" w:cs="Arial"/>
        </w:rPr>
        <w:t>a</w:t>
      </w:r>
      <w:r>
        <w:rPr>
          <w:rFonts w:ascii="Arial" w:hAnsi="Arial" w:cs="Arial"/>
          <w:b/>
        </w:rPr>
        <w:t> </w:t>
      </w:r>
      <w:r w:rsidRPr="00A45862">
        <w:rPr>
          <w:rFonts w:ascii="Arial" w:hAnsi="Arial" w:cs="Arial"/>
        </w:rPr>
        <w:t>plavárňou</w:t>
      </w:r>
      <w:r>
        <w:rPr>
          <w:rFonts w:ascii="Arial" w:hAnsi="Arial" w:cs="Arial"/>
        </w:rPr>
        <w:t>,</w:t>
      </w:r>
      <w:r w:rsidRPr="00A45862">
        <w:rPr>
          <w:rFonts w:ascii="Arial" w:hAnsi="Arial" w:cs="Arial"/>
        </w:rPr>
        <w:t xml:space="preserve"> dieln</w:t>
      </w:r>
      <w:r>
        <w:rPr>
          <w:rFonts w:ascii="Arial" w:hAnsi="Arial" w:cs="Arial"/>
        </w:rPr>
        <w:t>í,  </w:t>
      </w:r>
      <w:r w:rsidRPr="00A45862">
        <w:rPr>
          <w:rFonts w:ascii="Arial" w:hAnsi="Arial" w:cs="Arial"/>
        </w:rPr>
        <w:t>kotol</w:t>
      </w:r>
      <w:r>
        <w:rPr>
          <w:rFonts w:ascii="Arial" w:hAnsi="Arial" w:cs="Arial"/>
        </w:rPr>
        <w:t xml:space="preserve">ne, </w:t>
      </w:r>
      <w:r w:rsidRPr="00A458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</w:t>
      </w:r>
      <w:r w:rsidRPr="00A45862">
        <w:rPr>
          <w:rFonts w:ascii="Arial" w:hAnsi="Arial" w:cs="Arial"/>
        </w:rPr>
        <w:t>aráž</w:t>
      </w:r>
      <w:r>
        <w:rPr>
          <w:rFonts w:ascii="Arial" w:hAnsi="Arial" w:cs="Arial"/>
        </w:rPr>
        <w:t xml:space="preserve">í a </w:t>
      </w:r>
      <w:r w:rsidRPr="00A458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A45862">
        <w:rPr>
          <w:rFonts w:ascii="Arial" w:hAnsi="Arial" w:cs="Arial"/>
        </w:rPr>
        <w:t>klad</w:t>
      </w:r>
      <w:r>
        <w:rPr>
          <w:rFonts w:ascii="Arial" w:hAnsi="Arial" w:cs="Arial"/>
        </w:rPr>
        <w:t>u.</w:t>
      </w:r>
    </w:p>
    <w:p w:rsidR="00996543" w:rsidRDefault="00996543" w:rsidP="00996543">
      <w:pPr>
        <w:jc w:val="both"/>
        <w:rPr>
          <w:rFonts w:ascii="Arial" w:hAnsi="Arial" w:cs="Arial"/>
        </w:rPr>
      </w:pPr>
      <w:r w:rsidRPr="00F92B93">
        <w:rPr>
          <w:rFonts w:ascii="Arial" w:hAnsi="Arial" w:cs="Arial"/>
        </w:rPr>
        <w:t>Garáže</w:t>
      </w:r>
      <w:r w:rsidRPr="00A45862">
        <w:rPr>
          <w:rFonts w:ascii="Arial" w:hAnsi="Arial" w:cs="Arial"/>
        </w:rPr>
        <w:t>, sú vybudované ako radové, jedná sa o státia pre jedno motorové vozidlo</w:t>
      </w:r>
      <w:r>
        <w:rPr>
          <w:rFonts w:ascii="Arial" w:hAnsi="Arial" w:cs="Arial"/>
        </w:rPr>
        <w:t>.</w:t>
      </w:r>
      <w:r w:rsidRPr="00A45862">
        <w:rPr>
          <w:rFonts w:ascii="Arial" w:hAnsi="Arial" w:cs="Arial"/>
        </w:rPr>
        <w:t xml:space="preserve"> Garáže nie sú pripojené na inžinierske siete.</w:t>
      </w:r>
    </w:p>
    <w:p w:rsidR="00996543" w:rsidRPr="00831540" w:rsidRDefault="00996543" w:rsidP="00996543">
      <w:pPr>
        <w:jc w:val="both"/>
        <w:rPr>
          <w:rFonts w:ascii="Arial" w:hAnsi="Arial" w:cs="Arial"/>
          <w:i/>
        </w:rPr>
      </w:pPr>
    </w:p>
    <w:p w:rsidR="00996543" w:rsidRPr="00A45862" w:rsidRDefault="00996543" w:rsidP="00996543">
      <w:pPr>
        <w:jc w:val="both"/>
        <w:rPr>
          <w:rFonts w:ascii="Arial" w:hAnsi="Arial" w:cs="Arial"/>
          <w:b/>
          <w:u w:val="single"/>
        </w:rPr>
      </w:pPr>
      <w:r w:rsidRPr="00A45862">
        <w:rPr>
          <w:rFonts w:ascii="Arial" w:hAnsi="Arial" w:cs="Arial"/>
          <w:b/>
        </w:rPr>
        <w:t xml:space="preserve">Znaleckým posudkom č. 21/2010 vyhotoveným  Dr. Ing. Romanom Chotárom bola stanovená všeobecná hodnota predmetných  nehnuteľností vo výške </w:t>
      </w:r>
      <w:r w:rsidRPr="00A45862">
        <w:rPr>
          <w:rFonts w:ascii="Arial" w:hAnsi="Arial" w:cs="Arial"/>
          <w:b/>
          <w:u w:val="single"/>
        </w:rPr>
        <w:t>10 180 000,00 €.</w:t>
      </w:r>
    </w:p>
    <w:p w:rsidR="00996543" w:rsidRPr="00831540" w:rsidRDefault="00996543" w:rsidP="00996543">
      <w:pPr>
        <w:rPr>
          <w:rFonts w:ascii="Arial" w:hAnsi="Arial" w:cs="Arial"/>
          <w:u w:val="single"/>
        </w:rPr>
      </w:pPr>
    </w:p>
    <w:p w:rsidR="00FC76B3" w:rsidRDefault="00FC76B3" w:rsidP="00FC76B3">
      <w:pPr>
        <w:jc w:val="both"/>
        <w:rPr>
          <w:rFonts w:ascii="Arial" w:hAnsi="Arial" w:cs="Arial"/>
        </w:rPr>
      </w:pPr>
      <w:r w:rsidRPr="00E70AD0">
        <w:rPr>
          <w:rFonts w:ascii="Arial" w:hAnsi="Arial" w:cs="Arial"/>
        </w:rPr>
        <w:t>Predmetný majetok bol uznesením Zastupiteľstva Bratislavského samosprávneho kraja č.</w:t>
      </w:r>
      <w:r>
        <w:rPr>
          <w:rFonts w:ascii="Arial" w:hAnsi="Arial" w:cs="Arial"/>
        </w:rPr>
        <w:t> </w:t>
      </w:r>
      <w:r w:rsidRPr="00E70AD0">
        <w:rPr>
          <w:rFonts w:ascii="Arial" w:hAnsi="Arial" w:cs="Arial"/>
        </w:rPr>
        <w:t xml:space="preserve">34/2010 zo dňa 11.6.2010 vyhlásený za prebytočný a  zároveň bol schválený predaj prebytočného majetku formou obchodnej verejnej súťaže. </w:t>
      </w:r>
    </w:p>
    <w:p w:rsidR="00FC76B3" w:rsidRPr="00E70AD0" w:rsidRDefault="00FC76B3" w:rsidP="00FC76B3">
      <w:pPr>
        <w:jc w:val="both"/>
        <w:rPr>
          <w:rFonts w:ascii="Arial" w:hAnsi="Arial" w:cs="Arial"/>
        </w:rPr>
      </w:pPr>
    </w:p>
    <w:p w:rsidR="00FC76B3" w:rsidRDefault="00FC76B3" w:rsidP="00FC76B3">
      <w:pPr>
        <w:jc w:val="both"/>
        <w:rPr>
          <w:rFonts w:ascii="Arial" w:hAnsi="Arial" w:cs="Arial"/>
        </w:rPr>
      </w:pPr>
      <w:r w:rsidRPr="00E70AD0">
        <w:rPr>
          <w:rFonts w:ascii="Arial" w:hAnsi="Arial" w:cs="Arial"/>
        </w:rPr>
        <w:t>Komisia na vyhodnotenie verejných obchodných súťaží vzala na svojom rokovaní dňa 23.7.2010 na vedomie predložené návrhy oznámení o vyhlásení obchodnej verejnej súťaže na prebytočný majetok BSK a k materiálom nemala pripomienky.</w:t>
      </w:r>
    </w:p>
    <w:p w:rsidR="00FC76B3" w:rsidRPr="00E70AD0" w:rsidRDefault="00FC76B3" w:rsidP="00FC76B3">
      <w:pPr>
        <w:jc w:val="both"/>
        <w:rPr>
          <w:rFonts w:ascii="Arial" w:hAnsi="Arial" w:cs="Arial"/>
        </w:rPr>
      </w:pPr>
    </w:p>
    <w:p w:rsidR="00FC76B3" w:rsidRPr="00E70AD0" w:rsidRDefault="00FC76B3" w:rsidP="00FC76B3">
      <w:pPr>
        <w:jc w:val="both"/>
        <w:rPr>
          <w:rFonts w:ascii="Arial" w:hAnsi="Arial" w:cs="Arial"/>
        </w:rPr>
      </w:pPr>
      <w:r w:rsidRPr="00E70AD0">
        <w:rPr>
          <w:rFonts w:ascii="Arial" w:hAnsi="Arial" w:cs="Arial"/>
        </w:rPr>
        <w:t>Boli vyhlásené obchodn</w:t>
      </w:r>
      <w:r>
        <w:rPr>
          <w:rFonts w:ascii="Arial" w:hAnsi="Arial" w:cs="Arial"/>
        </w:rPr>
        <w:t>é</w:t>
      </w:r>
      <w:r w:rsidRPr="00E70AD0">
        <w:rPr>
          <w:rFonts w:ascii="Arial" w:hAnsi="Arial" w:cs="Arial"/>
        </w:rPr>
        <w:t xml:space="preserve"> verejn</w:t>
      </w:r>
      <w:r>
        <w:rPr>
          <w:rFonts w:ascii="Arial" w:hAnsi="Arial" w:cs="Arial"/>
        </w:rPr>
        <w:t>é</w:t>
      </w:r>
      <w:r w:rsidRPr="00E70AD0">
        <w:rPr>
          <w:rFonts w:ascii="Arial" w:hAnsi="Arial" w:cs="Arial"/>
        </w:rPr>
        <w:t xml:space="preserve"> súťaže</w:t>
      </w:r>
      <w:r>
        <w:rPr>
          <w:rFonts w:ascii="Arial" w:hAnsi="Arial" w:cs="Arial"/>
        </w:rPr>
        <w:t xml:space="preserve"> v nasledovných termínoch</w:t>
      </w:r>
      <w:r w:rsidRPr="00E70AD0">
        <w:rPr>
          <w:rFonts w:ascii="Arial" w:hAnsi="Arial" w:cs="Arial"/>
        </w:rPr>
        <w:t>:</w:t>
      </w:r>
    </w:p>
    <w:p w:rsidR="00FC76B3" w:rsidRDefault="00FC76B3" w:rsidP="00FC76B3">
      <w:pPr>
        <w:pStyle w:val="Odsekzoznamu"/>
        <w:numPr>
          <w:ilvl w:val="0"/>
          <w:numId w:val="7"/>
        </w:numPr>
        <w:jc w:val="both"/>
        <w:rPr>
          <w:rFonts w:ascii="Arial" w:hAnsi="Arial" w:cs="Arial"/>
        </w:rPr>
      </w:pPr>
      <w:r w:rsidRPr="00FC76B3">
        <w:rPr>
          <w:rFonts w:ascii="Arial" w:hAnsi="Arial" w:cs="Arial"/>
        </w:rPr>
        <w:t xml:space="preserve">od 27.7.2010 do 13.8.2010 </w:t>
      </w:r>
    </w:p>
    <w:p w:rsidR="00FC76B3" w:rsidRDefault="00FC76B3" w:rsidP="00FC76B3">
      <w:pPr>
        <w:pStyle w:val="Odsekzoznamu"/>
        <w:numPr>
          <w:ilvl w:val="0"/>
          <w:numId w:val="7"/>
        </w:numPr>
        <w:jc w:val="both"/>
        <w:rPr>
          <w:rFonts w:ascii="Arial" w:hAnsi="Arial" w:cs="Arial"/>
        </w:rPr>
      </w:pPr>
      <w:r w:rsidRPr="00FC76B3">
        <w:rPr>
          <w:rFonts w:ascii="Arial" w:hAnsi="Arial" w:cs="Arial"/>
        </w:rPr>
        <w:t xml:space="preserve">od 10.11.2010 do 26.11.2010 </w:t>
      </w:r>
    </w:p>
    <w:p w:rsidR="00FC76B3" w:rsidRDefault="00FC76B3" w:rsidP="00FC76B3">
      <w:pPr>
        <w:pStyle w:val="Odsekzoznamu"/>
        <w:numPr>
          <w:ilvl w:val="0"/>
          <w:numId w:val="7"/>
        </w:numPr>
        <w:jc w:val="both"/>
        <w:rPr>
          <w:rFonts w:ascii="Arial" w:hAnsi="Arial" w:cs="Arial"/>
        </w:rPr>
      </w:pPr>
      <w:r w:rsidRPr="00FC76B3">
        <w:rPr>
          <w:rFonts w:ascii="Arial" w:hAnsi="Arial" w:cs="Arial"/>
        </w:rPr>
        <w:t>od 4.10.2011 do</w:t>
      </w:r>
      <w:r>
        <w:rPr>
          <w:rFonts w:ascii="Arial" w:hAnsi="Arial" w:cs="Arial"/>
        </w:rPr>
        <w:t xml:space="preserve"> 21.10.2011</w:t>
      </w:r>
    </w:p>
    <w:p w:rsidR="00FC76B3" w:rsidRPr="00FC76B3" w:rsidRDefault="00FC76B3" w:rsidP="006603BC">
      <w:pPr>
        <w:pStyle w:val="Odsekzoznamu"/>
        <w:jc w:val="both"/>
        <w:rPr>
          <w:rFonts w:ascii="Arial" w:hAnsi="Arial" w:cs="Arial"/>
        </w:rPr>
      </w:pPr>
    </w:p>
    <w:p w:rsidR="00FC76B3" w:rsidRPr="00E44ED5" w:rsidRDefault="00FC76B3" w:rsidP="00FC76B3">
      <w:pPr>
        <w:jc w:val="both"/>
        <w:rPr>
          <w:rFonts w:ascii="Arial" w:hAnsi="Arial" w:cs="Arial"/>
        </w:rPr>
      </w:pPr>
      <w:r w:rsidRPr="00E44ED5">
        <w:rPr>
          <w:rFonts w:ascii="Arial" w:hAnsi="Arial" w:cs="Arial"/>
        </w:rPr>
        <w:t>Na zasadnutiach komisia na vyhodnotenie obchodných verejných súťaží dňa 3.2.2011 a 16.3.2011 skonštatovala, že podstatná časť nehnuteľností ponúkaných na predaj formou obchodnej verejnej súťaže nebola predaná aj po dvoch kolách OVS. Na základe uvedeného komisia opätovne odporúča vyhlásiť OVS na majetok, o ktorý nikto neprejavil záujem s tým, že podmienkou súťaže už nebude minimálna ponúknutá kúpna cena vo výške znaleckého posudku.</w:t>
      </w:r>
      <w:r>
        <w:rPr>
          <w:rFonts w:ascii="Arial" w:hAnsi="Arial" w:cs="Arial"/>
        </w:rPr>
        <w:t xml:space="preserve"> </w:t>
      </w:r>
    </w:p>
    <w:p w:rsidR="00E60ACA" w:rsidRDefault="00E60ACA" w:rsidP="00996543">
      <w:pPr>
        <w:jc w:val="both"/>
      </w:pPr>
    </w:p>
    <w:p w:rsidR="00FC76B3" w:rsidRDefault="00FC76B3" w:rsidP="00FC76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zasadnutí Z BSK dňa 22. júna 2012 bola opakovane vyhlásená obchodná verejná súťaž, ktorá prebiehala v termíne od 3.7.2012 do 31.7.2012</w:t>
      </w:r>
      <w:r w:rsidR="00C83025">
        <w:rPr>
          <w:rFonts w:ascii="Arial" w:hAnsi="Arial" w:cs="Arial"/>
        </w:rPr>
        <w:t>, s tým že nebola určená spodná hranica na kúpnu cenu za nehnuteľnosti</w:t>
      </w:r>
      <w:r>
        <w:rPr>
          <w:rFonts w:ascii="Arial" w:hAnsi="Arial" w:cs="Arial"/>
        </w:rPr>
        <w:t>. Oznámenie o vyhlásení OVS bolo uverejnené na web stránke Bratislavského samosprávneho kraja, na úradnej tabuli, v denníku SME v termíne od 9. – 13. 7. 2012, v denníku Nový čas v termíne od 9. – 14. 7. 2012.</w:t>
      </w:r>
    </w:p>
    <w:p w:rsidR="00FC76B3" w:rsidRDefault="00FC76B3" w:rsidP="00FC76B3">
      <w:pPr>
        <w:jc w:val="both"/>
        <w:rPr>
          <w:rFonts w:ascii="Arial" w:hAnsi="Arial" w:cs="Arial"/>
        </w:rPr>
      </w:pPr>
    </w:p>
    <w:p w:rsidR="00FC76B3" w:rsidRDefault="00FC76B3" w:rsidP="00FC76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Dňa 16.8.2012 zasadala Komisia na vyhodnotenie obchodných verejných súťaží, ktorá na predmetné nehnuteľnosti </w:t>
      </w:r>
      <w:proofErr w:type="spellStart"/>
      <w:r>
        <w:rPr>
          <w:rFonts w:ascii="Arial" w:hAnsi="Arial" w:cs="Arial"/>
        </w:rPr>
        <w:t>obdržala</w:t>
      </w:r>
      <w:proofErr w:type="spellEnd"/>
      <w:r>
        <w:rPr>
          <w:rFonts w:ascii="Arial" w:hAnsi="Arial" w:cs="Arial"/>
        </w:rPr>
        <w:t xml:space="preserve"> jednu ponuku od spoločnosti SPV69, s.r.o., </w:t>
      </w:r>
      <w:proofErr w:type="spellStart"/>
      <w:r>
        <w:rPr>
          <w:rFonts w:ascii="Arial" w:hAnsi="Arial" w:cs="Arial"/>
        </w:rPr>
        <w:t>Štefanovičova</w:t>
      </w:r>
      <w:proofErr w:type="spellEnd"/>
      <w:r>
        <w:rPr>
          <w:rFonts w:ascii="Arial" w:hAnsi="Arial" w:cs="Arial"/>
        </w:rPr>
        <w:t xml:space="preserve"> 12, 811 04 Bratislava. Navrhnutá kúpna cena za nehnuteľnosť vo výške 1 000 </w:t>
      </w:r>
      <w:proofErr w:type="spellStart"/>
      <w:r>
        <w:rPr>
          <w:rFonts w:ascii="Arial" w:hAnsi="Arial" w:cs="Arial"/>
        </w:rPr>
        <w:t>000</w:t>
      </w:r>
      <w:proofErr w:type="spellEnd"/>
      <w:r>
        <w:rPr>
          <w:rFonts w:ascii="Arial" w:hAnsi="Arial" w:cs="Arial"/>
        </w:rPr>
        <w:t xml:space="preserve">,- € predstavuje iba cca  10% ceny znaleckého posudku. </w:t>
      </w:r>
    </w:p>
    <w:p w:rsidR="007F5893" w:rsidRDefault="007F5893" w:rsidP="005B6BA0">
      <w:pPr>
        <w:jc w:val="both"/>
        <w:rPr>
          <w:rFonts w:ascii="Arial" w:hAnsi="Arial" w:cs="Arial"/>
        </w:rPr>
      </w:pPr>
    </w:p>
    <w:p w:rsidR="005B6BA0" w:rsidRDefault="005B6BA0" w:rsidP="005B6B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Zároveň boli prítomní</w:t>
      </w:r>
      <w:r w:rsidRPr="005B6BA0">
        <w:rPr>
          <w:rFonts w:ascii="Arial" w:hAnsi="Arial" w:cs="Arial"/>
        </w:rPr>
        <w:t xml:space="preserve"> členov</w:t>
      </w:r>
      <w:r>
        <w:rPr>
          <w:rFonts w:ascii="Arial" w:hAnsi="Arial" w:cs="Arial"/>
        </w:rPr>
        <w:t>ia</w:t>
      </w:r>
      <w:r w:rsidRPr="005B6BA0">
        <w:rPr>
          <w:rFonts w:ascii="Arial" w:hAnsi="Arial" w:cs="Arial"/>
        </w:rPr>
        <w:t xml:space="preserve"> komisie </w:t>
      </w:r>
      <w:r>
        <w:rPr>
          <w:rFonts w:ascii="Arial" w:hAnsi="Arial" w:cs="Arial"/>
        </w:rPr>
        <w:t>oboznámení</w:t>
      </w:r>
      <w:r w:rsidRPr="005B6BA0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> </w:t>
      </w:r>
      <w:r w:rsidRPr="005B6BA0">
        <w:rPr>
          <w:rFonts w:ascii="Arial" w:hAnsi="Arial" w:cs="Arial"/>
        </w:rPr>
        <w:t>listom</w:t>
      </w:r>
      <w:r>
        <w:rPr>
          <w:rFonts w:ascii="Arial" w:hAnsi="Arial" w:cs="Arial"/>
        </w:rPr>
        <w:t xml:space="preserve"> od</w:t>
      </w:r>
      <w:r w:rsidRPr="005B6BA0">
        <w:rPr>
          <w:rFonts w:ascii="Arial" w:hAnsi="Arial" w:cs="Arial"/>
        </w:rPr>
        <w:t xml:space="preserve"> spoločnosti </w:t>
      </w:r>
      <w:proofErr w:type="spellStart"/>
      <w:r w:rsidRPr="005B6BA0">
        <w:rPr>
          <w:rFonts w:ascii="Arial" w:hAnsi="Arial" w:cs="Arial"/>
        </w:rPr>
        <w:t>Tirrellus</w:t>
      </w:r>
      <w:proofErr w:type="spellEnd"/>
      <w:r w:rsidRPr="005B6BA0">
        <w:rPr>
          <w:rFonts w:ascii="Arial" w:hAnsi="Arial" w:cs="Arial"/>
        </w:rPr>
        <w:t>, a.s., ktorá prejavila záujem o kúpu predmetnej nehnuteľnosti</w:t>
      </w:r>
      <w:r w:rsidR="00ED332E">
        <w:rPr>
          <w:rFonts w:ascii="Arial" w:hAnsi="Arial" w:cs="Arial"/>
        </w:rPr>
        <w:t xml:space="preserve"> s ponúknutou kúpnou cenou 2 000 </w:t>
      </w:r>
      <w:proofErr w:type="spellStart"/>
      <w:r w:rsidR="00ED332E">
        <w:rPr>
          <w:rFonts w:ascii="Arial" w:hAnsi="Arial" w:cs="Arial"/>
        </w:rPr>
        <w:t>000</w:t>
      </w:r>
      <w:proofErr w:type="spellEnd"/>
      <w:r w:rsidR="00ED332E">
        <w:rPr>
          <w:rFonts w:ascii="Arial" w:hAnsi="Arial" w:cs="Arial"/>
        </w:rPr>
        <w:t>,- €</w:t>
      </w:r>
      <w:r w:rsidRPr="005B6BA0">
        <w:rPr>
          <w:rFonts w:ascii="Arial" w:hAnsi="Arial" w:cs="Arial"/>
        </w:rPr>
        <w:t>, avšak do obchodnej verejnej súťaže sa neprihlásila. Členovia komisie žiadali osloviť menovanú spoločnosť so žiadosťou o vysvetlenie, z akého dôvodu sa nezúčastnili OVS.</w:t>
      </w:r>
    </w:p>
    <w:p w:rsidR="005B6BA0" w:rsidRDefault="005B6BA0" w:rsidP="005B6BA0">
      <w:pPr>
        <w:jc w:val="both"/>
        <w:rPr>
          <w:rFonts w:ascii="Arial" w:hAnsi="Arial" w:cs="Arial"/>
        </w:rPr>
      </w:pPr>
    </w:p>
    <w:p w:rsidR="002622C7" w:rsidRDefault="003C3E05" w:rsidP="00FC76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zasadnutí komisie na vyhodnotenie OVS dňa 16.8.2012, </w:t>
      </w:r>
      <w:r w:rsidR="003F3CE9">
        <w:rPr>
          <w:rFonts w:ascii="Arial" w:hAnsi="Arial" w:cs="Arial"/>
        </w:rPr>
        <w:t>členovia komisie</w:t>
      </w:r>
      <w:r w:rsidR="005B6BA0">
        <w:rPr>
          <w:rFonts w:ascii="Arial" w:hAnsi="Arial" w:cs="Arial"/>
        </w:rPr>
        <w:t xml:space="preserve"> </w:t>
      </w:r>
      <w:r w:rsidR="004D66CA">
        <w:rPr>
          <w:rFonts w:ascii="Arial" w:hAnsi="Arial" w:cs="Arial"/>
        </w:rPr>
        <w:t xml:space="preserve">odporučili </w:t>
      </w:r>
      <w:r w:rsidR="005B6BA0" w:rsidRPr="005B6BA0">
        <w:rPr>
          <w:rFonts w:ascii="Arial" w:hAnsi="Arial" w:cs="Arial"/>
        </w:rPr>
        <w:t>materiál predložiť na</w:t>
      </w:r>
      <w:r w:rsidR="00422FDC">
        <w:rPr>
          <w:rFonts w:ascii="Arial" w:hAnsi="Arial" w:cs="Arial"/>
        </w:rPr>
        <w:t xml:space="preserve"> rokovanie</w:t>
      </w:r>
      <w:r w:rsidR="005B6BA0">
        <w:rPr>
          <w:rFonts w:ascii="Arial" w:hAnsi="Arial" w:cs="Arial"/>
        </w:rPr>
        <w:t> </w:t>
      </w:r>
      <w:r w:rsidR="00422FDC">
        <w:rPr>
          <w:rFonts w:ascii="Arial" w:hAnsi="Arial" w:cs="Arial"/>
        </w:rPr>
        <w:t>Zastupiteľstva</w:t>
      </w:r>
      <w:r w:rsidR="003F3CE9">
        <w:rPr>
          <w:rFonts w:ascii="Arial" w:hAnsi="Arial" w:cs="Arial"/>
        </w:rPr>
        <w:t> BSK, nie však schváliť predaj záujemcovi o kúpu v</w:t>
      </w:r>
      <w:r w:rsidR="00422FDC">
        <w:rPr>
          <w:rFonts w:ascii="Arial" w:hAnsi="Arial" w:cs="Arial"/>
        </w:rPr>
        <w:t xml:space="preserve"> </w:t>
      </w:r>
      <w:r w:rsidR="003F3CE9">
        <w:rPr>
          <w:rFonts w:ascii="Arial" w:hAnsi="Arial" w:cs="Arial"/>
        </w:rPr>
        <w:t xml:space="preserve">rámci vyhlásenej obchodnej verejnej súťaže. </w:t>
      </w:r>
    </w:p>
    <w:p w:rsidR="002622C7" w:rsidRDefault="002622C7" w:rsidP="00FC76B3">
      <w:pPr>
        <w:jc w:val="both"/>
        <w:rPr>
          <w:rFonts w:ascii="Arial" w:hAnsi="Arial" w:cs="Arial"/>
        </w:rPr>
      </w:pPr>
    </w:p>
    <w:p w:rsidR="003C3E05" w:rsidRDefault="003C3E05" w:rsidP="00FC76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zasadnutí komisie</w:t>
      </w:r>
      <w:r w:rsidR="004D66CA">
        <w:rPr>
          <w:rFonts w:ascii="Arial" w:hAnsi="Arial" w:cs="Arial"/>
        </w:rPr>
        <w:t xml:space="preserve"> na vyhodnotenie OVS</w:t>
      </w:r>
      <w:r>
        <w:rPr>
          <w:rFonts w:ascii="Arial" w:hAnsi="Arial" w:cs="Arial"/>
        </w:rPr>
        <w:t xml:space="preserve"> dňa 18.10.2012 členovia komisie odporučili vyhlásenú OVS zrušiť.</w:t>
      </w:r>
      <w:r w:rsidR="004D66CA">
        <w:rPr>
          <w:rFonts w:ascii="Arial" w:hAnsi="Arial" w:cs="Arial"/>
        </w:rPr>
        <w:t xml:space="preserve"> Vzhľadom na neaktuálnosť znaleckého posudku č.21/2010, komisia žiada vypracovať časovo aktuálny ZP na stanovenie v</w:t>
      </w:r>
      <w:r w:rsidR="005E5199">
        <w:rPr>
          <w:rFonts w:ascii="Arial" w:hAnsi="Arial" w:cs="Arial"/>
        </w:rPr>
        <w:t>šeobecnej hodnoty nehnuteľností, ako aj vyčísliť náklady na prípadné odstránenie stavebných nehnuteľností a uloženie sutín na skládku.</w:t>
      </w:r>
    </w:p>
    <w:sectPr w:rsidR="003C3E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5F0E"/>
    <w:multiLevelType w:val="hybridMultilevel"/>
    <w:tmpl w:val="E5E88538"/>
    <w:lvl w:ilvl="0" w:tplc="02FCF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A789D"/>
    <w:multiLevelType w:val="hybridMultilevel"/>
    <w:tmpl w:val="1C9A9BDE"/>
    <w:lvl w:ilvl="0" w:tplc="03F06F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6E5605"/>
    <w:multiLevelType w:val="hybridMultilevel"/>
    <w:tmpl w:val="903015E8"/>
    <w:lvl w:ilvl="0" w:tplc="F328056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4F628C"/>
    <w:multiLevelType w:val="hybridMultilevel"/>
    <w:tmpl w:val="B7AE175C"/>
    <w:lvl w:ilvl="0" w:tplc="02FCF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CB637B"/>
    <w:multiLevelType w:val="hybridMultilevel"/>
    <w:tmpl w:val="491E9142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5A73B2"/>
    <w:multiLevelType w:val="hybridMultilevel"/>
    <w:tmpl w:val="73F62784"/>
    <w:lvl w:ilvl="0" w:tplc="FB5A6C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1746AA"/>
    <w:multiLevelType w:val="hybridMultilevel"/>
    <w:tmpl w:val="127EB198"/>
    <w:lvl w:ilvl="0" w:tplc="4F225F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8E4DAC"/>
    <w:multiLevelType w:val="hybridMultilevel"/>
    <w:tmpl w:val="0F4084B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1B15F2"/>
    <w:multiLevelType w:val="hybridMultilevel"/>
    <w:tmpl w:val="828A89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B0B42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2F4306"/>
    <w:multiLevelType w:val="hybridMultilevel"/>
    <w:tmpl w:val="3BC6A5B2"/>
    <w:lvl w:ilvl="0" w:tplc="DE26E776">
      <w:start w:val="1"/>
      <w:numFmt w:val="upperLetter"/>
      <w:lvlText w:val="%1."/>
      <w:lvlJc w:val="left"/>
      <w:pPr>
        <w:ind w:left="322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45" w:hanging="360"/>
      </w:pPr>
    </w:lvl>
    <w:lvl w:ilvl="2" w:tplc="041B001B" w:tentative="1">
      <w:start w:val="1"/>
      <w:numFmt w:val="lowerRoman"/>
      <w:lvlText w:val="%3."/>
      <w:lvlJc w:val="right"/>
      <w:pPr>
        <w:ind w:left="4665" w:hanging="180"/>
      </w:pPr>
    </w:lvl>
    <w:lvl w:ilvl="3" w:tplc="041B000F" w:tentative="1">
      <w:start w:val="1"/>
      <w:numFmt w:val="decimal"/>
      <w:lvlText w:val="%4."/>
      <w:lvlJc w:val="left"/>
      <w:pPr>
        <w:ind w:left="5385" w:hanging="360"/>
      </w:pPr>
    </w:lvl>
    <w:lvl w:ilvl="4" w:tplc="041B0019" w:tentative="1">
      <w:start w:val="1"/>
      <w:numFmt w:val="lowerLetter"/>
      <w:lvlText w:val="%5."/>
      <w:lvlJc w:val="left"/>
      <w:pPr>
        <w:ind w:left="6105" w:hanging="360"/>
      </w:pPr>
    </w:lvl>
    <w:lvl w:ilvl="5" w:tplc="041B001B" w:tentative="1">
      <w:start w:val="1"/>
      <w:numFmt w:val="lowerRoman"/>
      <w:lvlText w:val="%6."/>
      <w:lvlJc w:val="right"/>
      <w:pPr>
        <w:ind w:left="6825" w:hanging="180"/>
      </w:pPr>
    </w:lvl>
    <w:lvl w:ilvl="6" w:tplc="041B000F" w:tentative="1">
      <w:start w:val="1"/>
      <w:numFmt w:val="decimal"/>
      <w:lvlText w:val="%7."/>
      <w:lvlJc w:val="left"/>
      <w:pPr>
        <w:ind w:left="7545" w:hanging="360"/>
      </w:pPr>
    </w:lvl>
    <w:lvl w:ilvl="7" w:tplc="041B0019" w:tentative="1">
      <w:start w:val="1"/>
      <w:numFmt w:val="lowerLetter"/>
      <w:lvlText w:val="%8."/>
      <w:lvlJc w:val="left"/>
      <w:pPr>
        <w:ind w:left="8265" w:hanging="360"/>
      </w:pPr>
    </w:lvl>
    <w:lvl w:ilvl="8" w:tplc="041B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1">
    <w:nsid w:val="4EB52EBD"/>
    <w:multiLevelType w:val="hybridMultilevel"/>
    <w:tmpl w:val="7FDA595E"/>
    <w:lvl w:ilvl="0" w:tplc="D480BE00">
      <w:start w:val="1"/>
      <w:numFmt w:val="upperLetter"/>
      <w:lvlText w:val="%1."/>
      <w:lvlJc w:val="left"/>
      <w:pPr>
        <w:ind w:left="42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5010" w:hanging="360"/>
      </w:pPr>
    </w:lvl>
    <w:lvl w:ilvl="2" w:tplc="041B001B" w:tentative="1">
      <w:start w:val="1"/>
      <w:numFmt w:val="lowerRoman"/>
      <w:lvlText w:val="%3."/>
      <w:lvlJc w:val="right"/>
      <w:pPr>
        <w:ind w:left="5730" w:hanging="180"/>
      </w:pPr>
    </w:lvl>
    <w:lvl w:ilvl="3" w:tplc="041B000F" w:tentative="1">
      <w:start w:val="1"/>
      <w:numFmt w:val="decimal"/>
      <w:lvlText w:val="%4."/>
      <w:lvlJc w:val="left"/>
      <w:pPr>
        <w:ind w:left="6450" w:hanging="360"/>
      </w:pPr>
    </w:lvl>
    <w:lvl w:ilvl="4" w:tplc="041B0019" w:tentative="1">
      <w:start w:val="1"/>
      <w:numFmt w:val="lowerLetter"/>
      <w:lvlText w:val="%5."/>
      <w:lvlJc w:val="left"/>
      <w:pPr>
        <w:ind w:left="7170" w:hanging="360"/>
      </w:pPr>
    </w:lvl>
    <w:lvl w:ilvl="5" w:tplc="041B001B" w:tentative="1">
      <w:start w:val="1"/>
      <w:numFmt w:val="lowerRoman"/>
      <w:lvlText w:val="%6."/>
      <w:lvlJc w:val="right"/>
      <w:pPr>
        <w:ind w:left="7890" w:hanging="180"/>
      </w:pPr>
    </w:lvl>
    <w:lvl w:ilvl="6" w:tplc="041B000F" w:tentative="1">
      <w:start w:val="1"/>
      <w:numFmt w:val="decimal"/>
      <w:lvlText w:val="%7."/>
      <w:lvlJc w:val="left"/>
      <w:pPr>
        <w:ind w:left="8610" w:hanging="360"/>
      </w:pPr>
    </w:lvl>
    <w:lvl w:ilvl="7" w:tplc="041B0019" w:tentative="1">
      <w:start w:val="1"/>
      <w:numFmt w:val="lowerLetter"/>
      <w:lvlText w:val="%8."/>
      <w:lvlJc w:val="left"/>
      <w:pPr>
        <w:ind w:left="9330" w:hanging="360"/>
      </w:pPr>
    </w:lvl>
    <w:lvl w:ilvl="8" w:tplc="041B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12">
    <w:nsid w:val="51F86BD6"/>
    <w:multiLevelType w:val="hybridMultilevel"/>
    <w:tmpl w:val="B8A2C64E"/>
    <w:lvl w:ilvl="0" w:tplc="4B486392">
      <w:start w:val="1"/>
      <w:numFmt w:val="upperLetter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0B3729"/>
    <w:multiLevelType w:val="hybridMultilevel"/>
    <w:tmpl w:val="03821402"/>
    <w:lvl w:ilvl="0" w:tplc="041B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484B76"/>
    <w:multiLevelType w:val="hybridMultilevel"/>
    <w:tmpl w:val="F5F8E4E0"/>
    <w:lvl w:ilvl="0" w:tplc="02FCF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B105E72"/>
    <w:multiLevelType w:val="hybridMultilevel"/>
    <w:tmpl w:val="82DCA1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5"/>
  </w:num>
  <w:num w:numId="5">
    <w:abstractNumId w:val="10"/>
  </w:num>
  <w:num w:numId="6">
    <w:abstractNumId w:val="13"/>
  </w:num>
  <w:num w:numId="7">
    <w:abstractNumId w:val="14"/>
  </w:num>
  <w:num w:numId="8">
    <w:abstractNumId w:val="6"/>
  </w:num>
  <w:num w:numId="9">
    <w:abstractNumId w:val="0"/>
  </w:num>
  <w:num w:numId="10">
    <w:abstractNumId w:val="1"/>
  </w:num>
  <w:num w:numId="11">
    <w:abstractNumId w:val="7"/>
  </w:num>
  <w:num w:numId="12">
    <w:abstractNumId w:val="4"/>
  </w:num>
  <w:num w:numId="13">
    <w:abstractNumId w:val="8"/>
  </w:num>
  <w:num w:numId="14">
    <w:abstractNumId w:val="12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F5F"/>
    <w:rsid w:val="000C1861"/>
    <w:rsid w:val="000C7FDF"/>
    <w:rsid w:val="0014752C"/>
    <w:rsid w:val="00147A18"/>
    <w:rsid w:val="001A7F5F"/>
    <w:rsid w:val="002027B3"/>
    <w:rsid w:val="002622C7"/>
    <w:rsid w:val="003328A0"/>
    <w:rsid w:val="00372B8F"/>
    <w:rsid w:val="00387303"/>
    <w:rsid w:val="003B6752"/>
    <w:rsid w:val="003C3E05"/>
    <w:rsid w:val="003F3CE9"/>
    <w:rsid w:val="00422FDC"/>
    <w:rsid w:val="004D0F61"/>
    <w:rsid w:val="004D66CA"/>
    <w:rsid w:val="004E7E2B"/>
    <w:rsid w:val="00523F4C"/>
    <w:rsid w:val="00533814"/>
    <w:rsid w:val="005A1D79"/>
    <w:rsid w:val="005B6BA0"/>
    <w:rsid w:val="005C0D0F"/>
    <w:rsid w:val="005E5199"/>
    <w:rsid w:val="00633137"/>
    <w:rsid w:val="00633EC0"/>
    <w:rsid w:val="006603BC"/>
    <w:rsid w:val="006C287A"/>
    <w:rsid w:val="00781DD7"/>
    <w:rsid w:val="007D614A"/>
    <w:rsid w:val="007F5893"/>
    <w:rsid w:val="007F73AD"/>
    <w:rsid w:val="00871A72"/>
    <w:rsid w:val="008E7C81"/>
    <w:rsid w:val="00910F18"/>
    <w:rsid w:val="00996543"/>
    <w:rsid w:val="00B5029A"/>
    <w:rsid w:val="00B92B7D"/>
    <w:rsid w:val="00BA7BE3"/>
    <w:rsid w:val="00C529C0"/>
    <w:rsid w:val="00C83025"/>
    <w:rsid w:val="00CE1D89"/>
    <w:rsid w:val="00CF2CA5"/>
    <w:rsid w:val="00D62BA4"/>
    <w:rsid w:val="00E60ACA"/>
    <w:rsid w:val="00E74749"/>
    <w:rsid w:val="00ED332E"/>
    <w:rsid w:val="00ED59B8"/>
    <w:rsid w:val="00ED77DC"/>
    <w:rsid w:val="00F10CAB"/>
    <w:rsid w:val="00F21588"/>
    <w:rsid w:val="00FA79DD"/>
    <w:rsid w:val="00FB309F"/>
    <w:rsid w:val="00FC196E"/>
    <w:rsid w:val="00FC6C3B"/>
    <w:rsid w:val="00FC76B3"/>
    <w:rsid w:val="00FF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72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372B8F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372B8F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372B8F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372B8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72B8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10F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0F18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72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372B8F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372B8F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372B8F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372B8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72B8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10F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0F1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5B145-5C51-48E3-A49D-E434328FD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Zuzana Lovíšková</cp:lastModifiedBy>
  <cp:revision>2</cp:revision>
  <cp:lastPrinted>2012-10-24T07:39:00Z</cp:lastPrinted>
  <dcterms:created xsi:type="dcterms:W3CDTF">2012-10-29T13:26:00Z</dcterms:created>
  <dcterms:modified xsi:type="dcterms:W3CDTF">2012-10-29T13:26:00Z</dcterms:modified>
</cp:coreProperties>
</file>