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57C8E" w14:textId="1FDCADB5" w:rsidR="00E50FCD" w:rsidRDefault="00AD2937" w:rsidP="00AD293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D2937"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D2937"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AD2937"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D2937"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D2937"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D2937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D2937"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D2937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AD2937">
        <w:rPr>
          <w:rFonts w:ascii="Arial" w:hAnsi="Arial" w:cs="Arial"/>
          <w:b/>
          <w:bCs/>
          <w:sz w:val="24"/>
          <w:szCs w:val="24"/>
        </w:rPr>
        <w:t>e</w:t>
      </w:r>
    </w:p>
    <w:p w14:paraId="0E21E952" w14:textId="59B6CCF0" w:rsidR="00AD2937" w:rsidRDefault="00AD2937" w:rsidP="00DA222A">
      <w:pPr>
        <w:jc w:val="both"/>
        <w:rPr>
          <w:rFonts w:ascii="Arial" w:hAnsi="Arial" w:cs="Arial"/>
        </w:rPr>
      </w:pPr>
      <w:r w:rsidRPr="00AD2937">
        <w:rPr>
          <w:rFonts w:ascii="Arial" w:hAnsi="Arial" w:cs="Arial"/>
        </w:rPr>
        <w:t>Komisia európskych záležitostí, regionálnej spolupráce a cestovného ruchu</w:t>
      </w:r>
      <w:r>
        <w:rPr>
          <w:rFonts w:ascii="Arial" w:hAnsi="Arial" w:cs="Arial"/>
        </w:rPr>
        <w:t xml:space="preserve"> </w:t>
      </w:r>
      <w:r w:rsidRPr="00B44BF5">
        <w:rPr>
          <w:rFonts w:ascii="Arial" w:hAnsi="Arial" w:cs="Arial"/>
        </w:rPr>
        <w:t xml:space="preserve">odporúča </w:t>
      </w:r>
      <w:r>
        <w:rPr>
          <w:rFonts w:ascii="Arial" w:hAnsi="Arial" w:cs="Arial"/>
        </w:rPr>
        <w:t>Z</w:t>
      </w:r>
      <w:r w:rsidRPr="00B44BF5">
        <w:rPr>
          <w:rFonts w:ascii="Arial" w:hAnsi="Arial" w:cs="Arial"/>
        </w:rPr>
        <w:t>astupiteľstvu BSK prerokovať a schváliť predložený materiál</w:t>
      </w:r>
      <w:r>
        <w:rPr>
          <w:rFonts w:ascii="Arial" w:hAnsi="Arial" w:cs="Arial"/>
        </w:rPr>
        <w:t xml:space="preserve"> a žiada o doplnenie </w:t>
      </w:r>
      <w:r w:rsidRPr="00B44BF5">
        <w:rPr>
          <w:rFonts w:ascii="Arial" w:hAnsi="Arial" w:cs="Arial"/>
        </w:rPr>
        <w:t>poslednej štatistiky vyťaženosti autobusových liniek z</w:t>
      </w:r>
      <w:r>
        <w:rPr>
          <w:rFonts w:ascii="Arial" w:hAnsi="Arial" w:cs="Arial"/>
        </w:rPr>
        <w:t> </w:t>
      </w:r>
      <w:r w:rsidRPr="00B44BF5">
        <w:rPr>
          <w:rFonts w:ascii="Arial" w:hAnsi="Arial" w:cs="Arial"/>
        </w:rPr>
        <w:t>Dopravného podniku Bratislava a</w:t>
      </w:r>
      <w:r>
        <w:rPr>
          <w:rFonts w:ascii="Arial" w:hAnsi="Arial" w:cs="Arial"/>
        </w:rPr>
        <w:t> </w:t>
      </w:r>
      <w:r w:rsidRPr="00B44BF5">
        <w:rPr>
          <w:rFonts w:ascii="Arial" w:hAnsi="Arial" w:cs="Arial"/>
        </w:rPr>
        <w:t>následne o</w:t>
      </w:r>
      <w:r>
        <w:rPr>
          <w:rFonts w:ascii="Arial" w:hAnsi="Arial" w:cs="Arial"/>
        </w:rPr>
        <w:t> </w:t>
      </w:r>
      <w:r w:rsidRPr="00B44BF5">
        <w:rPr>
          <w:rFonts w:ascii="Arial" w:hAnsi="Arial" w:cs="Arial"/>
        </w:rPr>
        <w:t>štatistiku k januáru 2023</w:t>
      </w:r>
      <w:r>
        <w:rPr>
          <w:rFonts w:ascii="Arial" w:hAnsi="Arial" w:cs="Arial"/>
        </w:rPr>
        <w:t>. Akceptované</w:t>
      </w:r>
      <w:r w:rsidR="00D71E3B">
        <w:rPr>
          <w:rFonts w:ascii="Arial" w:hAnsi="Arial" w:cs="Arial"/>
        </w:rPr>
        <w:t>.</w:t>
      </w:r>
    </w:p>
    <w:p w14:paraId="13D31B29" w14:textId="4FB89FAF" w:rsidR="006A0865" w:rsidRDefault="009B6CAB" w:rsidP="00DA22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poslednom období svojej existencia bola linka prevádzkovaná dopravcom Slovak </w:t>
      </w:r>
      <w:proofErr w:type="spellStart"/>
      <w:r>
        <w:rPr>
          <w:rFonts w:ascii="Arial" w:hAnsi="Arial" w:cs="Arial"/>
        </w:rPr>
        <w:t>Lines</w:t>
      </w:r>
      <w:proofErr w:type="spellEnd"/>
      <w:r>
        <w:rPr>
          <w:rFonts w:ascii="Arial" w:hAnsi="Arial" w:cs="Arial"/>
        </w:rPr>
        <w:t xml:space="preserve"> Express,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 xml:space="preserve">. DPB ukončil prevádzku dňa 28.12.2019. </w:t>
      </w:r>
      <w:r w:rsidR="00790AEC">
        <w:rPr>
          <w:rFonts w:ascii="Arial" w:hAnsi="Arial" w:cs="Arial"/>
        </w:rPr>
        <w:t>Presná štatistika o vyťaženosti spojov na linke DPB Bratislava-</w:t>
      </w:r>
      <w:proofErr w:type="spellStart"/>
      <w:r w:rsidR="00790AEC">
        <w:rPr>
          <w:rFonts w:ascii="Arial" w:hAnsi="Arial" w:cs="Arial"/>
        </w:rPr>
        <w:t>Hainburg</w:t>
      </w:r>
      <w:proofErr w:type="spellEnd"/>
      <w:r w:rsidR="00790AEC">
        <w:rPr>
          <w:rFonts w:ascii="Arial" w:hAnsi="Arial" w:cs="Arial"/>
        </w:rPr>
        <w:t xml:space="preserve"> neexistovala, nakoľko, vodič neevidoval </w:t>
      </w:r>
      <w:r w:rsidR="004D30D2">
        <w:rPr>
          <w:rFonts w:ascii="Arial" w:hAnsi="Arial" w:cs="Arial"/>
        </w:rPr>
        <w:t xml:space="preserve">v palubnom strojčeku </w:t>
      </w:r>
      <w:r w:rsidR="00790AEC">
        <w:rPr>
          <w:rFonts w:ascii="Arial" w:hAnsi="Arial" w:cs="Arial"/>
        </w:rPr>
        <w:t>každého nastupujúceho cestujúceho ako poznáme z prímestskej autobusovej dopravy</w:t>
      </w:r>
      <w:r w:rsidR="005C78B2">
        <w:rPr>
          <w:rFonts w:ascii="Arial" w:hAnsi="Arial" w:cs="Arial"/>
        </w:rPr>
        <w:t xml:space="preserve">, zavedený bol režim podobný MHD. </w:t>
      </w:r>
      <w:r w:rsidR="00DB17FE">
        <w:rPr>
          <w:rFonts w:ascii="Arial" w:hAnsi="Arial" w:cs="Arial"/>
        </w:rPr>
        <w:t>Rovnako DPB nevykonal prieskum vo vozidle.</w:t>
      </w:r>
      <w:r w:rsidR="00E04CC1">
        <w:rPr>
          <w:rFonts w:ascii="Arial" w:hAnsi="Arial" w:cs="Arial"/>
        </w:rPr>
        <w:t xml:space="preserve"> </w:t>
      </w:r>
      <w:r w:rsidR="00E04CC1" w:rsidRPr="00DB17FE">
        <w:rPr>
          <w:rFonts w:ascii="Arial" w:hAnsi="Arial" w:cs="Arial"/>
        </w:rPr>
        <w:t xml:space="preserve">Čo sa týka </w:t>
      </w:r>
      <w:r w:rsidR="00E04CC1">
        <w:rPr>
          <w:rFonts w:ascii="Arial" w:hAnsi="Arial" w:cs="Arial"/>
        </w:rPr>
        <w:t xml:space="preserve">odhadu </w:t>
      </w:r>
      <w:r w:rsidR="00E04CC1" w:rsidRPr="00DB17FE">
        <w:rPr>
          <w:rFonts w:ascii="Arial" w:hAnsi="Arial" w:cs="Arial"/>
        </w:rPr>
        <w:t xml:space="preserve">prepravených osôb, </w:t>
      </w:r>
      <w:r w:rsidR="006C581E">
        <w:rPr>
          <w:rFonts w:ascii="Arial" w:hAnsi="Arial" w:cs="Arial"/>
        </w:rPr>
        <w:t xml:space="preserve">DPB uvádza, že </w:t>
      </w:r>
      <w:r w:rsidR="00E04CC1" w:rsidRPr="00DB17FE">
        <w:rPr>
          <w:rFonts w:ascii="Arial" w:hAnsi="Arial" w:cs="Arial"/>
        </w:rPr>
        <w:t>výpočet</w:t>
      </w:r>
      <w:r w:rsidR="00EA18AC">
        <w:rPr>
          <w:rFonts w:ascii="Arial" w:hAnsi="Arial" w:cs="Arial"/>
        </w:rPr>
        <w:t xml:space="preserve"> </w:t>
      </w:r>
      <w:r w:rsidR="00E04CC1" w:rsidRPr="00DB17FE">
        <w:rPr>
          <w:rFonts w:ascii="Arial" w:hAnsi="Arial" w:cs="Arial"/>
        </w:rPr>
        <w:t>vykon</w:t>
      </w:r>
      <w:r w:rsidR="00EA18AC">
        <w:rPr>
          <w:rFonts w:ascii="Arial" w:hAnsi="Arial" w:cs="Arial"/>
        </w:rPr>
        <w:t>ali</w:t>
      </w:r>
      <w:r w:rsidR="00E04CC1" w:rsidRPr="00DB17FE">
        <w:rPr>
          <w:rFonts w:ascii="Arial" w:hAnsi="Arial" w:cs="Arial"/>
        </w:rPr>
        <w:t xml:space="preserve"> ako súčin počtu všetkých cestovných lístkov s danou platnosťou predaných v systéme IDS BK a</w:t>
      </w:r>
      <w:r w:rsidR="00E04CC1">
        <w:rPr>
          <w:rFonts w:ascii="Arial" w:hAnsi="Arial" w:cs="Arial"/>
        </w:rPr>
        <w:t xml:space="preserve"> prepočítané </w:t>
      </w:r>
      <w:r w:rsidR="00E04CC1" w:rsidRPr="00DB17FE">
        <w:rPr>
          <w:rFonts w:ascii="Arial" w:hAnsi="Arial" w:cs="Arial"/>
        </w:rPr>
        <w:t>príslušný</w:t>
      </w:r>
      <w:r w:rsidR="00E04CC1">
        <w:rPr>
          <w:rFonts w:ascii="Arial" w:hAnsi="Arial" w:cs="Arial"/>
        </w:rPr>
        <w:t>m</w:t>
      </w:r>
      <w:r w:rsidR="00E04CC1" w:rsidRPr="00DB17FE">
        <w:rPr>
          <w:rFonts w:ascii="Arial" w:hAnsi="Arial" w:cs="Arial"/>
        </w:rPr>
        <w:t xml:space="preserve"> koeficient</w:t>
      </w:r>
      <w:r w:rsidR="00E04CC1">
        <w:rPr>
          <w:rFonts w:ascii="Arial" w:hAnsi="Arial" w:cs="Arial"/>
        </w:rPr>
        <w:t>om</w:t>
      </w:r>
      <w:r w:rsidR="00E04CC1" w:rsidRPr="00DB17FE">
        <w:rPr>
          <w:rFonts w:ascii="Arial" w:hAnsi="Arial" w:cs="Arial"/>
        </w:rPr>
        <w:t xml:space="preserve"> stanovený</w:t>
      </w:r>
      <w:r w:rsidR="00EA18AC">
        <w:rPr>
          <w:rFonts w:ascii="Arial" w:hAnsi="Arial" w:cs="Arial"/>
        </w:rPr>
        <w:t>m</w:t>
      </w:r>
      <w:r w:rsidR="00E04CC1" w:rsidRPr="00DB17FE">
        <w:rPr>
          <w:rFonts w:ascii="Arial" w:hAnsi="Arial" w:cs="Arial"/>
        </w:rPr>
        <w:t xml:space="preserve"> </w:t>
      </w:r>
      <w:r w:rsidR="00E04CC1">
        <w:rPr>
          <w:rFonts w:ascii="Arial" w:hAnsi="Arial" w:cs="Arial"/>
        </w:rPr>
        <w:t>ŠÚ SR</w:t>
      </w:r>
      <w:r w:rsidR="00E04CC1" w:rsidRPr="00DB17FE">
        <w:rPr>
          <w:rFonts w:ascii="Arial" w:hAnsi="Arial" w:cs="Arial"/>
        </w:rPr>
        <w:t xml:space="preserve">. Takže tiež </w:t>
      </w:r>
      <w:r w:rsidR="00E04CC1">
        <w:rPr>
          <w:rFonts w:ascii="Arial" w:hAnsi="Arial" w:cs="Arial"/>
        </w:rPr>
        <w:t>sa nejedná o</w:t>
      </w:r>
      <w:r w:rsidR="00E04CC1" w:rsidRPr="00DB17FE">
        <w:rPr>
          <w:rFonts w:ascii="Arial" w:hAnsi="Arial" w:cs="Arial"/>
        </w:rPr>
        <w:t xml:space="preserve"> skutočný počet cestujúcich</w:t>
      </w:r>
      <w:r w:rsidR="00E04CC1">
        <w:rPr>
          <w:rFonts w:ascii="Arial" w:hAnsi="Arial" w:cs="Arial"/>
        </w:rPr>
        <w:t>.</w:t>
      </w:r>
      <w:r w:rsidR="006A0865">
        <w:rPr>
          <w:rFonts w:ascii="Arial" w:hAnsi="Arial" w:cs="Arial"/>
        </w:rPr>
        <w:t xml:space="preserve"> Čísla teda nemajú riadnu výpovednú hodnotu.</w:t>
      </w:r>
    </w:p>
    <w:p w14:paraId="352F3472" w14:textId="65705344" w:rsidR="00E7193A" w:rsidRDefault="006A0865" w:rsidP="00DA22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Tabuľka DPB – posledný rok prevádzky (2019) linky DPB Bratislava – </w:t>
      </w:r>
      <w:proofErr w:type="spellStart"/>
      <w:r>
        <w:rPr>
          <w:rFonts w:ascii="Arial" w:hAnsi="Arial" w:cs="Arial"/>
        </w:rPr>
        <w:t>Hainburg</w:t>
      </w:r>
      <w:proofErr w:type="spellEnd"/>
      <w:r>
        <w:rPr>
          <w:rFonts w:ascii="Arial" w:hAnsi="Arial" w:cs="Arial"/>
        </w:rPr>
        <w:t xml:space="preserve">: </w:t>
      </w:r>
    </w:p>
    <w:p w14:paraId="738F4276" w14:textId="39CDBC69" w:rsidR="00E7193A" w:rsidRDefault="004E223A" w:rsidP="00AD2937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F3EF5C7" wp14:editId="5E837F52">
            <wp:extent cx="5760720" cy="12192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1DD31" w14:textId="2137439A" w:rsidR="004E223A" w:rsidRDefault="006A0865" w:rsidP="00AD2937">
      <w:pPr>
        <w:rPr>
          <w:rFonts w:ascii="Arial" w:hAnsi="Arial" w:cs="Arial"/>
        </w:rPr>
      </w:pPr>
      <w:r>
        <w:rPr>
          <w:rFonts w:ascii="Arial" w:hAnsi="Arial" w:cs="Arial"/>
        </w:rPr>
        <w:t>Magistrát hl. m. SR Bratislavy disponuje nasledovnou tabuľkou:</w:t>
      </w:r>
    </w:p>
    <w:p w14:paraId="60293400" w14:textId="4DCFCE98" w:rsidR="006A0865" w:rsidRDefault="00EA18AC" w:rsidP="00AD2937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FB91640" wp14:editId="6BC5866A">
            <wp:extent cx="4137660" cy="2931984"/>
            <wp:effectExtent l="0" t="0" r="0" b="190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984" cy="294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1E7CC" w14:textId="77777777" w:rsidR="002F5EAC" w:rsidRDefault="002F5EAC" w:rsidP="00A25E56"/>
    <w:p w14:paraId="35D25B7A" w14:textId="7AC8C1DB" w:rsidR="002F5EAC" w:rsidRPr="00A43DFA" w:rsidRDefault="002F5EAC" w:rsidP="00DA222A">
      <w:pPr>
        <w:jc w:val="both"/>
        <w:rPr>
          <w:b/>
          <w:bCs/>
        </w:rPr>
      </w:pPr>
      <w:r w:rsidRPr="00A43DFA">
        <w:rPr>
          <w:b/>
          <w:bCs/>
        </w:rPr>
        <w:t>Reálnejší pohľad BID</w:t>
      </w:r>
    </w:p>
    <w:p w14:paraId="5728B71E" w14:textId="2723E663" w:rsidR="00A25E56" w:rsidRDefault="00A25E56" w:rsidP="00DA222A">
      <w:pPr>
        <w:jc w:val="both"/>
      </w:pPr>
      <w:r>
        <w:t>Pri výpočte očakávaných tržieb vychádza</w:t>
      </w:r>
      <w:r w:rsidR="002F5EAC">
        <w:t>jú</w:t>
      </w:r>
      <w:r>
        <w:t xml:space="preserve"> z historických údajov o počte prepravených osôb </w:t>
      </w:r>
      <w:r w:rsidRPr="00A43DFA">
        <w:rPr>
          <w:b/>
          <w:bCs/>
        </w:rPr>
        <w:t>v roku 2017</w:t>
      </w:r>
      <w:r>
        <w:t>, z ktorého m</w:t>
      </w:r>
      <w:r w:rsidR="002F5EAC">
        <w:t>a</w:t>
      </w:r>
      <w:r w:rsidR="00E7410E">
        <w:t>li</w:t>
      </w:r>
      <w:r>
        <w:t xml:space="preserve"> dostupné údaje</w:t>
      </w:r>
      <w:r w:rsidR="006A0265">
        <w:t xml:space="preserve"> a ktoré považujú za vhodné.</w:t>
      </w:r>
    </w:p>
    <w:p w14:paraId="5005E98A" w14:textId="1252095D" w:rsidR="00A25E56" w:rsidRDefault="00A25E56" w:rsidP="00DA222A">
      <w:pPr>
        <w:jc w:val="both"/>
      </w:pPr>
      <w:r w:rsidRPr="00A43DFA">
        <w:rPr>
          <w:b/>
          <w:bCs/>
        </w:rPr>
        <w:lastRenderedPageBreak/>
        <w:t>DPB na svojej linke prepravilo celkovo 136 738 cestujúcich</w:t>
      </w:r>
      <w:r w:rsidR="006A0265">
        <w:rPr>
          <w:b/>
          <w:bCs/>
        </w:rPr>
        <w:t xml:space="preserve"> za rok</w:t>
      </w:r>
      <w:r w:rsidRPr="00A43DFA">
        <w:rPr>
          <w:b/>
          <w:bCs/>
        </w:rPr>
        <w:t>.</w:t>
      </w:r>
      <w:r>
        <w:t xml:space="preserve"> Tento počet v prepočtoch rozdelili na 40 % pravidelných cestujúcich využívajúcich </w:t>
      </w:r>
      <w:r w:rsidR="00E7410E">
        <w:t>predplatné cestovné lístky (</w:t>
      </w:r>
      <w:r>
        <w:t>PCL</w:t>
      </w:r>
      <w:r w:rsidR="00E7410E">
        <w:t>)</w:t>
      </w:r>
      <w:r w:rsidR="006C581E">
        <w:t xml:space="preserve"> </w:t>
      </w:r>
      <w:r>
        <w:t>a 60 % nepravidelných, ktor</w:t>
      </w:r>
      <w:r w:rsidR="006C581E">
        <w:t>í</w:t>
      </w:r>
      <w:r>
        <w:t xml:space="preserve"> si budú zakupovať </w:t>
      </w:r>
      <w:r w:rsidR="002F5EAC">
        <w:t xml:space="preserve">jedno rázový </w:t>
      </w:r>
      <w:r w:rsidR="00E7410E">
        <w:t>cestovný lístok (CL1C)</w:t>
      </w:r>
      <w:r>
        <w:t xml:space="preserve">. Pomer 40:60 zodpovedá pomerom v iných regionálnych zónach IDS BK. Pravidelný cestujúci vykoná počas roka </w:t>
      </w:r>
      <w:r w:rsidR="002F5EAC">
        <w:t xml:space="preserve">cca. </w:t>
      </w:r>
      <w:r>
        <w:t>400 ciest, pri výpočte</w:t>
      </w:r>
      <w:r w:rsidR="00A43DFA">
        <w:t xml:space="preserve"> </w:t>
      </w:r>
      <w:r>
        <w:t>predpokladali, že si zakúpi cenovo najvýhodnejší 365-dňový predplatný lístok.</w:t>
      </w:r>
    </w:p>
    <w:p w14:paraId="0DDD45B4" w14:textId="77777777" w:rsidR="00A25E56" w:rsidRDefault="00A25E56" w:rsidP="00A43DFA">
      <w:pPr>
        <w:pStyle w:val="Tabuka-sloanzov"/>
        <w:numPr>
          <w:ilvl w:val="0"/>
          <w:numId w:val="0"/>
        </w:numPr>
      </w:pPr>
      <w:r>
        <w:t>Výpočet očakávaných tržieb (optimálny/očakávaný počet cestujúcich)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12"/>
        <w:gridCol w:w="1512"/>
        <w:gridCol w:w="1512"/>
        <w:gridCol w:w="1512"/>
        <w:gridCol w:w="1512"/>
        <w:gridCol w:w="1512"/>
      </w:tblGrid>
      <w:tr w:rsidR="00A25E56" w:rsidRPr="00A2173F" w14:paraId="17FAC781" w14:textId="77777777" w:rsidTr="00AA60D1">
        <w:trPr>
          <w:trHeight w:val="803"/>
          <w:tblHeader/>
        </w:trPr>
        <w:tc>
          <w:tcPr>
            <w:tcW w:w="1512" w:type="dxa"/>
            <w:shd w:val="clear" w:color="auto" w:fill="CCCCCC"/>
            <w:vAlign w:val="center"/>
          </w:tcPr>
          <w:p w14:paraId="7CC7B373" w14:textId="77777777" w:rsidR="00A25E56" w:rsidRPr="00A2173F" w:rsidRDefault="00A25E56" w:rsidP="00AA60D1">
            <w:pPr>
              <w:pStyle w:val="Tabuka-hlavika"/>
            </w:pPr>
            <w:r w:rsidRPr="00A2173F">
              <w:t>Tarifa</w:t>
            </w:r>
          </w:p>
        </w:tc>
        <w:tc>
          <w:tcPr>
            <w:tcW w:w="1512" w:type="dxa"/>
            <w:shd w:val="clear" w:color="auto" w:fill="CCCCCC"/>
            <w:vAlign w:val="center"/>
          </w:tcPr>
          <w:p w14:paraId="143C314D" w14:textId="77777777" w:rsidR="00A25E56" w:rsidRPr="00A2173F" w:rsidRDefault="00A25E56" w:rsidP="00AA60D1">
            <w:pPr>
              <w:pStyle w:val="Tabuka-hlavika"/>
            </w:pPr>
            <w:r w:rsidRPr="00A2173F">
              <w:t>Počet cestujúcich celkom</w:t>
            </w:r>
          </w:p>
        </w:tc>
        <w:tc>
          <w:tcPr>
            <w:tcW w:w="1512" w:type="dxa"/>
            <w:shd w:val="clear" w:color="auto" w:fill="CCCCCC"/>
            <w:vAlign w:val="center"/>
          </w:tcPr>
          <w:p w14:paraId="643C0773" w14:textId="77777777" w:rsidR="00A25E56" w:rsidRDefault="00A25E56" w:rsidP="00AA60D1">
            <w:pPr>
              <w:pStyle w:val="Tabuka-hlavika"/>
            </w:pPr>
            <w:r w:rsidRPr="00A2173F">
              <w:t>Cestujúci</w:t>
            </w:r>
            <w:r>
              <w:t xml:space="preserve"> s CL1C</w:t>
            </w:r>
          </w:p>
          <w:p w14:paraId="6DF6B49F" w14:textId="77777777" w:rsidR="00A25E56" w:rsidRPr="00A2173F" w:rsidRDefault="00A25E56" w:rsidP="00AA60D1">
            <w:pPr>
              <w:pStyle w:val="Tabuka-hlavika"/>
            </w:pPr>
            <w:r w:rsidRPr="00A2173F">
              <w:t>(</w:t>
            </w:r>
            <w:r>
              <w:t>6</w:t>
            </w:r>
            <w:r w:rsidRPr="00A2173F">
              <w:t>0</w:t>
            </w:r>
            <w:r>
              <w:t xml:space="preserve"> </w:t>
            </w:r>
            <w:r w:rsidRPr="00A2173F">
              <w:t>%)</w:t>
            </w:r>
          </w:p>
        </w:tc>
        <w:tc>
          <w:tcPr>
            <w:tcW w:w="1512" w:type="dxa"/>
            <w:shd w:val="clear" w:color="auto" w:fill="CCCCCC"/>
            <w:vAlign w:val="center"/>
          </w:tcPr>
          <w:p w14:paraId="2C7C1C8B" w14:textId="77777777" w:rsidR="00A25E56" w:rsidRDefault="00A25E56" w:rsidP="00AA60D1">
            <w:pPr>
              <w:pStyle w:val="Tabuka-hlavika"/>
            </w:pPr>
            <w:r w:rsidRPr="00A2173F">
              <w:t xml:space="preserve">Cestujúci </w:t>
            </w:r>
            <w:r>
              <w:t xml:space="preserve">s </w:t>
            </w:r>
            <w:r w:rsidRPr="00A2173F">
              <w:t>PCL</w:t>
            </w:r>
          </w:p>
          <w:p w14:paraId="305FBFD0" w14:textId="77777777" w:rsidR="00A25E56" w:rsidRPr="00A2173F" w:rsidRDefault="00A25E56" w:rsidP="00AA60D1">
            <w:pPr>
              <w:pStyle w:val="Tabuka-hlavika"/>
            </w:pPr>
            <w:r w:rsidRPr="00A2173F">
              <w:t>(</w:t>
            </w:r>
            <w:r>
              <w:t>4</w:t>
            </w:r>
            <w:r w:rsidRPr="00A2173F">
              <w:t>0 %)</w:t>
            </w:r>
          </w:p>
        </w:tc>
        <w:tc>
          <w:tcPr>
            <w:tcW w:w="1512" w:type="dxa"/>
            <w:shd w:val="clear" w:color="auto" w:fill="CCCCCC"/>
            <w:vAlign w:val="center"/>
          </w:tcPr>
          <w:p w14:paraId="644E54B2" w14:textId="77777777" w:rsidR="00A25E56" w:rsidRPr="00A2173F" w:rsidRDefault="00A25E56" w:rsidP="00AA60D1">
            <w:pPr>
              <w:pStyle w:val="Tabuka-hlavika"/>
            </w:pPr>
            <w:r w:rsidRPr="00A2173F">
              <w:t>Tržby JCL</w:t>
            </w:r>
          </w:p>
        </w:tc>
        <w:tc>
          <w:tcPr>
            <w:tcW w:w="1512" w:type="dxa"/>
            <w:shd w:val="clear" w:color="auto" w:fill="CCCCCC"/>
            <w:vAlign w:val="center"/>
          </w:tcPr>
          <w:p w14:paraId="2C140B1B" w14:textId="77777777" w:rsidR="00A25E56" w:rsidRPr="00A2173F" w:rsidRDefault="00A25E56" w:rsidP="00AA60D1">
            <w:pPr>
              <w:pStyle w:val="Tabuka-hlavika"/>
            </w:pPr>
            <w:r w:rsidRPr="00A2173F">
              <w:t>Tržby PCL</w:t>
            </w:r>
          </w:p>
        </w:tc>
      </w:tr>
      <w:tr w:rsidR="00A25E56" w:rsidRPr="002E12FA" w14:paraId="184265F0" w14:textId="77777777" w:rsidTr="00AA60D1">
        <w:trPr>
          <w:trHeight w:val="255"/>
        </w:trPr>
        <w:tc>
          <w:tcPr>
            <w:tcW w:w="1512" w:type="dxa"/>
            <w:shd w:val="clear" w:color="auto" w:fill="E6E6E6"/>
          </w:tcPr>
          <w:p w14:paraId="0AC4584A" w14:textId="77777777" w:rsidR="00A25E56" w:rsidRDefault="00A25E56" w:rsidP="00AA60D1">
            <w:pPr>
              <w:pStyle w:val="Tabuka-hodnoty"/>
            </w:pPr>
            <w:r>
              <w:t>základný</w:t>
            </w:r>
          </w:p>
        </w:tc>
        <w:tc>
          <w:tcPr>
            <w:tcW w:w="1512" w:type="dxa"/>
            <w:shd w:val="clear" w:color="auto" w:fill="E6E6E6"/>
          </w:tcPr>
          <w:p w14:paraId="297BB9BE" w14:textId="77777777" w:rsidR="00A25E56" w:rsidRPr="00A2173F" w:rsidRDefault="00A25E56" w:rsidP="00AA60D1">
            <w:pPr>
              <w:pStyle w:val="Tabuka-hodnoty"/>
            </w:pPr>
            <w:r w:rsidRPr="00A2173F">
              <w:t>75</w:t>
            </w:r>
            <w:r>
              <w:t> </w:t>
            </w:r>
            <w:r w:rsidRPr="00A2173F">
              <w:t>71</w:t>
            </w:r>
            <w:r>
              <w:t>3</w:t>
            </w:r>
          </w:p>
        </w:tc>
        <w:tc>
          <w:tcPr>
            <w:tcW w:w="1512" w:type="dxa"/>
            <w:shd w:val="clear" w:color="auto" w:fill="E6E6E6"/>
            <w:vAlign w:val="bottom"/>
          </w:tcPr>
          <w:p w14:paraId="0A9183F8" w14:textId="77777777" w:rsidR="00A25E56" w:rsidRPr="00A2173F" w:rsidRDefault="00A25E56" w:rsidP="00AA60D1">
            <w:pPr>
              <w:pStyle w:val="Tabuka-hodnoty"/>
            </w:pPr>
            <w:r>
              <w:t>45 428</w:t>
            </w:r>
          </w:p>
        </w:tc>
        <w:tc>
          <w:tcPr>
            <w:tcW w:w="1512" w:type="dxa"/>
            <w:shd w:val="clear" w:color="auto" w:fill="E6E6E6"/>
            <w:vAlign w:val="bottom"/>
          </w:tcPr>
          <w:p w14:paraId="0B8081AF" w14:textId="77777777" w:rsidR="00A25E56" w:rsidRPr="00A2173F" w:rsidRDefault="00A25E56" w:rsidP="00AA60D1">
            <w:pPr>
              <w:pStyle w:val="Tabuka-hodnoty"/>
            </w:pPr>
            <w:r>
              <w:t>30 285</w:t>
            </w:r>
          </w:p>
        </w:tc>
        <w:tc>
          <w:tcPr>
            <w:tcW w:w="1512" w:type="dxa"/>
            <w:shd w:val="clear" w:color="auto" w:fill="E6E6E6"/>
            <w:vAlign w:val="bottom"/>
          </w:tcPr>
          <w:p w14:paraId="5BFBE014" w14:textId="77777777" w:rsidR="00A25E56" w:rsidRPr="00A2173F" w:rsidRDefault="00A25E56" w:rsidP="00AA60D1">
            <w:pPr>
              <w:pStyle w:val="Tabuka-hodnoty"/>
            </w:pPr>
            <w:r>
              <w:t>113 569,41</w:t>
            </w:r>
            <w:r w:rsidRPr="00A2173F">
              <w:t xml:space="preserve"> €</w:t>
            </w:r>
          </w:p>
        </w:tc>
        <w:tc>
          <w:tcPr>
            <w:tcW w:w="1512" w:type="dxa"/>
            <w:shd w:val="clear" w:color="auto" w:fill="E6E6E6"/>
            <w:vAlign w:val="bottom"/>
          </w:tcPr>
          <w:p w14:paraId="68D0405F" w14:textId="77777777" w:rsidR="00A25E56" w:rsidRPr="00A2173F" w:rsidRDefault="00A25E56" w:rsidP="00AA60D1">
            <w:pPr>
              <w:pStyle w:val="Tabuka-hodnoty"/>
            </w:pPr>
            <w:r>
              <w:t>15 066,87</w:t>
            </w:r>
            <w:r w:rsidRPr="00A2173F">
              <w:t xml:space="preserve"> €</w:t>
            </w:r>
          </w:p>
        </w:tc>
      </w:tr>
      <w:tr w:rsidR="00A25E56" w:rsidRPr="002E12FA" w14:paraId="63C388CB" w14:textId="77777777" w:rsidTr="00AA60D1">
        <w:trPr>
          <w:trHeight w:val="255"/>
        </w:trPr>
        <w:tc>
          <w:tcPr>
            <w:tcW w:w="1512" w:type="dxa"/>
            <w:tcBorders>
              <w:bottom w:val="single" w:sz="4" w:space="0" w:color="auto"/>
            </w:tcBorders>
            <w:shd w:val="clear" w:color="auto" w:fill="E6E6E6"/>
          </w:tcPr>
          <w:p w14:paraId="464D7178" w14:textId="77777777" w:rsidR="00A25E56" w:rsidRDefault="00A25E56" w:rsidP="00AA60D1">
            <w:pPr>
              <w:pStyle w:val="Tabuka-hodnoty"/>
            </w:pPr>
            <w:r>
              <w:t>zľavnený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E6E6E6"/>
          </w:tcPr>
          <w:p w14:paraId="2406D4CC" w14:textId="77777777" w:rsidR="00A25E56" w:rsidRPr="00A2173F" w:rsidRDefault="00A25E56" w:rsidP="00AA60D1">
            <w:pPr>
              <w:pStyle w:val="Tabuka-hodnoty"/>
            </w:pPr>
            <w:r w:rsidRPr="00A2173F">
              <w:t>61</w:t>
            </w:r>
            <w:r>
              <w:t> </w:t>
            </w:r>
            <w:r w:rsidRPr="00A2173F">
              <w:t>02</w:t>
            </w:r>
            <w:r>
              <w:t>7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351E6589" w14:textId="77777777" w:rsidR="00A25E56" w:rsidRPr="00A2173F" w:rsidRDefault="00A25E56" w:rsidP="00AA60D1">
            <w:pPr>
              <w:pStyle w:val="Tabuka-hodnoty"/>
            </w:pPr>
            <w:r>
              <w:t>36 616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6A2A00EC" w14:textId="77777777" w:rsidR="00A25E56" w:rsidRPr="00A2173F" w:rsidRDefault="00A25E56" w:rsidP="00AA60D1">
            <w:pPr>
              <w:pStyle w:val="Tabuka-hodnoty"/>
            </w:pPr>
            <w:r>
              <w:t>24 411</w:t>
            </w:r>
          </w:p>
        </w:tc>
        <w:tc>
          <w:tcPr>
            <w:tcW w:w="1512" w:type="dxa"/>
            <w:shd w:val="clear" w:color="auto" w:fill="E6E6E6"/>
            <w:vAlign w:val="bottom"/>
          </w:tcPr>
          <w:p w14:paraId="68725ADD" w14:textId="77777777" w:rsidR="00A25E56" w:rsidRPr="00A2173F" w:rsidRDefault="00A25E56" w:rsidP="00AA60D1">
            <w:pPr>
              <w:pStyle w:val="Tabuka-hodnoty"/>
            </w:pPr>
            <w:r>
              <w:t>54 924,36 €</w:t>
            </w:r>
          </w:p>
        </w:tc>
        <w:tc>
          <w:tcPr>
            <w:tcW w:w="1512" w:type="dxa"/>
            <w:shd w:val="clear" w:color="auto" w:fill="E6E6E6"/>
            <w:vAlign w:val="bottom"/>
          </w:tcPr>
          <w:p w14:paraId="0614B72A" w14:textId="77777777" w:rsidR="00A25E56" w:rsidRPr="00A2173F" w:rsidRDefault="00A25E56" w:rsidP="00AA60D1">
            <w:pPr>
              <w:pStyle w:val="Tabuka-hodnoty"/>
            </w:pPr>
            <w:r>
              <w:t>6 072,19 €</w:t>
            </w:r>
          </w:p>
        </w:tc>
      </w:tr>
      <w:tr w:rsidR="00A25E56" w:rsidRPr="002E12FA" w14:paraId="6EC98AA6" w14:textId="77777777" w:rsidTr="00AA60D1">
        <w:trPr>
          <w:trHeight w:val="255"/>
        </w:trPr>
        <w:tc>
          <w:tcPr>
            <w:tcW w:w="151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F63B8F9" w14:textId="77777777" w:rsidR="00A25E56" w:rsidRDefault="00A25E56" w:rsidP="00AA60D1">
            <w:pPr>
              <w:pStyle w:val="Tabuka-hodnoty"/>
            </w:pPr>
          </w:p>
        </w:tc>
        <w:tc>
          <w:tcPr>
            <w:tcW w:w="151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BC1183" w14:textId="77777777" w:rsidR="00A25E56" w:rsidRDefault="00A25E56" w:rsidP="00AA60D1">
            <w:pPr>
              <w:pStyle w:val="Tabuka-hodnoty"/>
            </w:pPr>
          </w:p>
        </w:tc>
        <w:tc>
          <w:tcPr>
            <w:tcW w:w="151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F87507" w14:textId="77777777" w:rsidR="00A25E56" w:rsidRPr="00A2173F" w:rsidRDefault="00A25E56" w:rsidP="00AA60D1">
            <w:pPr>
              <w:pStyle w:val="Tabuka-hodnoty"/>
            </w:pPr>
          </w:p>
        </w:tc>
        <w:tc>
          <w:tcPr>
            <w:tcW w:w="1512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22AE6E5A" w14:textId="77777777" w:rsidR="00A25E56" w:rsidRPr="00A2173F" w:rsidRDefault="00A25E56" w:rsidP="00AA60D1">
            <w:pPr>
              <w:pStyle w:val="Tabuka-hodnoty"/>
            </w:pPr>
          </w:p>
        </w:tc>
        <w:tc>
          <w:tcPr>
            <w:tcW w:w="3024" w:type="dxa"/>
            <w:gridSpan w:val="2"/>
            <w:shd w:val="clear" w:color="auto" w:fill="E6E6E6"/>
            <w:vAlign w:val="bottom"/>
          </w:tcPr>
          <w:p w14:paraId="18CC4040" w14:textId="77777777" w:rsidR="00A25E56" w:rsidRPr="00A2173F" w:rsidRDefault="00A25E56" w:rsidP="00AA60D1">
            <w:pPr>
              <w:pStyle w:val="Tabuka-hodnoty"/>
            </w:pPr>
            <w:r>
              <w:t>189 632,83</w:t>
            </w:r>
            <w:r w:rsidRPr="00A2173F">
              <w:t xml:space="preserve"> €</w:t>
            </w:r>
          </w:p>
        </w:tc>
      </w:tr>
    </w:tbl>
    <w:p w14:paraId="51FD6119" w14:textId="2E26EBD1" w:rsidR="00A25E56" w:rsidRDefault="00A25E56" w:rsidP="00DA222A">
      <w:pPr>
        <w:jc w:val="both"/>
      </w:pPr>
      <w:r>
        <w:t xml:space="preserve">Pri týchto predpokladoch </w:t>
      </w:r>
      <w:r w:rsidR="006A0265">
        <w:t xml:space="preserve">by boli </w:t>
      </w:r>
      <w:r>
        <w:t>tržby vo výške 189 632,83 € ročne.</w:t>
      </w:r>
    </w:p>
    <w:p w14:paraId="0082D0E8" w14:textId="6781FAA4" w:rsidR="00A25E56" w:rsidRDefault="00E7410E" w:rsidP="00DA222A">
      <w:pPr>
        <w:jc w:val="both"/>
      </w:pPr>
      <w:r>
        <w:t xml:space="preserve">Z dôvodu obmedzení počas obdobia pandémie </w:t>
      </w:r>
      <w:r w:rsidRPr="00AA1A27">
        <w:rPr>
          <w:b/>
          <w:bCs/>
        </w:rPr>
        <w:t>Covid-19</w:t>
      </w:r>
      <w:r w:rsidR="009C46A9">
        <w:t xml:space="preserve"> a s tým spojenou pomerne nižšou spoľahlivosťou prevádzky linky </w:t>
      </w:r>
      <w:r w:rsidR="00A25E56">
        <w:t xml:space="preserve">(nižší rozsah ponuky, prerušenia premávky z dôvodu cestovných obmedzení, zmena mobility obyvateľov) </w:t>
      </w:r>
      <w:r w:rsidR="009C46A9">
        <w:t xml:space="preserve">a následného úplného zrušenia linky dopravcom Slovak </w:t>
      </w:r>
      <w:proofErr w:type="spellStart"/>
      <w:r w:rsidR="009C46A9">
        <w:t>Lines</w:t>
      </w:r>
      <w:proofErr w:type="spellEnd"/>
      <w:r w:rsidR="009C46A9">
        <w:t xml:space="preserve"> Express, </w:t>
      </w:r>
      <w:proofErr w:type="spellStart"/>
      <w:r w:rsidR="009C46A9">
        <w:t>a.s</w:t>
      </w:r>
      <w:proofErr w:type="spellEnd"/>
      <w:r w:rsidR="009C46A9">
        <w:t xml:space="preserve">. </w:t>
      </w:r>
      <w:r w:rsidR="00AA1A27">
        <w:t xml:space="preserve">(15.11.2021) </w:t>
      </w:r>
      <w:r w:rsidR="00A25E56">
        <w:t xml:space="preserve">mohlo prísť k zmene správania dovtedajších cestujúcich, ktorí si mohli nájsť iné spôsoby dopravy (vlastný automobil, </w:t>
      </w:r>
      <w:proofErr w:type="spellStart"/>
      <w:r w:rsidR="00A25E56">
        <w:t>spolujazda</w:t>
      </w:r>
      <w:proofErr w:type="spellEnd"/>
      <w:r w:rsidR="00A25E56">
        <w:t xml:space="preserve"> a pod.), prípadne mohli na danej trase prestať jazdiť úplne</w:t>
      </w:r>
      <w:r w:rsidR="009C46A9">
        <w:t>.</w:t>
      </w:r>
    </w:p>
    <w:p w14:paraId="3594F912" w14:textId="2B8A01CE" w:rsidR="00A25E56" w:rsidRDefault="00A25E56" w:rsidP="00DA222A">
      <w:pPr>
        <w:jc w:val="both"/>
      </w:pPr>
      <w:r>
        <w:t xml:space="preserve">Z tohto dôvodu boli aj na základe požiadavky rakúskej strany prepočítané tržby aj pre pesimistický variant, ktorý vychádza z údajov o počte prepravených cestujúcich linkou </w:t>
      </w:r>
      <w:r w:rsidRPr="00AA1A27">
        <w:rPr>
          <w:b/>
          <w:bCs/>
        </w:rPr>
        <w:t xml:space="preserve">Slovak </w:t>
      </w:r>
      <w:proofErr w:type="spellStart"/>
      <w:r w:rsidRPr="00AA1A27">
        <w:rPr>
          <w:b/>
          <w:bCs/>
        </w:rPr>
        <w:t>Lines</w:t>
      </w:r>
      <w:proofErr w:type="spellEnd"/>
      <w:r w:rsidRPr="00AA1A27">
        <w:rPr>
          <w:b/>
          <w:bCs/>
        </w:rPr>
        <w:t xml:space="preserve"> </w:t>
      </w:r>
      <w:r w:rsidR="009C46A9" w:rsidRPr="00AA1A27">
        <w:rPr>
          <w:b/>
          <w:bCs/>
        </w:rPr>
        <w:t xml:space="preserve">Express, </w:t>
      </w:r>
      <w:proofErr w:type="spellStart"/>
      <w:r w:rsidR="009C46A9" w:rsidRPr="00AA1A27">
        <w:rPr>
          <w:b/>
          <w:bCs/>
        </w:rPr>
        <w:t>a.s</w:t>
      </w:r>
      <w:proofErr w:type="spellEnd"/>
      <w:r w:rsidR="009C46A9" w:rsidRPr="00AA1A27">
        <w:rPr>
          <w:b/>
          <w:bCs/>
        </w:rPr>
        <w:t>.</w:t>
      </w:r>
      <w:r w:rsidR="009C46A9">
        <w:t xml:space="preserve"> </w:t>
      </w:r>
      <w:r>
        <w:t xml:space="preserve">v období október až november </w:t>
      </w:r>
      <w:r w:rsidRPr="00AA1A27">
        <w:rPr>
          <w:b/>
          <w:bCs/>
        </w:rPr>
        <w:t>2020</w:t>
      </w:r>
      <w:r w:rsidR="00F81BF2">
        <w:t xml:space="preserve"> (dopravca eviduje každého cestujúceho pri nástupe)</w:t>
      </w:r>
      <w:r>
        <w:t>.</w:t>
      </w:r>
      <w:r w:rsidR="00B655C5">
        <w:t xml:space="preserve"> Simulácia: </w:t>
      </w:r>
      <w:r w:rsidR="00B655C5" w:rsidRPr="00B655C5">
        <w:rPr>
          <w:b/>
          <w:bCs/>
        </w:rPr>
        <w:t>60 950 cestujúcich</w:t>
      </w:r>
      <w:r w:rsidR="00B655C5">
        <w:t xml:space="preserve"> </w:t>
      </w:r>
      <w:r w:rsidR="00B655C5" w:rsidRPr="006A0265">
        <w:rPr>
          <w:b/>
          <w:bCs/>
        </w:rPr>
        <w:t>ročne.</w:t>
      </w:r>
    </w:p>
    <w:p w14:paraId="2F240880" w14:textId="77777777" w:rsidR="00A25E56" w:rsidRDefault="00A25E56" w:rsidP="00B655C5">
      <w:pPr>
        <w:pStyle w:val="Tabuka-sloanzov"/>
        <w:numPr>
          <w:ilvl w:val="0"/>
          <w:numId w:val="0"/>
        </w:numPr>
      </w:pPr>
      <w:r>
        <w:t>Výpočet očakávaných tržieb (pesimistický počet cestujúcich)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12"/>
        <w:gridCol w:w="1512"/>
        <w:gridCol w:w="1512"/>
        <w:gridCol w:w="1512"/>
        <w:gridCol w:w="1512"/>
        <w:gridCol w:w="1512"/>
      </w:tblGrid>
      <w:tr w:rsidR="00A25E56" w:rsidRPr="00A2173F" w14:paraId="2924317F" w14:textId="77777777" w:rsidTr="00AA60D1">
        <w:trPr>
          <w:trHeight w:val="803"/>
          <w:tblHeader/>
        </w:trPr>
        <w:tc>
          <w:tcPr>
            <w:tcW w:w="1512" w:type="dxa"/>
            <w:shd w:val="clear" w:color="auto" w:fill="CCCCCC"/>
            <w:vAlign w:val="center"/>
          </w:tcPr>
          <w:p w14:paraId="1466D717" w14:textId="77777777" w:rsidR="00A25E56" w:rsidRPr="00A2173F" w:rsidRDefault="00A25E56" w:rsidP="00AA60D1">
            <w:pPr>
              <w:pStyle w:val="Tabuka-hlavika"/>
            </w:pPr>
            <w:r w:rsidRPr="00A2173F">
              <w:t>Tarifa</w:t>
            </w:r>
          </w:p>
        </w:tc>
        <w:tc>
          <w:tcPr>
            <w:tcW w:w="1512" w:type="dxa"/>
            <w:shd w:val="clear" w:color="auto" w:fill="CCCCCC"/>
            <w:vAlign w:val="center"/>
          </w:tcPr>
          <w:p w14:paraId="485656DC" w14:textId="77777777" w:rsidR="00A25E56" w:rsidRPr="00A2173F" w:rsidRDefault="00A25E56" w:rsidP="00AA60D1">
            <w:pPr>
              <w:pStyle w:val="Tabuka-hlavika"/>
            </w:pPr>
            <w:r w:rsidRPr="00A2173F">
              <w:t>Počet cestujúcich celkom</w:t>
            </w:r>
          </w:p>
        </w:tc>
        <w:tc>
          <w:tcPr>
            <w:tcW w:w="1512" w:type="dxa"/>
            <w:shd w:val="clear" w:color="auto" w:fill="CCCCCC"/>
            <w:vAlign w:val="center"/>
          </w:tcPr>
          <w:p w14:paraId="334F1708" w14:textId="77777777" w:rsidR="00A25E56" w:rsidRDefault="00A25E56" w:rsidP="00AA60D1">
            <w:pPr>
              <w:pStyle w:val="Tabuka-hlavika"/>
            </w:pPr>
            <w:r w:rsidRPr="00A2173F">
              <w:t>Cestujúci</w:t>
            </w:r>
            <w:r>
              <w:t xml:space="preserve"> s CL1C</w:t>
            </w:r>
          </w:p>
          <w:p w14:paraId="7C3350F7" w14:textId="77777777" w:rsidR="00A25E56" w:rsidRPr="00A2173F" w:rsidRDefault="00A25E56" w:rsidP="00AA60D1">
            <w:pPr>
              <w:pStyle w:val="Tabuka-hlavika"/>
            </w:pPr>
            <w:r w:rsidRPr="00A2173F">
              <w:t>(</w:t>
            </w:r>
            <w:r>
              <w:t>6</w:t>
            </w:r>
            <w:r w:rsidRPr="00A2173F">
              <w:t>0</w:t>
            </w:r>
            <w:r>
              <w:t xml:space="preserve"> </w:t>
            </w:r>
            <w:r w:rsidRPr="00A2173F">
              <w:t>%)</w:t>
            </w:r>
          </w:p>
        </w:tc>
        <w:tc>
          <w:tcPr>
            <w:tcW w:w="1512" w:type="dxa"/>
            <w:shd w:val="clear" w:color="auto" w:fill="CCCCCC"/>
            <w:vAlign w:val="center"/>
          </w:tcPr>
          <w:p w14:paraId="57B6035F" w14:textId="77777777" w:rsidR="00A25E56" w:rsidRDefault="00A25E56" w:rsidP="00AA60D1">
            <w:pPr>
              <w:pStyle w:val="Tabuka-hlavika"/>
            </w:pPr>
            <w:r w:rsidRPr="00A2173F">
              <w:t xml:space="preserve">Cestujúci </w:t>
            </w:r>
            <w:r>
              <w:t xml:space="preserve">s </w:t>
            </w:r>
            <w:r w:rsidRPr="00A2173F">
              <w:t>PCL</w:t>
            </w:r>
          </w:p>
          <w:p w14:paraId="7CAC4639" w14:textId="77777777" w:rsidR="00A25E56" w:rsidRPr="00A2173F" w:rsidRDefault="00A25E56" w:rsidP="00AA60D1">
            <w:pPr>
              <w:pStyle w:val="Tabuka-hlavika"/>
            </w:pPr>
            <w:r w:rsidRPr="00A2173F">
              <w:t>(</w:t>
            </w:r>
            <w:r>
              <w:t>4</w:t>
            </w:r>
            <w:r w:rsidRPr="00A2173F">
              <w:t>0 %)</w:t>
            </w:r>
          </w:p>
        </w:tc>
        <w:tc>
          <w:tcPr>
            <w:tcW w:w="1512" w:type="dxa"/>
            <w:shd w:val="clear" w:color="auto" w:fill="CCCCCC"/>
            <w:vAlign w:val="center"/>
          </w:tcPr>
          <w:p w14:paraId="780EFC6E" w14:textId="77777777" w:rsidR="00A25E56" w:rsidRPr="00A2173F" w:rsidRDefault="00A25E56" w:rsidP="00AA60D1">
            <w:pPr>
              <w:pStyle w:val="Tabuka-hlavika"/>
            </w:pPr>
            <w:r w:rsidRPr="00A2173F">
              <w:t>Tržby JCL</w:t>
            </w:r>
          </w:p>
        </w:tc>
        <w:tc>
          <w:tcPr>
            <w:tcW w:w="1512" w:type="dxa"/>
            <w:shd w:val="clear" w:color="auto" w:fill="CCCCCC"/>
            <w:vAlign w:val="center"/>
          </w:tcPr>
          <w:p w14:paraId="71F6EE63" w14:textId="77777777" w:rsidR="00A25E56" w:rsidRPr="00A2173F" w:rsidRDefault="00A25E56" w:rsidP="00AA60D1">
            <w:pPr>
              <w:pStyle w:val="Tabuka-hlavika"/>
            </w:pPr>
            <w:r w:rsidRPr="00A2173F">
              <w:t>Tržby PCL</w:t>
            </w:r>
          </w:p>
        </w:tc>
      </w:tr>
      <w:tr w:rsidR="00A25E56" w:rsidRPr="002E12FA" w14:paraId="0C75A835" w14:textId="77777777" w:rsidTr="00AA60D1">
        <w:trPr>
          <w:trHeight w:val="255"/>
        </w:trPr>
        <w:tc>
          <w:tcPr>
            <w:tcW w:w="1512" w:type="dxa"/>
            <w:shd w:val="clear" w:color="auto" w:fill="E6E6E6"/>
          </w:tcPr>
          <w:p w14:paraId="6C8B8D68" w14:textId="77777777" w:rsidR="00A25E56" w:rsidRDefault="00A25E56" w:rsidP="00AA60D1">
            <w:pPr>
              <w:pStyle w:val="Tabuka-hodnoty"/>
            </w:pPr>
            <w:r>
              <w:t>základný</w:t>
            </w:r>
          </w:p>
        </w:tc>
        <w:tc>
          <w:tcPr>
            <w:tcW w:w="1512" w:type="dxa"/>
            <w:shd w:val="clear" w:color="auto" w:fill="E6E6E6"/>
          </w:tcPr>
          <w:p w14:paraId="40BCB86E" w14:textId="77777777" w:rsidR="00A25E56" w:rsidRPr="00A2173F" w:rsidRDefault="00A25E56" w:rsidP="00AA60D1">
            <w:pPr>
              <w:pStyle w:val="Tabuka-hodnoty"/>
            </w:pPr>
            <w:r>
              <w:t>33 748</w:t>
            </w:r>
          </w:p>
        </w:tc>
        <w:tc>
          <w:tcPr>
            <w:tcW w:w="1512" w:type="dxa"/>
            <w:shd w:val="clear" w:color="auto" w:fill="E6E6E6"/>
            <w:vAlign w:val="bottom"/>
          </w:tcPr>
          <w:p w14:paraId="22FC324C" w14:textId="77777777" w:rsidR="00A25E56" w:rsidRPr="00A2173F" w:rsidRDefault="00A25E56" w:rsidP="00AA60D1">
            <w:pPr>
              <w:pStyle w:val="Tabuka-hodnoty"/>
            </w:pPr>
            <w:r>
              <w:t>20 249</w:t>
            </w:r>
          </w:p>
        </w:tc>
        <w:tc>
          <w:tcPr>
            <w:tcW w:w="1512" w:type="dxa"/>
            <w:shd w:val="clear" w:color="auto" w:fill="E6E6E6"/>
            <w:vAlign w:val="bottom"/>
          </w:tcPr>
          <w:p w14:paraId="40225B63" w14:textId="77777777" w:rsidR="00A25E56" w:rsidRPr="00A2173F" w:rsidRDefault="00A25E56" w:rsidP="00AA60D1">
            <w:pPr>
              <w:pStyle w:val="Tabuka-hodnoty"/>
            </w:pPr>
            <w:r>
              <w:t>13 499</w:t>
            </w:r>
          </w:p>
        </w:tc>
        <w:tc>
          <w:tcPr>
            <w:tcW w:w="1512" w:type="dxa"/>
            <w:shd w:val="clear" w:color="auto" w:fill="E6E6E6"/>
            <w:vAlign w:val="bottom"/>
          </w:tcPr>
          <w:p w14:paraId="0118AD46" w14:textId="77777777" w:rsidR="00A25E56" w:rsidRPr="00A2173F" w:rsidRDefault="00A25E56" w:rsidP="00AA60D1">
            <w:pPr>
              <w:pStyle w:val="Tabuka-hodnoty"/>
            </w:pPr>
            <w:r>
              <w:t>50 622,02 €</w:t>
            </w:r>
          </w:p>
        </w:tc>
        <w:tc>
          <w:tcPr>
            <w:tcW w:w="1512" w:type="dxa"/>
            <w:shd w:val="clear" w:color="auto" w:fill="E6E6E6"/>
            <w:vAlign w:val="bottom"/>
          </w:tcPr>
          <w:p w14:paraId="2ABC14C6" w14:textId="77777777" w:rsidR="00A25E56" w:rsidRPr="00A2173F" w:rsidRDefault="00A25E56" w:rsidP="00AA60D1">
            <w:pPr>
              <w:pStyle w:val="Tabuka-hodnoty"/>
            </w:pPr>
            <w:r>
              <w:t>6 715,85 €</w:t>
            </w:r>
          </w:p>
        </w:tc>
      </w:tr>
      <w:tr w:rsidR="00A25E56" w:rsidRPr="002E12FA" w14:paraId="49CCB1B7" w14:textId="77777777" w:rsidTr="00AA60D1">
        <w:trPr>
          <w:trHeight w:val="255"/>
        </w:trPr>
        <w:tc>
          <w:tcPr>
            <w:tcW w:w="1512" w:type="dxa"/>
            <w:tcBorders>
              <w:bottom w:val="single" w:sz="4" w:space="0" w:color="auto"/>
            </w:tcBorders>
            <w:shd w:val="clear" w:color="auto" w:fill="E6E6E6"/>
          </w:tcPr>
          <w:p w14:paraId="18C2A1AE" w14:textId="77777777" w:rsidR="00A25E56" w:rsidRDefault="00A25E56" w:rsidP="00AA60D1">
            <w:pPr>
              <w:pStyle w:val="Tabuka-hodnoty"/>
            </w:pPr>
            <w:r>
              <w:t>zľavnený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E6E6E6"/>
          </w:tcPr>
          <w:p w14:paraId="7DC156AD" w14:textId="77777777" w:rsidR="00A25E56" w:rsidRPr="00A2173F" w:rsidRDefault="00A25E56" w:rsidP="00AA60D1">
            <w:pPr>
              <w:pStyle w:val="Tabuka-hodnoty"/>
            </w:pPr>
            <w:r>
              <w:t>27 202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7D2737D2" w14:textId="77777777" w:rsidR="00A25E56" w:rsidRPr="00A2173F" w:rsidRDefault="00A25E56" w:rsidP="00AA60D1">
            <w:pPr>
              <w:pStyle w:val="Tabuka-hodnoty"/>
            </w:pPr>
            <w:r>
              <w:t>16 321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64957D61" w14:textId="77777777" w:rsidR="00A25E56" w:rsidRPr="00A2173F" w:rsidRDefault="00A25E56" w:rsidP="00AA60D1">
            <w:pPr>
              <w:pStyle w:val="Tabuka-hodnoty"/>
            </w:pPr>
            <w:r>
              <w:t>10 881</w:t>
            </w:r>
          </w:p>
        </w:tc>
        <w:tc>
          <w:tcPr>
            <w:tcW w:w="1512" w:type="dxa"/>
            <w:shd w:val="clear" w:color="auto" w:fill="E6E6E6"/>
            <w:vAlign w:val="bottom"/>
          </w:tcPr>
          <w:p w14:paraId="55F7E973" w14:textId="77777777" w:rsidR="00A25E56" w:rsidRPr="00A2173F" w:rsidRDefault="00A25E56" w:rsidP="00AA60D1">
            <w:pPr>
              <w:pStyle w:val="Tabuka-hodnoty"/>
            </w:pPr>
            <w:r>
              <w:t>24 481,79 €</w:t>
            </w:r>
          </w:p>
        </w:tc>
        <w:tc>
          <w:tcPr>
            <w:tcW w:w="1512" w:type="dxa"/>
            <w:shd w:val="clear" w:color="auto" w:fill="E6E6E6"/>
            <w:vAlign w:val="bottom"/>
          </w:tcPr>
          <w:p w14:paraId="22C3BA3E" w14:textId="77777777" w:rsidR="00A25E56" w:rsidRPr="00A2173F" w:rsidRDefault="00A25E56" w:rsidP="00AA60D1">
            <w:pPr>
              <w:pStyle w:val="Tabuka-hodnoty"/>
            </w:pPr>
            <w:r>
              <w:t>2 706,60 €</w:t>
            </w:r>
          </w:p>
        </w:tc>
      </w:tr>
      <w:tr w:rsidR="00A25E56" w:rsidRPr="002E12FA" w14:paraId="4046DDC0" w14:textId="77777777" w:rsidTr="00AA60D1">
        <w:trPr>
          <w:trHeight w:val="255"/>
        </w:trPr>
        <w:tc>
          <w:tcPr>
            <w:tcW w:w="151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CAA77A" w14:textId="77777777" w:rsidR="00A25E56" w:rsidRDefault="00A25E56" w:rsidP="00AA60D1">
            <w:pPr>
              <w:pStyle w:val="Tabuka-hodnoty"/>
            </w:pPr>
          </w:p>
        </w:tc>
        <w:tc>
          <w:tcPr>
            <w:tcW w:w="151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87BFAD" w14:textId="77777777" w:rsidR="00A25E56" w:rsidRDefault="00A25E56" w:rsidP="00AA60D1">
            <w:pPr>
              <w:pStyle w:val="Tabuka-hodnoty"/>
            </w:pPr>
          </w:p>
        </w:tc>
        <w:tc>
          <w:tcPr>
            <w:tcW w:w="151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D106D9" w14:textId="77777777" w:rsidR="00A25E56" w:rsidRPr="00A2173F" w:rsidRDefault="00A25E56" w:rsidP="00AA60D1">
            <w:pPr>
              <w:pStyle w:val="Tabuka-hodnoty"/>
            </w:pPr>
          </w:p>
        </w:tc>
        <w:tc>
          <w:tcPr>
            <w:tcW w:w="1512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550072BF" w14:textId="77777777" w:rsidR="00A25E56" w:rsidRPr="00A2173F" w:rsidRDefault="00A25E56" w:rsidP="00AA60D1">
            <w:pPr>
              <w:pStyle w:val="Tabuka-hodnoty"/>
            </w:pPr>
          </w:p>
        </w:tc>
        <w:tc>
          <w:tcPr>
            <w:tcW w:w="3024" w:type="dxa"/>
            <w:gridSpan w:val="2"/>
            <w:shd w:val="clear" w:color="auto" w:fill="E6E6E6"/>
            <w:vAlign w:val="bottom"/>
          </w:tcPr>
          <w:p w14:paraId="0D3EE0E8" w14:textId="77777777" w:rsidR="00A25E56" w:rsidRPr="00A2173F" w:rsidRDefault="00A25E56" w:rsidP="00AA60D1">
            <w:pPr>
              <w:pStyle w:val="Tabuka-hodnoty"/>
            </w:pPr>
            <w:r>
              <w:t>84 526,26</w:t>
            </w:r>
            <w:r w:rsidRPr="00A2173F">
              <w:t xml:space="preserve"> €</w:t>
            </w:r>
          </w:p>
        </w:tc>
      </w:tr>
    </w:tbl>
    <w:p w14:paraId="46E22B22" w14:textId="0815DB5D" w:rsidR="001C2FAA" w:rsidRDefault="00A25E56" w:rsidP="00DA222A">
      <w:pPr>
        <w:jc w:val="both"/>
      </w:pPr>
      <w:r>
        <w:t xml:space="preserve">Pri týchto predpokladoch </w:t>
      </w:r>
      <w:r w:rsidR="00F81BF2">
        <w:t>by boli</w:t>
      </w:r>
      <w:r>
        <w:t xml:space="preserve"> tržby vo výške 84 526,26 € ročne.</w:t>
      </w:r>
    </w:p>
    <w:p w14:paraId="421100C7" w14:textId="77777777" w:rsidR="009B6CAB" w:rsidRDefault="009B6CAB" w:rsidP="00DA222A">
      <w:pPr>
        <w:jc w:val="both"/>
      </w:pPr>
    </w:p>
    <w:p w14:paraId="5FAF86C7" w14:textId="4B1C45CF" w:rsidR="001C2FAA" w:rsidRDefault="001C2FAA" w:rsidP="00DA222A">
      <w:pPr>
        <w:jc w:val="both"/>
      </w:pPr>
      <w:r>
        <w:t xml:space="preserve">Vo výpočte očakávaných tržieb pre potreby </w:t>
      </w:r>
      <w:r w:rsidRPr="001C2FAA">
        <w:t xml:space="preserve">Zmluvy o poskytnutí finančného príspevku pre projekt cezhraničnej autobusovej dopravy Bratislava – </w:t>
      </w:r>
      <w:proofErr w:type="spellStart"/>
      <w:r w:rsidRPr="001C2FAA">
        <w:t>Hainburg</w:t>
      </w:r>
      <w:proofErr w:type="spellEnd"/>
      <w:r w:rsidRPr="001C2FAA">
        <w:t>/</w:t>
      </w:r>
      <w:proofErr w:type="spellStart"/>
      <w:r w:rsidRPr="001C2FAA">
        <w:t>Donau</w:t>
      </w:r>
      <w:proofErr w:type="spellEnd"/>
      <w:r w:rsidRPr="001C2FAA">
        <w:t xml:space="preserve"> od spolkovej krajiny Dolné Rakúsko pre Bratislavský samosprávny kraj</w:t>
      </w:r>
      <w:r>
        <w:t xml:space="preserve"> sa teda </w:t>
      </w:r>
      <w:r w:rsidR="00DD7A2C">
        <w:t xml:space="preserve">(pre istotu) </w:t>
      </w:r>
      <w:r>
        <w:t xml:space="preserve">použili práve čísla </w:t>
      </w:r>
      <w:r w:rsidR="001963C1">
        <w:t>naj</w:t>
      </w:r>
      <w:r>
        <w:t>pesimistick</w:t>
      </w:r>
      <w:r w:rsidR="001963C1">
        <w:t>ejšie</w:t>
      </w:r>
      <w:r>
        <w:t xml:space="preserve">ho počtu </w:t>
      </w:r>
      <w:r w:rsidR="001963C1">
        <w:t xml:space="preserve">prepravených </w:t>
      </w:r>
      <w:r>
        <w:t>cestujúcich</w:t>
      </w:r>
      <w:r w:rsidR="001963C1">
        <w:t xml:space="preserve">. </w:t>
      </w:r>
      <w:r w:rsidR="00F81BF2">
        <w:t>Avšak, n</w:t>
      </w:r>
      <w:r w:rsidR="001963C1">
        <w:t xml:space="preserve">akoľko opatrenia Covid-19 </w:t>
      </w:r>
      <w:r w:rsidR="00D24DA3">
        <w:t>sú v súčasnosti</w:t>
      </w:r>
      <w:r w:rsidR="001963C1">
        <w:t xml:space="preserve"> zrušené, život sa dostal do normálu a do verejnej dopravy sa vo všeobecnosti vrátili cestujúci na takmer pred </w:t>
      </w:r>
      <w:proofErr w:type="spellStart"/>
      <w:r w:rsidR="001963C1">
        <w:t>pandemické</w:t>
      </w:r>
      <w:proofErr w:type="spellEnd"/>
      <w:r w:rsidR="001963C1">
        <w:t xml:space="preserve"> hodnoty, očakávame tržby </w:t>
      </w:r>
      <w:r w:rsidR="00AF0D8E">
        <w:t xml:space="preserve">prirodzene vyššie ako sú prezentované v tomto pesimistickom odhade, čo </w:t>
      </w:r>
      <w:r w:rsidR="00AF0D8E">
        <w:lastRenderedPageBreak/>
        <w:t>by malo znamenať nižšiu potrebu dofinancovania doplatku dopravcovi za službu ako predpokladá výpočet v Zmluve.</w:t>
      </w:r>
    </w:p>
    <w:p w14:paraId="3389A927" w14:textId="77777777" w:rsidR="008D4A80" w:rsidRDefault="008D4A80" w:rsidP="008D4A80">
      <w:pPr>
        <w:pStyle w:val="Tabuka-sloanzov"/>
        <w:numPr>
          <w:ilvl w:val="0"/>
          <w:numId w:val="0"/>
        </w:numPr>
      </w:pPr>
      <w:r>
        <w:t>Prehľad jednotlivých variantov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92"/>
        <w:gridCol w:w="1670"/>
        <w:gridCol w:w="1670"/>
        <w:gridCol w:w="1670"/>
        <w:gridCol w:w="1670"/>
      </w:tblGrid>
      <w:tr w:rsidR="008D4A80" w:rsidRPr="00A2173F" w14:paraId="04E3227E" w14:textId="77777777" w:rsidTr="00AA60D1">
        <w:trPr>
          <w:trHeight w:val="76"/>
          <w:tblHeader/>
          <w:jc w:val="center"/>
        </w:trPr>
        <w:tc>
          <w:tcPr>
            <w:tcW w:w="2392" w:type="dxa"/>
            <w:vMerge w:val="restart"/>
            <w:shd w:val="clear" w:color="auto" w:fill="CCCCCC"/>
            <w:vAlign w:val="center"/>
          </w:tcPr>
          <w:p w14:paraId="432B19B4" w14:textId="77777777" w:rsidR="008D4A80" w:rsidRDefault="008D4A80" w:rsidP="00AA60D1">
            <w:pPr>
              <w:pStyle w:val="Tabuka-hlavika"/>
            </w:pPr>
            <w:r>
              <w:t>Varianty</w:t>
            </w:r>
          </w:p>
          <w:p w14:paraId="6785F4BE" w14:textId="77777777" w:rsidR="008D4A80" w:rsidRDefault="008D4A80" w:rsidP="00AA60D1">
            <w:pPr>
              <w:pStyle w:val="Tabuka-hlavika"/>
            </w:pPr>
            <w:r>
              <w:t>(cestovný poriadok</w:t>
            </w:r>
          </w:p>
          <w:p w14:paraId="190AFB83" w14:textId="77777777" w:rsidR="008D4A80" w:rsidRPr="00A2173F" w:rsidRDefault="008D4A80" w:rsidP="00AA60D1">
            <w:pPr>
              <w:pStyle w:val="Tabuka-hlavika"/>
            </w:pPr>
            <w:r>
              <w:t>/ počet cestujúcich)</w:t>
            </w:r>
          </w:p>
        </w:tc>
        <w:tc>
          <w:tcPr>
            <w:tcW w:w="3340" w:type="dxa"/>
            <w:gridSpan w:val="2"/>
            <w:shd w:val="clear" w:color="auto" w:fill="CCCCCC"/>
          </w:tcPr>
          <w:p w14:paraId="555F85F0" w14:textId="77777777" w:rsidR="008D4A80" w:rsidRDefault="008D4A80" w:rsidP="00AA60D1">
            <w:pPr>
              <w:pStyle w:val="Tabuka-hlavika"/>
            </w:pPr>
            <w:r w:rsidRPr="00EA7A3B">
              <w:rPr>
                <w:highlight w:val="yellow"/>
              </w:rPr>
              <w:t>redukovaný CP</w:t>
            </w:r>
          </w:p>
        </w:tc>
        <w:tc>
          <w:tcPr>
            <w:tcW w:w="3340" w:type="dxa"/>
            <w:gridSpan w:val="2"/>
            <w:shd w:val="clear" w:color="auto" w:fill="CCCCCC"/>
          </w:tcPr>
          <w:p w14:paraId="4CA22E9D" w14:textId="77777777" w:rsidR="008D4A80" w:rsidRPr="00A2173F" w:rsidRDefault="008D4A80" w:rsidP="00AA60D1">
            <w:pPr>
              <w:pStyle w:val="Tabuka-hlavika"/>
            </w:pPr>
            <w:r>
              <w:t>optimálny CP</w:t>
            </w:r>
          </w:p>
        </w:tc>
      </w:tr>
      <w:tr w:rsidR="008D4A80" w:rsidRPr="00A2173F" w14:paraId="10869C11" w14:textId="77777777" w:rsidTr="00AA60D1">
        <w:trPr>
          <w:trHeight w:val="76"/>
          <w:tblHeader/>
          <w:jc w:val="center"/>
        </w:trPr>
        <w:tc>
          <w:tcPr>
            <w:tcW w:w="2392" w:type="dxa"/>
            <w:vMerge/>
            <w:shd w:val="clear" w:color="auto" w:fill="CCCCCC"/>
            <w:vAlign w:val="center"/>
          </w:tcPr>
          <w:p w14:paraId="18AEED01" w14:textId="77777777" w:rsidR="008D4A80" w:rsidRDefault="008D4A80" w:rsidP="00AA60D1">
            <w:pPr>
              <w:pStyle w:val="Tabuka-hlavika"/>
            </w:pPr>
          </w:p>
        </w:tc>
        <w:tc>
          <w:tcPr>
            <w:tcW w:w="1670" w:type="dxa"/>
            <w:shd w:val="clear" w:color="auto" w:fill="CCCCCC"/>
          </w:tcPr>
          <w:p w14:paraId="09C6FFCE" w14:textId="77777777" w:rsidR="008D4A80" w:rsidRDefault="008D4A80" w:rsidP="00AA60D1">
            <w:pPr>
              <w:pStyle w:val="Tabuka-hlavika"/>
            </w:pPr>
            <w:r>
              <w:t>optimálny počet cestujúcich</w:t>
            </w:r>
          </w:p>
        </w:tc>
        <w:tc>
          <w:tcPr>
            <w:tcW w:w="1670" w:type="dxa"/>
            <w:shd w:val="clear" w:color="auto" w:fill="CCCCCC"/>
          </w:tcPr>
          <w:p w14:paraId="32503D68" w14:textId="77777777" w:rsidR="008D4A80" w:rsidRDefault="008D4A80" w:rsidP="00AA60D1">
            <w:pPr>
              <w:pStyle w:val="Tabuka-hlavika"/>
            </w:pPr>
            <w:r w:rsidRPr="00EA7A3B">
              <w:rPr>
                <w:highlight w:val="yellow"/>
              </w:rPr>
              <w:t>pesimistický počet cestujúcich</w:t>
            </w:r>
          </w:p>
        </w:tc>
        <w:tc>
          <w:tcPr>
            <w:tcW w:w="1670" w:type="dxa"/>
            <w:shd w:val="clear" w:color="auto" w:fill="CCCCCC"/>
          </w:tcPr>
          <w:p w14:paraId="4B5081C4" w14:textId="77777777" w:rsidR="008D4A80" w:rsidRDefault="008D4A80" w:rsidP="00AA60D1">
            <w:pPr>
              <w:pStyle w:val="Tabuka-hlavika"/>
            </w:pPr>
            <w:r>
              <w:t>optimálny počet cestujúcich</w:t>
            </w:r>
          </w:p>
        </w:tc>
        <w:tc>
          <w:tcPr>
            <w:tcW w:w="1670" w:type="dxa"/>
            <w:shd w:val="clear" w:color="auto" w:fill="CCCCCC"/>
          </w:tcPr>
          <w:p w14:paraId="6A8F24E0" w14:textId="77777777" w:rsidR="008D4A80" w:rsidRDefault="008D4A80" w:rsidP="00AA60D1">
            <w:pPr>
              <w:pStyle w:val="Tabuka-hlavika"/>
            </w:pPr>
            <w:r>
              <w:t>pesimistický počet cestujúcich</w:t>
            </w:r>
          </w:p>
        </w:tc>
      </w:tr>
      <w:tr w:rsidR="008D4A80" w:rsidRPr="002E12FA" w14:paraId="046089FA" w14:textId="77777777" w:rsidTr="00AA60D1">
        <w:trPr>
          <w:trHeight w:val="255"/>
          <w:jc w:val="center"/>
        </w:trPr>
        <w:tc>
          <w:tcPr>
            <w:tcW w:w="2392" w:type="dxa"/>
            <w:shd w:val="clear" w:color="auto" w:fill="E6E6E6"/>
          </w:tcPr>
          <w:p w14:paraId="171DE0DD" w14:textId="77777777" w:rsidR="008D4A80" w:rsidRPr="000969C2" w:rsidRDefault="008D4A80" w:rsidP="00AA60D1">
            <w:pPr>
              <w:pStyle w:val="Tabuka-hodnoty"/>
              <w:jc w:val="left"/>
            </w:pPr>
            <w:r w:rsidRPr="000969C2">
              <w:t>Náklady</w:t>
            </w:r>
          </w:p>
        </w:tc>
        <w:tc>
          <w:tcPr>
            <w:tcW w:w="1670" w:type="dxa"/>
            <w:shd w:val="clear" w:color="auto" w:fill="E6E6E6"/>
            <w:vAlign w:val="center"/>
          </w:tcPr>
          <w:p w14:paraId="704849F6" w14:textId="77777777" w:rsidR="008D4A80" w:rsidRPr="000969C2" w:rsidRDefault="008D4A80" w:rsidP="00AA60D1">
            <w:pPr>
              <w:pStyle w:val="Tabuka-hodnoty"/>
              <w:jc w:val="right"/>
              <w:rPr>
                <w:highlight w:val="lightGray"/>
              </w:rPr>
            </w:pPr>
            <w:r w:rsidRPr="000969C2">
              <w:rPr>
                <w:highlight w:val="lightGray"/>
              </w:rPr>
              <w:t>330 783,02 €</w:t>
            </w:r>
          </w:p>
        </w:tc>
        <w:tc>
          <w:tcPr>
            <w:tcW w:w="1670" w:type="dxa"/>
            <w:shd w:val="clear" w:color="auto" w:fill="E6E6E6"/>
            <w:vAlign w:val="center"/>
          </w:tcPr>
          <w:p w14:paraId="204A4DBE" w14:textId="77777777" w:rsidR="008D4A80" w:rsidRPr="000969C2" w:rsidRDefault="008D4A80" w:rsidP="00AA60D1">
            <w:pPr>
              <w:pStyle w:val="Tabuka-hodnoty"/>
              <w:jc w:val="right"/>
              <w:rPr>
                <w:highlight w:val="lightGray"/>
              </w:rPr>
            </w:pPr>
            <w:r w:rsidRPr="000969C2">
              <w:rPr>
                <w:highlight w:val="lightGray"/>
              </w:rPr>
              <w:t>330 783,02 €</w:t>
            </w:r>
          </w:p>
        </w:tc>
        <w:tc>
          <w:tcPr>
            <w:tcW w:w="1670" w:type="dxa"/>
            <w:shd w:val="clear" w:color="auto" w:fill="E6E6E6"/>
            <w:vAlign w:val="center"/>
          </w:tcPr>
          <w:p w14:paraId="5D9530BD" w14:textId="77777777" w:rsidR="008D4A80" w:rsidRPr="000969C2" w:rsidRDefault="008D4A80" w:rsidP="00AA60D1">
            <w:pPr>
              <w:pStyle w:val="Tabuka-hodnoty"/>
              <w:jc w:val="right"/>
              <w:rPr>
                <w:highlight w:val="lightGray"/>
              </w:rPr>
            </w:pPr>
            <w:r w:rsidRPr="000969C2">
              <w:rPr>
                <w:highlight w:val="lightGray"/>
              </w:rPr>
              <w:t>436 851,99 €</w:t>
            </w:r>
          </w:p>
        </w:tc>
        <w:tc>
          <w:tcPr>
            <w:tcW w:w="1670" w:type="dxa"/>
            <w:shd w:val="clear" w:color="auto" w:fill="E6E6E6"/>
            <w:vAlign w:val="center"/>
          </w:tcPr>
          <w:p w14:paraId="3F7B9DC6" w14:textId="77777777" w:rsidR="008D4A80" w:rsidRPr="000969C2" w:rsidRDefault="008D4A80" w:rsidP="00AA60D1">
            <w:pPr>
              <w:pStyle w:val="Tabuka-hodnoty"/>
              <w:jc w:val="right"/>
              <w:rPr>
                <w:highlight w:val="lightGray"/>
              </w:rPr>
            </w:pPr>
            <w:r w:rsidRPr="000969C2">
              <w:rPr>
                <w:highlight w:val="lightGray"/>
              </w:rPr>
              <w:t>436 851,99 €</w:t>
            </w:r>
          </w:p>
        </w:tc>
      </w:tr>
      <w:tr w:rsidR="008D4A80" w:rsidRPr="002E12FA" w14:paraId="706CDF77" w14:textId="77777777" w:rsidTr="00AA60D1">
        <w:trPr>
          <w:trHeight w:val="255"/>
          <w:jc w:val="center"/>
        </w:trPr>
        <w:tc>
          <w:tcPr>
            <w:tcW w:w="2392" w:type="dxa"/>
            <w:tcBorders>
              <w:bottom w:val="single" w:sz="4" w:space="0" w:color="auto"/>
            </w:tcBorders>
            <w:shd w:val="clear" w:color="auto" w:fill="E6E6E6"/>
          </w:tcPr>
          <w:p w14:paraId="0699F585" w14:textId="77777777" w:rsidR="008D4A80" w:rsidRPr="000969C2" w:rsidRDefault="008D4A80" w:rsidP="00AA60D1">
            <w:pPr>
              <w:pStyle w:val="Tabuka-hodnoty"/>
              <w:jc w:val="left"/>
            </w:pPr>
            <w:r w:rsidRPr="000969C2">
              <w:t>Výnosy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B6C9D8C" w14:textId="77777777" w:rsidR="008D4A80" w:rsidRPr="000969C2" w:rsidRDefault="008D4A80" w:rsidP="00AA60D1">
            <w:pPr>
              <w:pStyle w:val="Tabuka-hodnoty"/>
              <w:jc w:val="right"/>
              <w:rPr>
                <w:highlight w:val="lightGray"/>
              </w:rPr>
            </w:pPr>
            <w:r w:rsidRPr="000969C2">
              <w:rPr>
                <w:highlight w:val="lightGray"/>
              </w:rPr>
              <w:t>189 632,83 €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E4E078" w14:textId="77777777" w:rsidR="008D4A80" w:rsidRPr="000969C2" w:rsidRDefault="008D4A80" w:rsidP="00AA60D1">
            <w:pPr>
              <w:pStyle w:val="Tabuka-hodnoty"/>
              <w:jc w:val="right"/>
              <w:rPr>
                <w:highlight w:val="lightGray"/>
              </w:rPr>
            </w:pPr>
            <w:r w:rsidRPr="000969C2">
              <w:rPr>
                <w:highlight w:val="lightGray"/>
              </w:rPr>
              <w:t>84 526,26 €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78448EB" w14:textId="77777777" w:rsidR="008D4A80" w:rsidRPr="000969C2" w:rsidRDefault="008D4A80" w:rsidP="00AA60D1">
            <w:pPr>
              <w:pStyle w:val="Tabuka-hodnoty"/>
              <w:jc w:val="right"/>
              <w:rPr>
                <w:highlight w:val="lightGray"/>
              </w:rPr>
            </w:pPr>
            <w:r w:rsidRPr="000969C2">
              <w:rPr>
                <w:highlight w:val="lightGray"/>
              </w:rPr>
              <w:t>189 632,83 €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8EE1372" w14:textId="77777777" w:rsidR="008D4A80" w:rsidRPr="000969C2" w:rsidRDefault="008D4A80" w:rsidP="00AA60D1">
            <w:pPr>
              <w:pStyle w:val="Tabuka-hodnoty"/>
              <w:jc w:val="right"/>
              <w:rPr>
                <w:highlight w:val="lightGray"/>
              </w:rPr>
            </w:pPr>
            <w:r w:rsidRPr="000969C2">
              <w:rPr>
                <w:highlight w:val="lightGray"/>
              </w:rPr>
              <w:t>84 526,26 €</w:t>
            </w:r>
          </w:p>
        </w:tc>
      </w:tr>
      <w:tr w:rsidR="008D4A80" w:rsidRPr="002E12FA" w14:paraId="59E6EEF6" w14:textId="77777777" w:rsidTr="00AA60D1">
        <w:trPr>
          <w:trHeight w:val="255"/>
          <w:jc w:val="center"/>
        </w:trPr>
        <w:tc>
          <w:tcPr>
            <w:tcW w:w="2392" w:type="dxa"/>
            <w:tcBorders>
              <w:bottom w:val="single" w:sz="4" w:space="0" w:color="auto"/>
            </w:tcBorders>
            <w:shd w:val="clear" w:color="auto" w:fill="E6E6E6"/>
          </w:tcPr>
          <w:p w14:paraId="1BC5DD61" w14:textId="77777777" w:rsidR="008D4A80" w:rsidRPr="000969C2" w:rsidRDefault="008D4A80" w:rsidP="00AA60D1">
            <w:pPr>
              <w:pStyle w:val="Tabuka-hodnoty"/>
              <w:jc w:val="left"/>
            </w:pPr>
            <w:r w:rsidRPr="000969C2">
              <w:t>Dofinancovanie spolu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CAA38A" w14:textId="77777777" w:rsidR="008D4A80" w:rsidRPr="000969C2" w:rsidRDefault="008D4A80" w:rsidP="00AA60D1">
            <w:pPr>
              <w:pStyle w:val="Tabuka-hodnoty"/>
              <w:jc w:val="right"/>
              <w:rPr>
                <w:highlight w:val="lightGray"/>
              </w:rPr>
            </w:pPr>
            <w:r w:rsidRPr="000969C2">
              <w:rPr>
                <w:highlight w:val="lightGray"/>
              </w:rPr>
              <w:t>141 150,19 €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8F09BAE" w14:textId="77777777" w:rsidR="008D4A80" w:rsidRPr="000969C2" w:rsidRDefault="008D4A80" w:rsidP="00AA60D1">
            <w:pPr>
              <w:pStyle w:val="Tabuka-hodnoty"/>
              <w:jc w:val="right"/>
              <w:rPr>
                <w:highlight w:val="lightGray"/>
              </w:rPr>
            </w:pPr>
            <w:r w:rsidRPr="000969C2">
              <w:rPr>
                <w:highlight w:val="lightGray"/>
              </w:rPr>
              <w:t>246 256,76 €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91450A" w14:textId="77777777" w:rsidR="008D4A80" w:rsidRPr="000969C2" w:rsidRDefault="008D4A80" w:rsidP="00AA60D1">
            <w:pPr>
              <w:pStyle w:val="Tabuka-hodnoty"/>
              <w:jc w:val="right"/>
              <w:rPr>
                <w:highlight w:val="lightGray"/>
              </w:rPr>
            </w:pPr>
            <w:r w:rsidRPr="000969C2">
              <w:rPr>
                <w:highlight w:val="lightGray"/>
              </w:rPr>
              <w:t>247 219,16 €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D1280E0" w14:textId="77777777" w:rsidR="008D4A80" w:rsidRPr="000969C2" w:rsidRDefault="008D4A80" w:rsidP="00AA60D1">
            <w:pPr>
              <w:pStyle w:val="Tabuka-hodnoty"/>
              <w:jc w:val="right"/>
              <w:rPr>
                <w:highlight w:val="lightGray"/>
              </w:rPr>
            </w:pPr>
            <w:r w:rsidRPr="000969C2">
              <w:rPr>
                <w:highlight w:val="lightGray"/>
              </w:rPr>
              <w:t>352 325,73 €</w:t>
            </w:r>
          </w:p>
        </w:tc>
      </w:tr>
      <w:tr w:rsidR="008D4A80" w:rsidRPr="002E12FA" w14:paraId="4E783481" w14:textId="77777777" w:rsidTr="009B6CAB">
        <w:trPr>
          <w:trHeight w:val="255"/>
          <w:jc w:val="center"/>
        </w:trPr>
        <w:tc>
          <w:tcPr>
            <w:tcW w:w="2392" w:type="dxa"/>
            <w:shd w:val="clear" w:color="auto" w:fill="E6E6E6"/>
          </w:tcPr>
          <w:p w14:paraId="02948498" w14:textId="0F5E9537" w:rsidR="008D4A80" w:rsidRPr="000969C2" w:rsidRDefault="00C32727" w:rsidP="00AA60D1">
            <w:pPr>
              <w:pStyle w:val="Tabuka-hodnoty"/>
              <w:jc w:val="left"/>
            </w:pPr>
            <w:r w:rsidRPr="000969C2">
              <w:t>DR (33,3%)</w:t>
            </w:r>
          </w:p>
        </w:tc>
        <w:tc>
          <w:tcPr>
            <w:tcW w:w="1670" w:type="dxa"/>
            <w:shd w:val="clear" w:color="auto" w:fill="E6E6E6"/>
            <w:vAlign w:val="center"/>
          </w:tcPr>
          <w:p w14:paraId="16AF75D1" w14:textId="0106AAFF" w:rsidR="008D4A80" w:rsidRPr="000969C2" w:rsidRDefault="009F5E23" w:rsidP="00AA60D1">
            <w:pPr>
              <w:pStyle w:val="Tabuka-hodnoty"/>
              <w:jc w:val="right"/>
              <w:rPr>
                <w:highlight w:val="lightGray"/>
              </w:rPr>
            </w:pPr>
            <w:r w:rsidRPr="000969C2">
              <w:rPr>
                <w:color w:val="333333"/>
                <w:highlight w:val="lightGray"/>
                <w:shd w:val="clear" w:color="auto" w:fill="FFFFFF"/>
              </w:rPr>
              <w:t>47 003,01</w:t>
            </w:r>
            <w:r w:rsidR="008D4A80" w:rsidRPr="000969C2">
              <w:rPr>
                <w:highlight w:val="lightGray"/>
              </w:rPr>
              <w:t xml:space="preserve"> €</w:t>
            </w:r>
          </w:p>
        </w:tc>
        <w:tc>
          <w:tcPr>
            <w:tcW w:w="1670" w:type="dxa"/>
            <w:shd w:val="clear" w:color="auto" w:fill="E6E6E6"/>
            <w:vAlign w:val="center"/>
          </w:tcPr>
          <w:p w14:paraId="6447880D" w14:textId="2E38F9E3" w:rsidR="008D4A80" w:rsidRPr="000969C2" w:rsidRDefault="00C32727" w:rsidP="00AA60D1">
            <w:pPr>
              <w:pStyle w:val="Tabuka-hodnoty"/>
              <w:jc w:val="right"/>
              <w:rPr>
                <w:highlight w:val="lightGray"/>
              </w:rPr>
            </w:pPr>
            <w:r w:rsidRPr="000969C2">
              <w:rPr>
                <w:highlight w:val="lightGray"/>
              </w:rPr>
              <w:t>82 003,50</w:t>
            </w:r>
            <w:r w:rsidR="008D4A80" w:rsidRPr="000969C2">
              <w:rPr>
                <w:highlight w:val="lightGray"/>
              </w:rPr>
              <w:t xml:space="preserve"> €</w:t>
            </w:r>
          </w:p>
        </w:tc>
        <w:tc>
          <w:tcPr>
            <w:tcW w:w="1670" w:type="dxa"/>
            <w:shd w:val="clear" w:color="auto" w:fill="E6E6E6"/>
            <w:vAlign w:val="center"/>
          </w:tcPr>
          <w:p w14:paraId="273B4340" w14:textId="0D7263B0" w:rsidR="008D4A80" w:rsidRPr="000969C2" w:rsidRDefault="009F6D92" w:rsidP="00AA60D1">
            <w:pPr>
              <w:pStyle w:val="Tabuka-hodnoty"/>
              <w:jc w:val="right"/>
              <w:rPr>
                <w:highlight w:val="lightGray"/>
              </w:rPr>
            </w:pPr>
            <w:r w:rsidRPr="000969C2">
              <w:rPr>
                <w:color w:val="333333"/>
                <w:highlight w:val="lightGray"/>
                <w:shd w:val="clear" w:color="auto" w:fill="FFFFFF"/>
              </w:rPr>
              <w:t>82 323,98</w:t>
            </w:r>
            <w:r w:rsidR="008D4A80" w:rsidRPr="000969C2">
              <w:rPr>
                <w:highlight w:val="lightGray"/>
              </w:rPr>
              <w:t xml:space="preserve"> €</w:t>
            </w:r>
          </w:p>
        </w:tc>
        <w:tc>
          <w:tcPr>
            <w:tcW w:w="1670" w:type="dxa"/>
            <w:shd w:val="clear" w:color="auto" w:fill="E6E6E6"/>
            <w:vAlign w:val="center"/>
          </w:tcPr>
          <w:p w14:paraId="278FB0A3" w14:textId="5A5AB228" w:rsidR="008D4A80" w:rsidRPr="000969C2" w:rsidRDefault="009F6D92" w:rsidP="00AA60D1">
            <w:pPr>
              <w:pStyle w:val="Tabuka-hodnoty"/>
              <w:jc w:val="right"/>
              <w:rPr>
                <w:highlight w:val="lightGray"/>
              </w:rPr>
            </w:pPr>
            <w:r w:rsidRPr="000969C2">
              <w:rPr>
                <w:color w:val="333333"/>
                <w:highlight w:val="lightGray"/>
                <w:shd w:val="clear" w:color="auto" w:fill="FFFFFF"/>
              </w:rPr>
              <w:t>117 324,4</w:t>
            </w:r>
            <w:r w:rsidR="00D24DA3" w:rsidRPr="000969C2">
              <w:rPr>
                <w:color w:val="333333"/>
                <w:highlight w:val="lightGray"/>
                <w:shd w:val="clear" w:color="auto" w:fill="FFFFFF"/>
              </w:rPr>
              <w:t>7</w:t>
            </w:r>
            <w:r w:rsidR="008D4A80" w:rsidRPr="000969C2">
              <w:rPr>
                <w:highlight w:val="lightGray"/>
              </w:rPr>
              <w:t xml:space="preserve"> €</w:t>
            </w:r>
          </w:p>
        </w:tc>
      </w:tr>
      <w:tr w:rsidR="009B6CAB" w:rsidRPr="002E12FA" w14:paraId="58E453A2" w14:textId="77777777" w:rsidTr="009B6CAB">
        <w:trPr>
          <w:trHeight w:val="255"/>
          <w:jc w:val="center"/>
        </w:trPr>
        <w:tc>
          <w:tcPr>
            <w:tcW w:w="2392" w:type="dxa"/>
            <w:shd w:val="clear" w:color="auto" w:fill="E6E6E6"/>
          </w:tcPr>
          <w:p w14:paraId="4CBBE603" w14:textId="36D3AAC0" w:rsidR="009B6CAB" w:rsidRPr="000969C2" w:rsidRDefault="00C32727" w:rsidP="00AA60D1">
            <w:pPr>
              <w:pStyle w:val="Tabuka-hodnoty"/>
              <w:jc w:val="left"/>
            </w:pPr>
            <w:r w:rsidRPr="000969C2">
              <w:t>HMB (</w:t>
            </w:r>
            <w:r w:rsidR="00EA7A3B" w:rsidRPr="000969C2">
              <w:t>24,1%</w:t>
            </w:r>
            <w:r w:rsidRPr="000969C2">
              <w:t>)</w:t>
            </w:r>
          </w:p>
        </w:tc>
        <w:tc>
          <w:tcPr>
            <w:tcW w:w="1670" w:type="dxa"/>
            <w:shd w:val="clear" w:color="auto" w:fill="E6E6E6"/>
            <w:vAlign w:val="center"/>
          </w:tcPr>
          <w:p w14:paraId="5F73DDED" w14:textId="180D6E6C" w:rsidR="009B6CAB" w:rsidRPr="000969C2" w:rsidRDefault="009F5E23" w:rsidP="00AA60D1">
            <w:pPr>
              <w:pStyle w:val="Tabuka-hodnoty"/>
              <w:jc w:val="right"/>
              <w:rPr>
                <w:highlight w:val="lightGray"/>
              </w:rPr>
            </w:pPr>
            <w:r w:rsidRPr="000969C2">
              <w:rPr>
                <w:color w:val="333333"/>
                <w:highlight w:val="lightGray"/>
                <w:shd w:val="clear" w:color="auto" w:fill="FFFFFF"/>
              </w:rPr>
              <w:t>34 017,2</w:t>
            </w:r>
            <w:r w:rsidR="009F6D92" w:rsidRPr="000969C2">
              <w:rPr>
                <w:color w:val="333333"/>
                <w:highlight w:val="lightGray"/>
                <w:shd w:val="clear" w:color="auto" w:fill="FFFFFF"/>
              </w:rPr>
              <w:t>0</w:t>
            </w:r>
            <w:r w:rsidRPr="000969C2">
              <w:rPr>
                <w:color w:val="333333"/>
                <w:highlight w:val="lightGray"/>
                <w:shd w:val="clear" w:color="auto" w:fill="FFFFFF"/>
              </w:rPr>
              <w:t xml:space="preserve"> €</w:t>
            </w:r>
          </w:p>
        </w:tc>
        <w:tc>
          <w:tcPr>
            <w:tcW w:w="1670" w:type="dxa"/>
            <w:shd w:val="clear" w:color="auto" w:fill="E6E6E6"/>
            <w:vAlign w:val="center"/>
          </w:tcPr>
          <w:p w14:paraId="7B15A8F5" w14:textId="7D7E31AA" w:rsidR="009B6CAB" w:rsidRPr="000969C2" w:rsidRDefault="00C32727" w:rsidP="00AA60D1">
            <w:pPr>
              <w:pStyle w:val="Tabuka-hodnoty"/>
              <w:jc w:val="right"/>
              <w:rPr>
                <w:highlight w:val="lightGray"/>
              </w:rPr>
            </w:pPr>
            <w:r w:rsidRPr="000969C2">
              <w:rPr>
                <w:highlight w:val="lightGray"/>
              </w:rPr>
              <w:t>59 347,88 €</w:t>
            </w:r>
          </w:p>
        </w:tc>
        <w:tc>
          <w:tcPr>
            <w:tcW w:w="1670" w:type="dxa"/>
            <w:shd w:val="clear" w:color="auto" w:fill="E6E6E6"/>
            <w:vAlign w:val="center"/>
          </w:tcPr>
          <w:p w14:paraId="08FFB35F" w14:textId="5EFFBC6F" w:rsidR="009B6CAB" w:rsidRPr="000969C2" w:rsidRDefault="009F6D92" w:rsidP="00AA60D1">
            <w:pPr>
              <w:pStyle w:val="Tabuka-hodnoty"/>
              <w:jc w:val="right"/>
              <w:rPr>
                <w:highlight w:val="lightGray"/>
              </w:rPr>
            </w:pPr>
            <w:r w:rsidRPr="000969C2">
              <w:rPr>
                <w:color w:val="333333"/>
                <w:highlight w:val="lightGray"/>
                <w:shd w:val="clear" w:color="auto" w:fill="FFFFFF"/>
              </w:rPr>
              <w:t>59 579,82 €</w:t>
            </w:r>
          </w:p>
        </w:tc>
        <w:tc>
          <w:tcPr>
            <w:tcW w:w="1670" w:type="dxa"/>
            <w:shd w:val="clear" w:color="auto" w:fill="E6E6E6"/>
            <w:vAlign w:val="center"/>
          </w:tcPr>
          <w:p w14:paraId="5490FA6F" w14:textId="7E337B48" w:rsidR="009B6CAB" w:rsidRPr="000969C2" w:rsidRDefault="009F6D92" w:rsidP="00AA60D1">
            <w:pPr>
              <w:pStyle w:val="Tabuka-hodnoty"/>
              <w:jc w:val="right"/>
              <w:rPr>
                <w:highlight w:val="lightGray"/>
              </w:rPr>
            </w:pPr>
            <w:r w:rsidRPr="000969C2">
              <w:rPr>
                <w:color w:val="333333"/>
                <w:highlight w:val="lightGray"/>
                <w:shd w:val="clear" w:color="auto" w:fill="FFFFFF"/>
              </w:rPr>
              <w:t>84 910,50 €</w:t>
            </w:r>
          </w:p>
        </w:tc>
      </w:tr>
      <w:tr w:rsidR="009B6CAB" w:rsidRPr="002E12FA" w14:paraId="15C70D96" w14:textId="77777777" w:rsidTr="00AA60D1">
        <w:trPr>
          <w:trHeight w:val="255"/>
          <w:jc w:val="center"/>
        </w:trPr>
        <w:tc>
          <w:tcPr>
            <w:tcW w:w="2392" w:type="dxa"/>
            <w:tcBorders>
              <w:bottom w:val="single" w:sz="4" w:space="0" w:color="auto"/>
            </w:tcBorders>
            <w:shd w:val="clear" w:color="auto" w:fill="E6E6E6"/>
          </w:tcPr>
          <w:p w14:paraId="065D95A0" w14:textId="71ECC9E7" w:rsidR="009B6CAB" w:rsidRPr="000969C2" w:rsidRDefault="009B6CAB" w:rsidP="00AA60D1">
            <w:pPr>
              <w:pStyle w:val="Tabuka-hodnoty"/>
              <w:jc w:val="left"/>
            </w:pPr>
            <w:r w:rsidRPr="000969C2">
              <w:t>BSK</w:t>
            </w:r>
            <w:r w:rsidR="00C32727" w:rsidRPr="000969C2">
              <w:t xml:space="preserve"> (42,6 %)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F41DC3D" w14:textId="6BD5FC3E" w:rsidR="009B6CAB" w:rsidRPr="000969C2" w:rsidRDefault="009F5E23" w:rsidP="00AA60D1">
            <w:pPr>
              <w:pStyle w:val="Tabuka-hodnoty"/>
              <w:jc w:val="right"/>
              <w:rPr>
                <w:highlight w:val="lightGray"/>
              </w:rPr>
            </w:pPr>
            <w:r w:rsidRPr="000969C2">
              <w:rPr>
                <w:color w:val="333333"/>
                <w:highlight w:val="lightGray"/>
                <w:shd w:val="clear" w:color="auto" w:fill="FFFFFF"/>
              </w:rPr>
              <w:t>60 129,98 €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CAAE415" w14:textId="59DABC82" w:rsidR="009B6CAB" w:rsidRPr="000969C2" w:rsidRDefault="00C32727" w:rsidP="00AA60D1">
            <w:pPr>
              <w:pStyle w:val="Tabuka-hodnoty"/>
              <w:jc w:val="right"/>
              <w:rPr>
                <w:highlight w:val="lightGray"/>
              </w:rPr>
            </w:pPr>
            <w:r w:rsidRPr="000969C2">
              <w:rPr>
                <w:highlight w:val="lightGray"/>
              </w:rPr>
              <w:t>104 905,38 €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2FCBDE4" w14:textId="34EF4AA4" w:rsidR="009B6CAB" w:rsidRPr="000969C2" w:rsidRDefault="009F6D92" w:rsidP="00AA60D1">
            <w:pPr>
              <w:pStyle w:val="Tabuka-hodnoty"/>
              <w:jc w:val="right"/>
              <w:rPr>
                <w:highlight w:val="lightGray"/>
              </w:rPr>
            </w:pPr>
            <w:r w:rsidRPr="000969C2">
              <w:rPr>
                <w:color w:val="333333"/>
                <w:highlight w:val="lightGray"/>
                <w:shd w:val="clear" w:color="auto" w:fill="FFFFFF"/>
              </w:rPr>
              <w:t>105 315,36 €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50D9983" w14:textId="65AB14F3" w:rsidR="009B6CAB" w:rsidRPr="000969C2" w:rsidRDefault="009F6D92" w:rsidP="00AA60D1">
            <w:pPr>
              <w:pStyle w:val="Tabuka-hodnoty"/>
              <w:jc w:val="right"/>
              <w:rPr>
                <w:highlight w:val="lightGray"/>
              </w:rPr>
            </w:pPr>
            <w:r w:rsidRPr="000969C2">
              <w:rPr>
                <w:color w:val="333333"/>
                <w:highlight w:val="lightGray"/>
                <w:shd w:val="clear" w:color="auto" w:fill="FFFFFF"/>
              </w:rPr>
              <w:t>150 090,76 €</w:t>
            </w:r>
          </w:p>
        </w:tc>
      </w:tr>
    </w:tbl>
    <w:p w14:paraId="3DEF8A77" w14:textId="7273A920" w:rsidR="00F90189" w:rsidRPr="008D4087" w:rsidRDefault="00EA7A3B" w:rsidP="00F90189">
      <w:pPr>
        <w:spacing w:after="0"/>
        <w:rPr>
          <w:sz w:val="18"/>
          <w:szCs w:val="18"/>
        </w:rPr>
      </w:pPr>
      <w:r w:rsidRPr="008D4087">
        <w:rPr>
          <w:sz w:val="18"/>
          <w:szCs w:val="18"/>
          <w:vertAlign w:val="superscript"/>
        </w:rPr>
        <w:t>*)</w:t>
      </w:r>
      <w:r w:rsidRPr="008D4087">
        <w:rPr>
          <w:sz w:val="18"/>
          <w:szCs w:val="18"/>
        </w:rPr>
        <w:t xml:space="preserve"> Náklady pred zohľadnením indexácie (základ k 1.1.2022), ktorá sa začne uplatňovať od 2. štvrťroka 2022</w:t>
      </w:r>
    </w:p>
    <w:p w14:paraId="5A2C1DCB" w14:textId="57DFB51C" w:rsidR="00F90189" w:rsidRPr="008D4087" w:rsidRDefault="00F90189" w:rsidP="00A25E56">
      <w:pPr>
        <w:rPr>
          <w:sz w:val="18"/>
          <w:szCs w:val="18"/>
        </w:rPr>
      </w:pPr>
      <w:r w:rsidRPr="008D4087">
        <w:rPr>
          <w:sz w:val="18"/>
          <w:szCs w:val="18"/>
        </w:rPr>
        <w:t>Pozn.: Indexácia totožná</w:t>
      </w:r>
      <w:r w:rsidR="008D4087" w:rsidRPr="008D4087">
        <w:rPr>
          <w:sz w:val="18"/>
          <w:szCs w:val="18"/>
        </w:rPr>
        <w:t xml:space="preserve"> ako v zmysle zmluvy</w:t>
      </w:r>
      <w:r w:rsidRPr="008D4087">
        <w:rPr>
          <w:sz w:val="18"/>
          <w:szCs w:val="18"/>
        </w:rPr>
        <w:t xml:space="preserve"> BSK s dopravcom </w:t>
      </w:r>
      <w:proofErr w:type="spellStart"/>
      <w:r w:rsidRPr="008D4087">
        <w:rPr>
          <w:sz w:val="18"/>
          <w:szCs w:val="18"/>
        </w:rPr>
        <w:t>Arriva</w:t>
      </w:r>
      <w:proofErr w:type="spellEnd"/>
      <w:r w:rsidRPr="008D4087">
        <w:rPr>
          <w:sz w:val="18"/>
          <w:szCs w:val="18"/>
        </w:rPr>
        <w:t xml:space="preserve"> Mobility Solutions, s.r.o.</w:t>
      </w:r>
    </w:p>
    <w:p w14:paraId="214306B0" w14:textId="7411E45B" w:rsidR="00EA7A3B" w:rsidRPr="008D4087" w:rsidRDefault="00EA7A3B" w:rsidP="00DA222A">
      <w:pPr>
        <w:jc w:val="both"/>
      </w:pPr>
      <w:r w:rsidRPr="008D4087">
        <w:t xml:space="preserve">Prevádzka </w:t>
      </w:r>
      <w:r w:rsidR="009F6D92" w:rsidRPr="008D4087">
        <w:t>link</w:t>
      </w:r>
      <w:r w:rsidR="000969C2" w:rsidRPr="008D4087">
        <w:t>y</w:t>
      </w:r>
      <w:r w:rsidR="009F6D92" w:rsidRPr="008D4087">
        <w:t xml:space="preserve"> </w:t>
      </w:r>
      <w:r w:rsidRPr="008D4087">
        <w:t xml:space="preserve">začína </w:t>
      </w:r>
      <w:r w:rsidR="009F6D92" w:rsidRPr="008D4087">
        <w:t xml:space="preserve">dňa </w:t>
      </w:r>
      <w:r w:rsidRPr="008D4087">
        <w:t>5.9.2022 redukovaným CP</w:t>
      </w:r>
      <w:r w:rsidR="009F5E23" w:rsidRPr="008D4087">
        <w:t>, ktorý obsahuje 16 párov spojov v pracovný deň, 15 párov spojov v sobotu a 10 párov spojov v nedeľu a vo sviatok.</w:t>
      </w:r>
      <w:r w:rsidR="00DD7A2C" w:rsidRPr="008D4087">
        <w:t xml:space="preserve"> Očakávame lepší vývoj tržieb (výnosy) ako je opatrný predpoklad v Zmluve.</w:t>
      </w:r>
    </w:p>
    <w:p w14:paraId="38357782" w14:textId="77777777" w:rsidR="00A25E56" w:rsidRDefault="00A25E56" w:rsidP="00AD2937">
      <w:pPr>
        <w:rPr>
          <w:rFonts w:ascii="Arial" w:hAnsi="Arial" w:cs="Arial"/>
        </w:rPr>
      </w:pPr>
    </w:p>
    <w:p w14:paraId="75E3A3C8" w14:textId="77777777" w:rsidR="006A0865" w:rsidRPr="00AD2937" w:rsidRDefault="006A0865" w:rsidP="00AD2937">
      <w:pPr>
        <w:rPr>
          <w:rFonts w:ascii="Arial" w:hAnsi="Arial" w:cs="Arial"/>
        </w:rPr>
      </w:pPr>
    </w:p>
    <w:sectPr w:rsidR="006A0865" w:rsidRPr="00AD2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5A786" w14:textId="77777777" w:rsidR="00267F0E" w:rsidRDefault="00267F0E" w:rsidP="00A25E56">
      <w:pPr>
        <w:spacing w:after="0" w:line="240" w:lineRule="auto"/>
      </w:pPr>
      <w:r>
        <w:separator/>
      </w:r>
    </w:p>
  </w:endnote>
  <w:endnote w:type="continuationSeparator" w:id="0">
    <w:p w14:paraId="653A16FC" w14:textId="77777777" w:rsidR="00267F0E" w:rsidRDefault="00267F0E" w:rsidP="00A25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69258" w14:textId="77777777" w:rsidR="00267F0E" w:rsidRDefault="00267F0E" w:rsidP="00A25E56">
      <w:pPr>
        <w:spacing w:after="0" w:line="240" w:lineRule="auto"/>
      </w:pPr>
      <w:r>
        <w:separator/>
      </w:r>
    </w:p>
  </w:footnote>
  <w:footnote w:type="continuationSeparator" w:id="0">
    <w:p w14:paraId="414284BE" w14:textId="77777777" w:rsidR="00267F0E" w:rsidRDefault="00267F0E" w:rsidP="00A25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B7A6A"/>
    <w:multiLevelType w:val="hybridMultilevel"/>
    <w:tmpl w:val="E9E21FA2"/>
    <w:lvl w:ilvl="0" w:tplc="F8687900">
      <w:start w:val="1"/>
      <w:numFmt w:val="decimal"/>
      <w:pStyle w:val="Tabuka-sloanzov"/>
      <w:lvlText w:val="Tabuľka č. %1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914316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37"/>
    <w:rsid w:val="000969C2"/>
    <w:rsid w:val="001963C1"/>
    <w:rsid w:val="001C2FAA"/>
    <w:rsid w:val="00267F0E"/>
    <w:rsid w:val="002F5EAC"/>
    <w:rsid w:val="004D30D2"/>
    <w:rsid w:val="004E223A"/>
    <w:rsid w:val="005C78B2"/>
    <w:rsid w:val="006A0265"/>
    <w:rsid w:val="006A0865"/>
    <w:rsid w:val="006C581E"/>
    <w:rsid w:val="00790AEC"/>
    <w:rsid w:val="0085573C"/>
    <w:rsid w:val="008D4087"/>
    <w:rsid w:val="008D4A80"/>
    <w:rsid w:val="009B6CAB"/>
    <w:rsid w:val="009C46A9"/>
    <w:rsid w:val="009F5E23"/>
    <w:rsid w:val="009F6D92"/>
    <w:rsid w:val="00A25E56"/>
    <w:rsid w:val="00A43DFA"/>
    <w:rsid w:val="00AA1A27"/>
    <w:rsid w:val="00AD2937"/>
    <w:rsid w:val="00AF0D8E"/>
    <w:rsid w:val="00B655C5"/>
    <w:rsid w:val="00C32727"/>
    <w:rsid w:val="00D24DA3"/>
    <w:rsid w:val="00D71E3B"/>
    <w:rsid w:val="00DA222A"/>
    <w:rsid w:val="00DB17FE"/>
    <w:rsid w:val="00DD7A2C"/>
    <w:rsid w:val="00E04CC1"/>
    <w:rsid w:val="00E50FCD"/>
    <w:rsid w:val="00E7193A"/>
    <w:rsid w:val="00E7410E"/>
    <w:rsid w:val="00EA18AC"/>
    <w:rsid w:val="00EA7A3B"/>
    <w:rsid w:val="00F81BF2"/>
    <w:rsid w:val="00F9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A3D17"/>
  <w15:chartTrackingRefBased/>
  <w15:docId w15:val="{BADBEA1B-0A27-4A0D-9A87-D4F54F1A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A25E56"/>
    <w:pPr>
      <w:spacing w:after="0" w:line="240" w:lineRule="auto"/>
      <w:jc w:val="both"/>
    </w:pPr>
    <w:rPr>
      <w:rFonts w:ascii="Myriad Pro" w:eastAsia="Calibri" w:hAnsi="Myriad Pro" w:cs="Arial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25E56"/>
    <w:rPr>
      <w:rFonts w:ascii="Myriad Pro" w:eastAsia="Calibri" w:hAnsi="Myriad Pro" w:cs="Arial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25E56"/>
    <w:rPr>
      <w:vertAlign w:val="superscript"/>
    </w:rPr>
  </w:style>
  <w:style w:type="paragraph" w:customStyle="1" w:styleId="Tabuka-hodnoty">
    <w:name w:val="Tabuľka - hodnoty"/>
    <w:basedOn w:val="Normlny"/>
    <w:rsid w:val="00A25E56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1"/>
      <w:sz w:val="24"/>
      <w:szCs w:val="24"/>
      <w:lang w:eastAsia="sk-SK"/>
    </w:rPr>
  </w:style>
  <w:style w:type="paragraph" w:customStyle="1" w:styleId="Tabuka-sloanzov">
    <w:name w:val="Tabuľka - číslo a názov"/>
    <w:basedOn w:val="Normlny"/>
    <w:qFormat/>
    <w:rsid w:val="00A25E56"/>
    <w:pPr>
      <w:numPr>
        <w:numId w:val="1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  <w:lang w:eastAsia="sk-SK"/>
    </w:rPr>
  </w:style>
  <w:style w:type="paragraph" w:customStyle="1" w:styleId="Tabuka-hlavika">
    <w:name w:val="Tabuľka - hlavička"/>
    <w:basedOn w:val="Tabuka-hodnoty"/>
    <w:qFormat/>
    <w:rsid w:val="00A25E5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4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5FEC9D18D8D249A7928735BB81A790" ma:contentTypeVersion="13" ma:contentTypeDescription="Umožňuje vytvoriť nový dokument." ma:contentTypeScope="" ma:versionID="e9f3d9f7ba437261b34cbf0c037d30a9">
  <xsd:schema xmlns:xsd="http://www.w3.org/2001/XMLSchema" xmlns:xs="http://www.w3.org/2001/XMLSchema" xmlns:p="http://schemas.microsoft.com/office/2006/metadata/properties" xmlns:ns2="0014d50b-6f30-4926-8a1c-6def29c85054" xmlns:ns3="d2b3a78c-f50d-4d33-bb34-bf1e0d9854f1" targetNamespace="http://schemas.microsoft.com/office/2006/metadata/properties" ma:root="true" ma:fieldsID="210e0b8788c64c00e6c5b91246bafbcd" ns2:_="" ns3:_="">
    <xsd:import namespace="0014d50b-6f30-4926-8a1c-6def29c85054"/>
    <xsd:import namespace="d2b3a78c-f50d-4d33-bb34-bf1e0d9854f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d50b-6f30-4926-8a1c-6def29c850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3a78c-f50d-4d33-bb34-bf1e0d985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4A6A68-7DDD-40ED-9287-19EA800E70C1}"/>
</file>

<file path=customXml/itemProps2.xml><?xml version="1.0" encoding="utf-8"?>
<ds:datastoreItem xmlns:ds="http://schemas.openxmlformats.org/officeDocument/2006/customXml" ds:itemID="{9C5F66D5-6F6D-413A-9927-D75D416864D6}"/>
</file>

<file path=customXml/itemProps3.xml><?xml version="1.0" encoding="utf-8"?>
<ds:datastoreItem xmlns:ds="http://schemas.openxmlformats.org/officeDocument/2006/customXml" ds:itemID="{45EC515D-8DA3-44E1-8780-41E3600004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Matúš Bukovčák</dc:creator>
  <cp:keywords/>
  <dc:description/>
  <cp:lastModifiedBy>Matúš Bukovčák</cp:lastModifiedBy>
  <cp:revision>5</cp:revision>
  <dcterms:created xsi:type="dcterms:W3CDTF">2022-08-25T10:35:00Z</dcterms:created>
  <dcterms:modified xsi:type="dcterms:W3CDTF">2022-08-26T07:01:00Z</dcterms:modified>
</cp:coreProperties>
</file>