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1863682"/>
    <w:bookmarkEnd w:id="0"/>
    <w:p w14:paraId="526C0846" w14:textId="7E1AEED1" w:rsidR="00C8280C" w:rsidRDefault="0073582D" w:rsidP="00C8280C">
      <w:pPr>
        <w:jc w:val="center"/>
        <w:rPr>
          <w:rFonts w:cstheme="minorHAnsi"/>
          <w:b/>
          <w:sz w:val="32"/>
          <w:szCs w:val="32"/>
        </w:rPr>
      </w:pPr>
      <w:r>
        <w:rPr>
          <w:noProof/>
        </w:rPr>
        <mc:AlternateContent>
          <mc:Choice Requires="wps">
            <w:drawing>
              <wp:anchor distT="0" distB="0" distL="114300" distR="114300" simplePos="0" relativeHeight="251658241" behindDoc="0" locked="0" layoutInCell="1" allowOverlap="1" wp14:anchorId="3F3A295D" wp14:editId="0D666E74">
                <wp:simplePos x="0" y="0"/>
                <wp:positionH relativeFrom="margin">
                  <wp:align>right</wp:align>
                </wp:positionH>
                <wp:positionV relativeFrom="paragraph">
                  <wp:posOffset>-380365</wp:posOffset>
                </wp:positionV>
                <wp:extent cx="6753225" cy="571500"/>
                <wp:effectExtent l="0" t="0" r="9525" b="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3225"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D699E0" id="Obdĺžnik 3" o:spid="_x0000_s1026" style="position:absolute;margin-left:480.55pt;margin-top:-29.95pt;width:531.75pt;height:4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" fillcolor="white [3212]" stroked="f" strokeweight="1pt">
                <w10:wrap anchorx="margin"/>
              </v:rect>
            </w:pict>
          </mc:Fallback>
        </mc:AlternateContent>
      </w:r>
    </w:p>
    <w:p w14:paraId="3F340D2D" w14:textId="3C6EB4CD" w:rsidR="004C628F" w:rsidRDefault="004C628F" w:rsidP="00C8280C">
      <w:pPr>
        <w:jc w:val="center"/>
        <w:rPr>
          <w:rFonts w:cstheme="minorHAnsi"/>
          <w:b/>
          <w:sz w:val="32"/>
          <w:szCs w:val="32"/>
        </w:rPr>
      </w:pPr>
    </w:p>
    <w:p w14:paraId="193C7B7E" w14:textId="405A552F" w:rsidR="004C628F" w:rsidRDefault="004C628F" w:rsidP="00C8280C">
      <w:pPr>
        <w:jc w:val="center"/>
        <w:rPr>
          <w:rFonts w:cstheme="minorHAnsi"/>
          <w:b/>
          <w:sz w:val="32"/>
          <w:szCs w:val="32"/>
        </w:rPr>
      </w:pPr>
    </w:p>
    <w:p w14:paraId="6482BFB1" w14:textId="77777777" w:rsidR="004C628F" w:rsidRDefault="004C628F" w:rsidP="00C8280C">
      <w:pPr>
        <w:jc w:val="center"/>
        <w:rPr>
          <w:rFonts w:cstheme="minorHAnsi"/>
          <w:b/>
          <w:sz w:val="32"/>
          <w:szCs w:val="32"/>
        </w:rPr>
      </w:pPr>
    </w:p>
    <w:p w14:paraId="47615EAD" w14:textId="77777777" w:rsidR="004C628F" w:rsidRPr="009B3F37" w:rsidRDefault="004C628F" w:rsidP="00C8280C">
      <w:pPr>
        <w:jc w:val="center"/>
        <w:rPr>
          <w:rFonts w:cstheme="minorHAnsi"/>
          <w:b/>
          <w:sz w:val="32"/>
          <w:szCs w:val="32"/>
        </w:rPr>
      </w:pPr>
    </w:p>
    <w:p w14:paraId="15864F88" w14:textId="77777777" w:rsidR="00C8280C" w:rsidRPr="009B3F37" w:rsidRDefault="00C8280C" w:rsidP="00C8280C">
      <w:pPr>
        <w:jc w:val="center"/>
        <w:rPr>
          <w:rFonts w:cstheme="minorHAnsi"/>
          <w:b/>
          <w:sz w:val="32"/>
          <w:szCs w:val="32"/>
        </w:rPr>
      </w:pPr>
      <w:r>
        <w:rPr>
          <w:rFonts w:ascii="Arial" w:hAnsi="Arial" w:cs="Arial"/>
          <w:noProof/>
          <w:sz w:val="24"/>
          <w:szCs w:val="24"/>
          <w:lang w:eastAsia="sk-SK"/>
        </w:rPr>
        <w:drawing>
          <wp:inline distT="0" distB="0" distL="0" distR="0" wp14:anchorId="6E2D0ADE" wp14:editId="5106D7CA">
            <wp:extent cx="1872343" cy="2024154"/>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8597" cy="2030915"/>
                    </a:xfrm>
                    <a:prstGeom prst="rect">
                      <a:avLst/>
                    </a:prstGeom>
                    <a:noFill/>
                    <a:ln>
                      <a:noFill/>
                    </a:ln>
                  </pic:spPr>
                </pic:pic>
              </a:graphicData>
            </a:graphic>
          </wp:inline>
        </w:drawing>
      </w:r>
    </w:p>
    <w:p w14:paraId="5CA5CFAC" w14:textId="77777777" w:rsidR="00C8280C" w:rsidRPr="009B3F37" w:rsidRDefault="00C8280C" w:rsidP="00C8280C">
      <w:pPr>
        <w:jc w:val="center"/>
        <w:rPr>
          <w:rFonts w:cstheme="minorHAnsi"/>
          <w:b/>
          <w:sz w:val="32"/>
          <w:szCs w:val="32"/>
        </w:rPr>
      </w:pPr>
    </w:p>
    <w:p w14:paraId="601CED52" w14:textId="77777777" w:rsidR="00C8280C" w:rsidRPr="009B3F37" w:rsidRDefault="00C8280C" w:rsidP="00C8280C">
      <w:pPr>
        <w:jc w:val="center"/>
        <w:rPr>
          <w:rFonts w:cstheme="minorHAnsi"/>
          <w:b/>
          <w:sz w:val="32"/>
          <w:szCs w:val="32"/>
        </w:rPr>
      </w:pPr>
    </w:p>
    <w:p w14:paraId="50C95BF3" w14:textId="77777777" w:rsidR="00C8280C" w:rsidRPr="00AC0EFE" w:rsidRDefault="00C8280C" w:rsidP="00C8280C">
      <w:pPr>
        <w:spacing w:line="240" w:lineRule="auto"/>
        <w:jc w:val="center"/>
        <w:rPr>
          <w:rFonts w:cstheme="minorHAnsi"/>
          <w:b/>
          <w:color w:val="2F5496" w:themeColor="accent1" w:themeShade="BF"/>
          <w:sz w:val="36"/>
          <w:szCs w:val="36"/>
        </w:rPr>
      </w:pPr>
      <w:r w:rsidRPr="00AC0EFE">
        <w:rPr>
          <w:rFonts w:cstheme="minorHAnsi"/>
          <w:b/>
          <w:color w:val="2F5496" w:themeColor="accent1" w:themeShade="BF"/>
          <w:sz w:val="36"/>
          <w:szCs w:val="36"/>
        </w:rPr>
        <w:t xml:space="preserve">Návrh rozpočtu </w:t>
      </w:r>
    </w:p>
    <w:p w14:paraId="57D9481A" w14:textId="5733E398" w:rsidR="00C8280C" w:rsidRPr="00AC0EFE" w:rsidRDefault="00C8280C" w:rsidP="00C8280C">
      <w:pPr>
        <w:spacing w:line="240" w:lineRule="auto"/>
        <w:jc w:val="center"/>
        <w:rPr>
          <w:rFonts w:cstheme="minorHAnsi"/>
          <w:b/>
          <w:color w:val="2F5496" w:themeColor="accent1" w:themeShade="BF"/>
          <w:sz w:val="36"/>
          <w:szCs w:val="36"/>
        </w:rPr>
      </w:pPr>
      <w:r w:rsidRPr="00AC0EFE">
        <w:rPr>
          <w:rFonts w:cstheme="minorHAnsi"/>
          <w:b/>
          <w:color w:val="2F5496" w:themeColor="accent1" w:themeShade="BF"/>
          <w:sz w:val="36"/>
          <w:szCs w:val="36"/>
        </w:rPr>
        <w:t>Bratislavského samosprávneho kraja  na roky 202</w:t>
      </w:r>
      <w:r w:rsidR="006270CE">
        <w:rPr>
          <w:rFonts w:cstheme="minorHAnsi"/>
          <w:b/>
          <w:color w:val="2F5496" w:themeColor="accent1" w:themeShade="BF"/>
          <w:sz w:val="36"/>
          <w:szCs w:val="36"/>
        </w:rPr>
        <w:t>5</w:t>
      </w:r>
      <w:r w:rsidRPr="00AC0EFE">
        <w:rPr>
          <w:rFonts w:cstheme="minorHAnsi"/>
          <w:b/>
          <w:color w:val="2F5496" w:themeColor="accent1" w:themeShade="BF"/>
          <w:sz w:val="36"/>
          <w:szCs w:val="36"/>
        </w:rPr>
        <w:t xml:space="preserve"> – 202</w:t>
      </w:r>
      <w:r w:rsidR="006270CE">
        <w:rPr>
          <w:rFonts w:cstheme="minorHAnsi"/>
          <w:b/>
          <w:color w:val="2F5496" w:themeColor="accent1" w:themeShade="BF"/>
          <w:sz w:val="36"/>
          <w:szCs w:val="36"/>
        </w:rPr>
        <w:t>7</w:t>
      </w:r>
    </w:p>
    <w:p w14:paraId="45AFEA95" w14:textId="77777777" w:rsidR="00C8280C" w:rsidRDefault="00C8280C" w:rsidP="00C8280C">
      <w:pPr>
        <w:rPr>
          <w:rFonts w:cstheme="minorHAnsi"/>
          <w:b/>
          <w:color w:val="323E4F" w:themeColor="text2" w:themeShade="BF"/>
          <w:sz w:val="36"/>
          <w:szCs w:val="36"/>
        </w:rPr>
      </w:pPr>
      <w:r>
        <w:rPr>
          <w:noProof/>
        </w:rPr>
        <mc:AlternateContent>
          <mc:Choice Requires="wps">
            <w:drawing>
              <wp:anchor distT="0" distB="0" distL="114300" distR="114300" simplePos="0" relativeHeight="251658240" behindDoc="0" locked="0" layoutInCell="1" allowOverlap="1" wp14:anchorId="0E914504" wp14:editId="2DB0349B">
                <wp:simplePos x="0" y="0"/>
                <wp:positionH relativeFrom="margin">
                  <wp:posOffset>2781300</wp:posOffset>
                </wp:positionH>
                <wp:positionV relativeFrom="paragraph">
                  <wp:posOffset>3668395</wp:posOffset>
                </wp:positionV>
                <wp:extent cx="1638300" cy="571500"/>
                <wp:effectExtent l="0" t="0" r="0" b="0"/>
                <wp:wrapNone/>
                <wp:docPr id="25" name="Obdĺžni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22A649" id="Obdĺžnik 25" o:spid="_x0000_s1026" style="position:absolute;margin-left:219pt;margin-top:288.85pt;width:12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" fillcolor="white [3212]" stroked="f" strokeweight="1pt">
                <w10:wrap anchorx="margin"/>
              </v:rect>
            </w:pict>
          </mc:Fallback>
        </mc:AlternateContent>
      </w:r>
      <w:r>
        <w:rPr>
          <w:rFonts w:cstheme="minorHAnsi"/>
          <w:b/>
          <w:color w:val="323E4F" w:themeColor="text2" w:themeShade="BF"/>
          <w:sz w:val="36"/>
          <w:szCs w:val="36"/>
        </w:rPr>
        <w:br w:type="page"/>
      </w:r>
    </w:p>
    <w:p w14:paraId="08C72781" w14:textId="77777777" w:rsidR="00C8280C" w:rsidRPr="007631B3" w:rsidRDefault="00C8280C" w:rsidP="00C8280C">
      <w:pPr>
        <w:spacing w:line="240" w:lineRule="auto"/>
        <w:jc w:val="center"/>
        <w:rPr>
          <w:rFonts w:cstheme="minorHAnsi"/>
          <w:b/>
          <w:color w:val="323E4F" w:themeColor="text2" w:themeShade="BF"/>
          <w:sz w:val="36"/>
          <w:szCs w:val="36"/>
        </w:rPr>
      </w:pPr>
    </w:p>
    <w:p w14:paraId="5B433D61" w14:textId="77777777" w:rsidR="00C8280C" w:rsidRPr="00A639CC" w:rsidRDefault="00C8280C" w:rsidP="00C8280C">
      <w:pPr>
        <w:spacing w:after="120"/>
        <w:rPr>
          <w:rFonts w:cstheme="minorHAnsi"/>
          <w:b/>
        </w:rPr>
      </w:pPr>
      <w:r w:rsidRPr="00A639CC">
        <w:rPr>
          <w:rFonts w:cstheme="minorHAnsi"/>
          <w:b/>
        </w:rPr>
        <w:t>OBSAH</w:t>
      </w:r>
    </w:p>
    <w:p w14:paraId="3D9690F3" w14:textId="77777777" w:rsidR="00C8280C" w:rsidRDefault="00C8280C" w:rsidP="00C8280C">
      <w:pPr>
        <w:tabs>
          <w:tab w:val="left" w:pos="360"/>
          <w:tab w:val="right" w:leader="dot" w:pos="8820"/>
        </w:tabs>
        <w:spacing w:after="120"/>
        <w:ind w:right="72" w:firstLine="708"/>
        <w:jc w:val="both"/>
        <w:rPr>
          <w:rFonts w:cstheme="minorHAnsi"/>
        </w:rPr>
      </w:pPr>
    </w:p>
    <w:p w14:paraId="54438488" w14:textId="035188B8" w:rsidR="00C8280C" w:rsidRPr="009D099B" w:rsidRDefault="00C8280C" w:rsidP="00C8280C">
      <w:pPr>
        <w:tabs>
          <w:tab w:val="left" w:pos="360"/>
          <w:tab w:val="right" w:leader="dot" w:pos="9781"/>
        </w:tabs>
        <w:spacing w:after="120"/>
        <w:ind w:right="72"/>
        <w:jc w:val="both"/>
        <w:rPr>
          <w:rFonts w:cstheme="minorHAnsi"/>
        </w:rPr>
      </w:pPr>
      <w:r w:rsidRPr="009D099B">
        <w:rPr>
          <w:rFonts w:cstheme="minorHAnsi"/>
        </w:rPr>
        <w:t>Úvod</w:t>
      </w:r>
      <w:r>
        <w:rPr>
          <w:rFonts w:cstheme="minorHAnsi"/>
        </w:rPr>
        <w:t xml:space="preserve"> k</w:t>
      </w:r>
      <w:r w:rsidR="00424F2F">
        <w:rPr>
          <w:rFonts w:cstheme="minorHAnsi"/>
        </w:rPr>
        <w:t> </w:t>
      </w:r>
      <w:r>
        <w:rPr>
          <w:rFonts w:cstheme="minorHAnsi"/>
        </w:rPr>
        <w:t>rozpočtu Bratislavského samosprávneho kraja na roky 202</w:t>
      </w:r>
      <w:r w:rsidR="006270CE">
        <w:rPr>
          <w:rFonts w:cstheme="minorHAnsi"/>
        </w:rPr>
        <w:t>5</w:t>
      </w:r>
      <w:r>
        <w:rPr>
          <w:rFonts w:cstheme="minorHAnsi"/>
        </w:rPr>
        <w:t xml:space="preserve"> - 202</w:t>
      </w:r>
      <w:r w:rsidR="006270CE">
        <w:rPr>
          <w:rFonts w:cstheme="minorHAnsi"/>
        </w:rPr>
        <w:t>7</w:t>
      </w:r>
      <w:r w:rsidRPr="009D099B">
        <w:rPr>
          <w:rFonts w:cstheme="minorHAnsi"/>
        </w:rPr>
        <w:tab/>
      </w:r>
      <w:r>
        <w:rPr>
          <w:rFonts w:cstheme="minorHAnsi"/>
        </w:rPr>
        <w:t>....................................................3</w:t>
      </w:r>
    </w:p>
    <w:p w14:paraId="3D402F78" w14:textId="77777777" w:rsidR="00C8280C" w:rsidRPr="009D099B" w:rsidRDefault="00C8280C" w:rsidP="00C8280C">
      <w:pPr>
        <w:tabs>
          <w:tab w:val="left" w:pos="360"/>
          <w:tab w:val="right" w:leader="dot" w:pos="9781"/>
        </w:tabs>
        <w:spacing w:after="120"/>
        <w:ind w:right="72"/>
        <w:jc w:val="both"/>
        <w:rPr>
          <w:rFonts w:cstheme="minorHAnsi"/>
        </w:rPr>
      </w:pPr>
    </w:p>
    <w:p w14:paraId="6269F52B" w14:textId="03D644E0" w:rsidR="00C8280C" w:rsidRDefault="00C8280C" w:rsidP="00C8280C">
      <w:pPr>
        <w:tabs>
          <w:tab w:val="left" w:pos="360"/>
          <w:tab w:val="right" w:leader="dot" w:pos="9781"/>
        </w:tabs>
        <w:spacing w:after="120"/>
        <w:ind w:right="72"/>
        <w:jc w:val="both"/>
        <w:rPr>
          <w:rFonts w:cstheme="minorHAnsi"/>
        </w:rPr>
      </w:pPr>
      <w:r w:rsidRPr="009D099B">
        <w:rPr>
          <w:rFonts w:cstheme="minorHAnsi"/>
        </w:rPr>
        <w:t xml:space="preserve">1. </w:t>
      </w:r>
      <w:r w:rsidRPr="009D099B">
        <w:rPr>
          <w:rFonts w:cstheme="minorHAnsi"/>
        </w:rPr>
        <w:tab/>
      </w:r>
      <w:r w:rsidRPr="00A639CC">
        <w:rPr>
          <w:rFonts w:cstheme="minorHAnsi"/>
        </w:rPr>
        <w:t xml:space="preserve">Rozpočet Bratislavského samosprávneho kraja na roky </w:t>
      </w:r>
      <w:r>
        <w:rPr>
          <w:rFonts w:cstheme="minorHAnsi"/>
        </w:rPr>
        <w:t>202</w:t>
      </w:r>
      <w:r w:rsidR="006270CE">
        <w:rPr>
          <w:rFonts w:cstheme="minorHAnsi"/>
        </w:rPr>
        <w:t>5</w:t>
      </w:r>
      <w:r>
        <w:rPr>
          <w:rFonts w:cstheme="minorHAnsi"/>
        </w:rPr>
        <w:t xml:space="preserve"> – 202</w:t>
      </w:r>
      <w:r w:rsidR="006270CE">
        <w:rPr>
          <w:rFonts w:cstheme="minorHAnsi"/>
        </w:rPr>
        <w:t>7</w:t>
      </w:r>
      <w:r w:rsidRPr="009D099B">
        <w:rPr>
          <w:rFonts w:cstheme="minorHAnsi"/>
        </w:rPr>
        <w:tab/>
      </w:r>
      <w:r>
        <w:rPr>
          <w:rFonts w:cstheme="minorHAnsi"/>
        </w:rPr>
        <w:t>1</w:t>
      </w:r>
      <w:r w:rsidR="00E713A3">
        <w:rPr>
          <w:rFonts w:cstheme="minorHAnsi"/>
        </w:rPr>
        <w:t>2</w:t>
      </w:r>
    </w:p>
    <w:p w14:paraId="15EF6603" w14:textId="55E71091" w:rsidR="00C8280C" w:rsidRPr="009D099B" w:rsidRDefault="00C8280C" w:rsidP="00C8280C">
      <w:pPr>
        <w:tabs>
          <w:tab w:val="left" w:pos="360"/>
          <w:tab w:val="right" w:leader="dot" w:pos="9781"/>
        </w:tabs>
        <w:spacing w:after="120"/>
        <w:ind w:right="72"/>
        <w:jc w:val="both"/>
        <w:rPr>
          <w:rFonts w:cstheme="minorHAnsi"/>
        </w:rPr>
      </w:pPr>
      <w:r>
        <w:rPr>
          <w:rFonts w:cstheme="minorHAnsi"/>
        </w:rPr>
        <w:t>2</w:t>
      </w:r>
      <w:r w:rsidRPr="009D099B">
        <w:rPr>
          <w:rFonts w:cstheme="minorHAnsi"/>
        </w:rPr>
        <w:t xml:space="preserve">. </w:t>
      </w:r>
      <w:r w:rsidRPr="009D099B">
        <w:rPr>
          <w:rFonts w:cstheme="minorHAnsi"/>
        </w:rPr>
        <w:tab/>
      </w:r>
      <w:r w:rsidRPr="00A639CC">
        <w:rPr>
          <w:rFonts w:cstheme="minorHAnsi"/>
        </w:rPr>
        <w:t xml:space="preserve">Príjmy </w:t>
      </w:r>
      <w:r>
        <w:rPr>
          <w:rFonts w:cstheme="minorHAnsi"/>
        </w:rPr>
        <w:t xml:space="preserve"> a príjmové finančné operácie </w:t>
      </w:r>
      <w:r w:rsidRPr="00A639CC">
        <w:rPr>
          <w:rFonts w:cstheme="minorHAnsi"/>
        </w:rPr>
        <w:t>rozpočtu Bratislavského samosprávneho kraja</w:t>
      </w:r>
      <w:r w:rsidRPr="009D099B">
        <w:rPr>
          <w:rFonts w:cstheme="minorHAnsi"/>
        </w:rPr>
        <w:tab/>
      </w:r>
      <w:r>
        <w:rPr>
          <w:rFonts w:cstheme="minorHAnsi"/>
        </w:rPr>
        <w:t>1</w:t>
      </w:r>
      <w:r w:rsidR="00E713A3">
        <w:rPr>
          <w:rFonts w:cstheme="minorHAnsi"/>
        </w:rPr>
        <w:t>3</w:t>
      </w:r>
    </w:p>
    <w:p w14:paraId="1C295071" w14:textId="7362E571" w:rsidR="00C8280C" w:rsidRPr="009D099B" w:rsidRDefault="00C8280C" w:rsidP="00C8280C">
      <w:pPr>
        <w:tabs>
          <w:tab w:val="left" w:pos="360"/>
          <w:tab w:val="right" w:leader="dot" w:pos="9781"/>
        </w:tabs>
        <w:spacing w:after="120"/>
        <w:ind w:right="74"/>
        <w:jc w:val="both"/>
        <w:rPr>
          <w:rFonts w:cstheme="minorHAnsi"/>
        </w:rPr>
      </w:pPr>
      <w:r w:rsidRPr="009D099B">
        <w:rPr>
          <w:rFonts w:cstheme="minorHAnsi"/>
        </w:rPr>
        <w:tab/>
      </w:r>
      <w:r>
        <w:rPr>
          <w:rFonts w:cstheme="minorHAnsi"/>
        </w:rPr>
        <w:t>2</w:t>
      </w:r>
      <w:r w:rsidRPr="009D099B">
        <w:rPr>
          <w:rFonts w:cstheme="minorHAnsi"/>
        </w:rPr>
        <w:t>.1. Daňové príjmy</w:t>
      </w:r>
      <w:r w:rsidRPr="009D099B">
        <w:rPr>
          <w:rFonts w:cstheme="minorHAnsi"/>
        </w:rPr>
        <w:tab/>
      </w:r>
      <w:r>
        <w:rPr>
          <w:rFonts w:cstheme="minorHAnsi"/>
        </w:rPr>
        <w:t>1</w:t>
      </w:r>
      <w:r w:rsidR="00E713A3">
        <w:rPr>
          <w:rFonts w:cstheme="minorHAnsi"/>
        </w:rPr>
        <w:t>3</w:t>
      </w:r>
    </w:p>
    <w:p w14:paraId="77FFC03C" w14:textId="5DF0664E" w:rsidR="00C8280C" w:rsidRPr="009D099B" w:rsidRDefault="00C8280C" w:rsidP="00C8280C">
      <w:pPr>
        <w:tabs>
          <w:tab w:val="left" w:pos="360"/>
          <w:tab w:val="right" w:leader="dot" w:pos="9781"/>
        </w:tabs>
        <w:spacing w:after="120"/>
        <w:ind w:right="74"/>
        <w:jc w:val="both"/>
        <w:rPr>
          <w:rFonts w:cstheme="minorHAnsi"/>
        </w:rPr>
      </w:pPr>
      <w:r w:rsidRPr="009D099B">
        <w:rPr>
          <w:rFonts w:cstheme="minorHAnsi"/>
        </w:rPr>
        <w:tab/>
      </w:r>
      <w:r>
        <w:rPr>
          <w:rFonts w:cstheme="minorHAnsi"/>
        </w:rPr>
        <w:t>2.2. Nedaňové príjmy</w:t>
      </w:r>
      <w:r>
        <w:rPr>
          <w:rFonts w:cstheme="minorHAnsi"/>
        </w:rPr>
        <w:tab/>
        <w:t>1</w:t>
      </w:r>
      <w:r w:rsidR="00E713A3">
        <w:rPr>
          <w:rFonts w:cstheme="minorHAnsi"/>
        </w:rPr>
        <w:t>4</w:t>
      </w:r>
    </w:p>
    <w:p w14:paraId="297EBF0D" w14:textId="7244FCF4" w:rsidR="00C8280C" w:rsidRDefault="00C8280C" w:rsidP="00C8280C">
      <w:pPr>
        <w:tabs>
          <w:tab w:val="left" w:pos="360"/>
          <w:tab w:val="right" w:leader="dot" w:pos="9781"/>
        </w:tabs>
        <w:spacing w:after="120"/>
        <w:ind w:right="74"/>
        <w:jc w:val="both"/>
        <w:rPr>
          <w:rFonts w:cstheme="minorHAnsi"/>
        </w:rPr>
      </w:pPr>
      <w:r w:rsidRPr="009D099B">
        <w:rPr>
          <w:rFonts w:cstheme="minorHAnsi"/>
        </w:rPr>
        <w:tab/>
      </w:r>
      <w:r>
        <w:rPr>
          <w:rFonts w:cstheme="minorHAnsi"/>
        </w:rPr>
        <w:t>2</w:t>
      </w:r>
      <w:r w:rsidRPr="009D099B">
        <w:rPr>
          <w:rFonts w:cstheme="minorHAnsi"/>
        </w:rPr>
        <w:t>.3. Granty a transfery</w:t>
      </w:r>
      <w:r w:rsidRPr="009D099B">
        <w:rPr>
          <w:rFonts w:cstheme="minorHAnsi"/>
        </w:rPr>
        <w:tab/>
      </w:r>
      <w:r>
        <w:rPr>
          <w:rFonts w:cstheme="minorHAnsi"/>
        </w:rPr>
        <w:t>1</w:t>
      </w:r>
      <w:r w:rsidR="00E713A3">
        <w:rPr>
          <w:rFonts w:cstheme="minorHAnsi"/>
        </w:rPr>
        <w:t>5</w:t>
      </w:r>
    </w:p>
    <w:p w14:paraId="7E7415EF" w14:textId="7D995DCE" w:rsidR="00C8280C" w:rsidRDefault="00C8280C" w:rsidP="00C8280C">
      <w:pPr>
        <w:tabs>
          <w:tab w:val="left" w:pos="360"/>
          <w:tab w:val="right" w:leader="dot" w:pos="9781"/>
        </w:tabs>
        <w:spacing w:after="120"/>
        <w:ind w:right="74"/>
        <w:jc w:val="both"/>
        <w:rPr>
          <w:rFonts w:cstheme="minorHAnsi"/>
        </w:rPr>
      </w:pPr>
      <w:r>
        <w:rPr>
          <w:rFonts w:cstheme="minorHAnsi"/>
        </w:rPr>
        <w:t xml:space="preserve">       2.4. </w:t>
      </w:r>
      <w:r w:rsidRPr="009D099B">
        <w:rPr>
          <w:rFonts w:cstheme="minorHAnsi"/>
        </w:rPr>
        <w:t>Príjmové finančné operácie</w:t>
      </w:r>
      <w:r w:rsidRPr="009D099B">
        <w:rPr>
          <w:rFonts w:cstheme="minorHAnsi"/>
        </w:rPr>
        <w:tab/>
      </w:r>
      <w:r>
        <w:rPr>
          <w:rFonts w:cstheme="minorHAnsi"/>
        </w:rPr>
        <w:t>1</w:t>
      </w:r>
      <w:r w:rsidR="00342684">
        <w:rPr>
          <w:rFonts w:cstheme="minorHAnsi"/>
        </w:rPr>
        <w:t>8</w:t>
      </w:r>
    </w:p>
    <w:p w14:paraId="467A6537" w14:textId="4B0777E6" w:rsidR="00C8280C" w:rsidRDefault="00C8280C" w:rsidP="00C8280C">
      <w:pPr>
        <w:tabs>
          <w:tab w:val="left" w:pos="360"/>
          <w:tab w:val="right" w:leader="dot" w:pos="9781"/>
        </w:tabs>
        <w:spacing w:after="120"/>
        <w:ind w:right="74"/>
        <w:jc w:val="both"/>
        <w:rPr>
          <w:rFonts w:cstheme="minorHAnsi"/>
        </w:rPr>
      </w:pPr>
      <w:r>
        <w:rPr>
          <w:rFonts w:cstheme="minorHAnsi"/>
        </w:rPr>
        <w:t xml:space="preserve">       2.5. </w:t>
      </w:r>
      <w:r w:rsidRPr="00322DD5">
        <w:rPr>
          <w:rFonts w:cstheme="minorHAnsi"/>
        </w:rPr>
        <w:t>Celkové príjmy rozpočtových organizácii v zriaďovateľskej pôsobnosti BSK na rok 202</w:t>
      </w:r>
      <w:r w:rsidR="006270CE">
        <w:rPr>
          <w:rFonts w:cstheme="minorHAnsi"/>
        </w:rPr>
        <w:t>5</w:t>
      </w:r>
      <w:r w:rsidRPr="009D099B">
        <w:rPr>
          <w:rFonts w:cstheme="minorHAnsi"/>
        </w:rPr>
        <w:tab/>
      </w:r>
      <w:r>
        <w:rPr>
          <w:rFonts w:cstheme="minorHAnsi"/>
        </w:rPr>
        <w:t>1</w:t>
      </w:r>
      <w:r w:rsidR="00E713A3">
        <w:rPr>
          <w:rFonts w:cstheme="minorHAnsi"/>
        </w:rPr>
        <w:t>8</w:t>
      </w:r>
    </w:p>
    <w:p w14:paraId="6089BE54" w14:textId="3CC61C6F" w:rsidR="00C8280C" w:rsidRDefault="00C8280C" w:rsidP="00C8280C">
      <w:pPr>
        <w:tabs>
          <w:tab w:val="left" w:pos="360"/>
          <w:tab w:val="right" w:leader="dot" w:pos="9781"/>
        </w:tabs>
        <w:spacing w:after="120"/>
        <w:ind w:right="72"/>
        <w:jc w:val="both"/>
        <w:rPr>
          <w:rFonts w:cstheme="minorHAnsi"/>
        </w:rPr>
      </w:pPr>
      <w:r>
        <w:rPr>
          <w:rFonts w:cstheme="minorHAnsi"/>
        </w:rPr>
        <w:t>3</w:t>
      </w:r>
      <w:r w:rsidRPr="009D099B">
        <w:rPr>
          <w:rFonts w:cstheme="minorHAnsi"/>
        </w:rPr>
        <w:t xml:space="preserve">. </w:t>
      </w:r>
      <w:r w:rsidRPr="009D099B">
        <w:rPr>
          <w:rFonts w:cstheme="minorHAnsi"/>
        </w:rPr>
        <w:tab/>
      </w:r>
      <w:r>
        <w:rPr>
          <w:rFonts w:cstheme="minorHAnsi"/>
        </w:rPr>
        <w:t xml:space="preserve">Výdavky a výdavkové finančné operácie </w:t>
      </w:r>
      <w:r w:rsidRPr="00A639CC">
        <w:rPr>
          <w:rFonts w:cstheme="minorHAnsi"/>
        </w:rPr>
        <w:t>rozpočtu Bratislavského samosprávneho kraja</w:t>
      </w:r>
      <w:r w:rsidRPr="009D099B">
        <w:rPr>
          <w:rFonts w:cstheme="minorHAnsi"/>
        </w:rPr>
        <w:tab/>
      </w:r>
      <w:r w:rsidR="00E713A3">
        <w:rPr>
          <w:rFonts w:cstheme="minorHAnsi"/>
        </w:rPr>
        <w:t>19</w:t>
      </w:r>
    </w:p>
    <w:p w14:paraId="1F578412" w14:textId="5E89FE02" w:rsidR="00C8280C" w:rsidRDefault="00C8280C" w:rsidP="00C8280C">
      <w:pPr>
        <w:tabs>
          <w:tab w:val="left" w:pos="360"/>
          <w:tab w:val="right" w:leader="dot" w:pos="9781"/>
        </w:tabs>
        <w:spacing w:after="120"/>
        <w:ind w:right="74"/>
        <w:jc w:val="both"/>
        <w:rPr>
          <w:rFonts w:cstheme="minorHAnsi"/>
        </w:rPr>
      </w:pPr>
      <w:r>
        <w:rPr>
          <w:rFonts w:cstheme="minorHAnsi"/>
        </w:rPr>
        <w:t xml:space="preserve">       3.1. Výdavkové</w:t>
      </w:r>
      <w:r w:rsidRPr="009D099B">
        <w:rPr>
          <w:rFonts w:cstheme="minorHAnsi"/>
        </w:rPr>
        <w:t xml:space="preserve"> finančné operácie</w:t>
      </w:r>
      <w:r w:rsidRPr="009D099B">
        <w:rPr>
          <w:rFonts w:cstheme="minorHAnsi"/>
        </w:rPr>
        <w:tab/>
      </w:r>
      <w:r w:rsidR="00E713A3">
        <w:rPr>
          <w:rFonts w:cstheme="minorHAnsi"/>
        </w:rPr>
        <w:t>21</w:t>
      </w:r>
    </w:p>
    <w:p w14:paraId="7B725B0F" w14:textId="4C94F9DE" w:rsidR="00C8280C" w:rsidRDefault="00C8280C" w:rsidP="00C8280C">
      <w:pPr>
        <w:tabs>
          <w:tab w:val="left" w:pos="360"/>
          <w:tab w:val="right" w:leader="dot" w:pos="9781"/>
        </w:tabs>
        <w:spacing w:after="120"/>
        <w:ind w:right="72"/>
        <w:jc w:val="both"/>
        <w:rPr>
          <w:rFonts w:cstheme="minorHAnsi"/>
        </w:rPr>
      </w:pPr>
      <w:r>
        <w:rPr>
          <w:rFonts w:cstheme="minorHAnsi"/>
        </w:rPr>
        <w:t>4</w:t>
      </w:r>
      <w:r w:rsidRPr="009D099B">
        <w:rPr>
          <w:rFonts w:cstheme="minorHAnsi"/>
        </w:rPr>
        <w:t xml:space="preserve">. </w:t>
      </w:r>
      <w:r w:rsidRPr="009D099B">
        <w:rPr>
          <w:rFonts w:cstheme="minorHAnsi"/>
        </w:rPr>
        <w:tab/>
        <w:t>Programový rozpočet Bratislavského samosprávneho kraja na roky 20</w:t>
      </w:r>
      <w:r>
        <w:rPr>
          <w:rFonts w:cstheme="minorHAnsi"/>
        </w:rPr>
        <w:t>2</w:t>
      </w:r>
      <w:r w:rsidR="006270CE">
        <w:rPr>
          <w:rFonts w:cstheme="minorHAnsi"/>
        </w:rPr>
        <w:t>5</w:t>
      </w:r>
      <w:r w:rsidRPr="009D099B">
        <w:rPr>
          <w:rFonts w:cstheme="minorHAnsi"/>
        </w:rPr>
        <w:t xml:space="preserve"> </w:t>
      </w:r>
      <w:r>
        <w:rPr>
          <w:rFonts w:cstheme="minorHAnsi"/>
        </w:rPr>
        <w:t>-</w:t>
      </w:r>
      <w:r w:rsidRPr="009D099B">
        <w:rPr>
          <w:rFonts w:cstheme="minorHAnsi"/>
        </w:rPr>
        <w:t xml:space="preserve"> 20</w:t>
      </w:r>
      <w:r>
        <w:rPr>
          <w:rFonts w:cstheme="minorHAnsi"/>
        </w:rPr>
        <w:t>2</w:t>
      </w:r>
      <w:r w:rsidR="006270CE">
        <w:rPr>
          <w:rFonts w:cstheme="minorHAnsi"/>
        </w:rPr>
        <w:t>7</w:t>
      </w:r>
      <w:r w:rsidRPr="009D099B">
        <w:rPr>
          <w:rFonts w:cstheme="minorHAnsi"/>
        </w:rPr>
        <w:tab/>
      </w:r>
      <w:r w:rsidR="00E713A3">
        <w:rPr>
          <w:rFonts w:cstheme="minorHAnsi"/>
        </w:rPr>
        <w:t>23</w:t>
      </w:r>
    </w:p>
    <w:p w14:paraId="6D1C5B50" w14:textId="4EFDFB9D" w:rsidR="00C8280C" w:rsidRPr="009D099B" w:rsidRDefault="00C8280C" w:rsidP="00C8280C">
      <w:pPr>
        <w:tabs>
          <w:tab w:val="left" w:pos="360"/>
          <w:tab w:val="right" w:leader="dot" w:pos="9781"/>
        </w:tabs>
        <w:spacing w:after="120"/>
        <w:ind w:right="72"/>
        <w:jc w:val="both"/>
        <w:rPr>
          <w:rFonts w:cstheme="minorHAnsi"/>
        </w:rPr>
      </w:pPr>
      <w:r w:rsidRPr="009D099B">
        <w:rPr>
          <w:rFonts w:cstheme="minorHAnsi"/>
        </w:rPr>
        <w:tab/>
        <w:t>(1) Plánovanie, manažment a kontrola</w:t>
      </w:r>
      <w:r w:rsidRPr="009D099B">
        <w:rPr>
          <w:rFonts w:cstheme="minorHAnsi"/>
        </w:rPr>
        <w:tab/>
      </w:r>
      <w:r>
        <w:rPr>
          <w:rFonts w:cstheme="minorHAnsi"/>
        </w:rPr>
        <w:t>2</w:t>
      </w:r>
      <w:r w:rsidR="00E713A3">
        <w:rPr>
          <w:rFonts w:cstheme="minorHAnsi"/>
        </w:rPr>
        <w:t>3</w:t>
      </w:r>
    </w:p>
    <w:p w14:paraId="73E7F87B" w14:textId="2C5B1F28" w:rsidR="00C8280C" w:rsidRPr="009D099B" w:rsidRDefault="00C8280C" w:rsidP="00C8280C">
      <w:pPr>
        <w:tabs>
          <w:tab w:val="left" w:pos="360"/>
          <w:tab w:val="right" w:leader="dot" w:pos="9781"/>
        </w:tabs>
        <w:spacing w:after="120"/>
        <w:ind w:right="72"/>
        <w:jc w:val="both"/>
        <w:rPr>
          <w:rFonts w:cstheme="minorHAnsi"/>
        </w:rPr>
      </w:pPr>
      <w:r w:rsidRPr="009D099B">
        <w:rPr>
          <w:rFonts w:cstheme="minorHAnsi"/>
        </w:rPr>
        <w:tab/>
        <w:t xml:space="preserve">(2) </w:t>
      </w:r>
      <w:r w:rsidRPr="004A5408">
        <w:rPr>
          <w:rFonts w:cstheme="minorHAnsi"/>
        </w:rPr>
        <w:t>Organizácia podujatí a komunikácia s verejnosťou</w:t>
      </w:r>
      <w:r w:rsidRPr="009D099B">
        <w:rPr>
          <w:rFonts w:cstheme="minorHAnsi"/>
        </w:rPr>
        <w:tab/>
      </w:r>
      <w:r>
        <w:rPr>
          <w:rFonts w:cstheme="minorHAnsi"/>
        </w:rPr>
        <w:t>3</w:t>
      </w:r>
      <w:r w:rsidR="00E713A3">
        <w:rPr>
          <w:rFonts w:cstheme="minorHAnsi"/>
        </w:rPr>
        <w:t>4</w:t>
      </w:r>
    </w:p>
    <w:p w14:paraId="25348098" w14:textId="6C1222EC" w:rsidR="00C8280C" w:rsidRDefault="00C8280C" w:rsidP="00C8280C">
      <w:pPr>
        <w:tabs>
          <w:tab w:val="left" w:pos="360"/>
          <w:tab w:val="right" w:leader="dot" w:pos="9781"/>
        </w:tabs>
        <w:spacing w:after="120"/>
        <w:ind w:right="72"/>
        <w:jc w:val="both"/>
        <w:rPr>
          <w:rFonts w:cstheme="minorHAnsi"/>
        </w:rPr>
      </w:pPr>
      <w:r w:rsidRPr="009D099B">
        <w:rPr>
          <w:rFonts w:cstheme="minorHAnsi"/>
        </w:rPr>
        <w:tab/>
        <w:t>(3) Interné služby</w:t>
      </w:r>
      <w:r w:rsidRPr="009D099B">
        <w:rPr>
          <w:rFonts w:cstheme="minorHAnsi"/>
        </w:rPr>
        <w:tab/>
      </w:r>
      <w:r>
        <w:rPr>
          <w:rFonts w:cstheme="minorHAnsi"/>
        </w:rPr>
        <w:t>....................3</w:t>
      </w:r>
      <w:r w:rsidR="008003CF">
        <w:rPr>
          <w:rFonts w:cstheme="minorHAnsi"/>
        </w:rPr>
        <w:t>6</w:t>
      </w:r>
    </w:p>
    <w:p w14:paraId="6A360F13" w14:textId="1519D7FA" w:rsidR="00C8280C" w:rsidRPr="009D099B" w:rsidRDefault="00C8280C" w:rsidP="00C8280C">
      <w:pPr>
        <w:tabs>
          <w:tab w:val="left" w:pos="360"/>
          <w:tab w:val="right" w:leader="dot" w:pos="9781"/>
        </w:tabs>
        <w:spacing w:after="120"/>
        <w:ind w:right="72"/>
        <w:jc w:val="both"/>
        <w:rPr>
          <w:rFonts w:cstheme="minorHAnsi"/>
        </w:rPr>
      </w:pPr>
      <w:r>
        <w:rPr>
          <w:rFonts w:cstheme="minorHAnsi"/>
        </w:rPr>
        <w:t xml:space="preserve">       </w:t>
      </w:r>
      <w:r w:rsidRPr="009D099B">
        <w:rPr>
          <w:rFonts w:cstheme="minorHAnsi"/>
        </w:rPr>
        <w:t>(4) Cestovný ruch</w:t>
      </w:r>
      <w:r w:rsidRPr="009D099B">
        <w:rPr>
          <w:rFonts w:cstheme="minorHAnsi"/>
        </w:rPr>
        <w:tab/>
      </w:r>
      <w:r>
        <w:rPr>
          <w:rFonts w:cstheme="minorHAnsi"/>
        </w:rPr>
        <w:t>....................3</w:t>
      </w:r>
      <w:r w:rsidR="00E713A3">
        <w:rPr>
          <w:rFonts w:cstheme="minorHAnsi"/>
        </w:rPr>
        <w:t>8</w:t>
      </w:r>
    </w:p>
    <w:p w14:paraId="36ED2D29" w14:textId="7B41F569" w:rsidR="00C8280C" w:rsidRPr="009D099B" w:rsidRDefault="00C8280C" w:rsidP="00C8280C">
      <w:pPr>
        <w:tabs>
          <w:tab w:val="left" w:pos="360"/>
          <w:tab w:val="right" w:leader="dot" w:pos="9781"/>
        </w:tabs>
        <w:spacing w:after="120"/>
        <w:ind w:right="72"/>
        <w:jc w:val="both"/>
        <w:rPr>
          <w:rFonts w:cstheme="minorHAnsi"/>
        </w:rPr>
      </w:pPr>
      <w:r w:rsidRPr="009D099B">
        <w:rPr>
          <w:rFonts w:cstheme="minorHAnsi"/>
        </w:rPr>
        <w:tab/>
        <w:t xml:space="preserve">(5) </w:t>
      </w:r>
      <w:r w:rsidRPr="00052915">
        <w:rPr>
          <w:rFonts w:cstheme="minorHAnsi"/>
        </w:rPr>
        <w:t>Starostlivosť o krajinu, prírodné zdroje, územné plánovanie a prevenciu obyvateľstva</w:t>
      </w:r>
      <w:r w:rsidRPr="009D099B">
        <w:rPr>
          <w:rFonts w:cstheme="minorHAnsi"/>
        </w:rPr>
        <w:tab/>
      </w:r>
      <w:r>
        <w:rPr>
          <w:rFonts w:cstheme="minorHAnsi"/>
        </w:rPr>
        <w:t>3</w:t>
      </w:r>
      <w:r w:rsidR="00E713A3">
        <w:rPr>
          <w:rFonts w:cstheme="minorHAnsi"/>
        </w:rPr>
        <w:t>9</w:t>
      </w:r>
    </w:p>
    <w:p w14:paraId="43EA4EE4" w14:textId="43EA4F51" w:rsidR="00C8280C" w:rsidRPr="009D099B" w:rsidRDefault="00C8280C" w:rsidP="00C8280C">
      <w:pPr>
        <w:tabs>
          <w:tab w:val="left" w:pos="360"/>
          <w:tab w:val="right" w:leader="dot" w:pos="9781"/>
        </w:tabs>
        <w:spacing w:after="120"/>
        <w:ind w:right="72"/>
        <w:jc w:val="both"/>
        <w:rPr>
          <w:rFonts w:cstheme="minorHAnsi"/>
        </w:rPr>
      </w:pPr>
      <w:r w:rsidRPr="009D099B">
        <w:rPr>
          <w:rFonts w:cstheme="minorHAnsi"/>
        </w:rPr>
        <w:tab/>
        <w:t>(6) Komunikácie</w:t>
      </w:r>
      <w:r w:rsidRPr="009D099B">
        <w:rPr>
          <w:rFonts w:cstheme="minorHAnsi"/>
        </w:rPr>
        <w:tab/>
      </w:r>
      <w:r w:rsidR="00E713A3">
        <w:rPr>
          <w:rFonts w:cstheme="minorHAnsi"/>
        </w:rPr>
        <w:t>4</w:t>
      </w:r>
      <w:r w:rsidR="008003CF">
        <w:rPr>
          <w:rFonts w:cstheme="minorHAnsi"/>
        </w:rPr>
        <w:t>0</w:t>
      </w:r>
    </w:p>
    <w:p w14:paraId="0EE1683C" w14:textId="1F9ED9AA" w:rsidR="00C8280C" w:rsidRPr="009D099B" w:rsidRDefault="00C8280C" w:rsidP="00C8280C">
      <w:pPr>
        <w:tabs>
          <w:tab w:val="left" w:pos="360"/>
          <w:tab w:val="right" w:leader="dot" w:pos="9781"/>
        </w:tabs>
        <w:spacing w:after="120"/>
        <w:ind w:right="72"/>
        <w:jc w:val="both"/>
        <w:rPr>
          <w:rFonts w:cstheme="minorHAnsi"/>
        </w:rPr>
      </w:pPr>
      <w:r>
        <w:rPr>
          <w:rFonts w:cstheme="minorHAnsi"/>
        </w:rPr>
        <w:tab/>
        <w:t>(7) Doprava</w:t>
      </w:r>
      <w:r>
        <w:rPr>
          <w:rFonts w:cstheme="minorHAnsi"/>
        </w:rPr>
        <w:tab/>
        <w:t>4</w:t>
      </w:r>
      <w:r w:rsidR="00063526">
        <w:rPr>
          <w:rFonts w:cstheme="minorHAnsi"/>
        </w:rPr>
        <w:t>3</w:t>
      </w:r>
    </w:p>
    <w:p w14:paraId="78686C62" w14:textId="23812A1E" w:rsidR="00C8280C" w:rsidRPr="009D099B" w:rsidRDefault="00C8280C" w:rsidP="00C8280C">
      <w:pPr>
        <w:tabs>
          <w:tab w:val="left" w:pos="360"/>
          <w:tab w:val="right" w:leader="dot" w:pos="9781"/>
        </w:tabs>
        <w:spacing w:after="120"/>
        <w:ind w:right="72"/>
        <w:jc w:val="both"/>
        <w:rPr>
          <w:rFonts w:cstheme="minorHAnsi"/>
        </w:rPr>
      </w:pPr>
      <w:r w:rsidRPr="009D099B">
        <w:rPr>
          <w:rFonts w:cstheme="minorHAnsi"/>
        </w:rPr>
        <w:tab/>
        <w:t>(8) Vzdelávanie</w:t>
      </w:r>
      <w:r w:rsidRPr="009D099B">
        <w:rPr>
          <w:rFonts w:cstheme="minorHAnsi"/>
        </w:rPr>
        <w:tab/>
      </w:r>
      <w:r>
        <w:rPr>
          <w:rFonts w:cstheme="minorHAnsi"/>
        </w:rPr>
        <w:t>4</w:t>
      </w:r>
      <w:r w:rsidR="00063526">
        <w:rPr>
          <w:rFonts w:cstheme="minorHAnsi"/>
        </w:rPr>
        <w:t>6</w:t>
      </w:r>
    </w:p>
    <w:p w14:paraId="5912DA58" w14:textId="2DADA32A" w:rsidR="00C8280C" w:rsidRPr="009D099B" w:rsidRDefault="00C8280C" w:rsidP="00C8280C">
      <w:pPr>
        <w:tabs>
          <w:tab w:val="left" w:pos="360"/>
          <w:tab w:val="right" w:leader="dot" w:pos="9781"/>
        </w:tabs>
        <w:spacing w:after="120"/>
        <w:ind w:right="72"/>
        <w:jc w:val="both"/>
        <w:rPr>
          <w:rFonts w:cstheme="minorHAnsi"/>
        </w:rPr>
      </w:pPr>
      <w:r w:rsidRPr="009D099B">
        <w:rPr>
          <w:rFonts w:cstheme="minorHAnsi"/>
        </w:rPr>
        <w:tab/>
        <w:t>(9) Šport</w:t>
      </w:r>
      <w:r w:rsidRPr="009D099B">
        <w:rPr>
          <w:rFonts w:cstheme="minorHAnsi"/>
        </w:rPr>
        <w:tab/>
      </w:r>
      <w:r>
        <w:rPr>
          <w:rFonts w:cstheme="minorHAnsi"/>
        </w:rPr>
        <w:t>9</w:t>
      </w:r>
      <w:r w:rsidR="008003CF">
        <w:rPr>
          <w:rFonts w:cstheme="minorHAnsi"/>
        </w:rPr>
        <w:t>2</w:t>
      </w:r>
    </w:p>
    <w:p w14:paraId="434F4DCA" w14:textId="133795C3" w:rsidR="00C8280C" w:rsidRPr="009D099B" w:rsidRDefault="00C8280C" w:rsidP="00C8280C">
      <w:pPr>
        <w:tabs>
          <w:tab w:val="left" w:pos="360"/>
          <w:tab w:val="right" w:leader="dot" w:pos="9781"/>
        </w:tabs>
        <w:spacing w:after="120"/>
        <w:ind w:right="72"/>
        <w:jc w:val="both"/>
        <w:rPr>
          <w:rFonts w:cstheme="minorHAnsi"/>
        </w:rPr>
      </w:pPr>
      <w:r w:rsidRPr="009D099B">
        <w:rPr>
          <w:rFonts w:cstheme="minorHAnsi"/>
        </w:rPr>
        <w:tab/>
        <w:t>(10) Kultúra</w:t>
      </w:r>
      <w:r w:rsidRPr="009D099B">
        <w:rPr>
          <w:rFonts w:cstheme="minorHAnsi"/>
        </w:rPr>
        <w:tab/>
      </w:r>
      <w:r>
        <w:rPr>
          <w:rFonts w:cstheme="minorHAnsi"/>
        </w:rPr>
        <w:t>9</w:t>
      </w:r>
      <w:r w:rsidR="00063526">
        <w:rPr>
          <w:rFonts w:cstheme="minorHAnsi"/>
        </w:rPr>
        <w:t>3</w:t>
      </w:r>
    </w:p>
    <w:p w14:paraId="546826D5" w14:textId="51D5CB6C" w:rsidR="00C8280C" w:rsidRPr="009D099B" w:rsidRDefault="00C8280C" w:rsidP="00C8280C">
      <w:pPr>
        <w:tabs>
          <w:tab w:val="left" w:pos="360"/>
          <w:tab w:val="right" w:leader="dot" w:pos="9781"/>
        </w:tabs>
        <w:spacing w:after="120"/>
        <w:ind w:right="72"/>
        <w:jc w:val="both"/>
        <w:rPr>
          <w:rFonts w:cstheme="minorHAnsi"/>
        </w:rPr>
      </w:pPr>
      <w:r>
        <w:rPr>
          <w:rFonts w:cstheme="minorHAnsi"/>
        </w:rPr>
        <w:tab/>
        <w:t>(11) Sociálne zabezpečenie</w:t>
      </w:r>
      <w:r>
        <w:rPr>
          <w:rFonts w:cstheme="minorHAnsi"/>
        </w:rPr>
        <w:tab/>
        <w:t>1</w:t>
      </w:r>
      <w:r w:rsidR="008003CF">
        <w:rPr>
          <w:rFonts w:cstheme="minorHAnsi"/>
        </w:rPr>
        <w:t>1</w:t>
      </w:r>
      <w:r w:rsidR="00605CA4">
        <w:rPr>
          <w:rFonts w:cstheme="minorHAnsi"/>
        </w:rPr>
        <w:t>1</w:t>
      </w:r>
    </w:p>
    <w:p w14:paraId="3AA69B29" w14:textId="5913B2E7" w:rsidR="00C8280C" w:rsidRPr="009D099B" w:rsidRDefault="00C8280C" w:rsidP="00C8280C">
      <w:pPr>
        <w:tabs>
          <w:tab w:val="left" w:pos="360"/>
          <w:tab w:val="right" w:leader="dot" w:pos="9781"/>
        </w:tabs>
        <w:spacing w:after="120"/>
        <w:ind w:right="72"/>
        <w:jc w:val="both"/>
        <w:rPr>
          <w:rFonts w:cstheme="minorHAnsi"/>
        </w:rPr>
      </w:pPr>
      <w:r w:rsidRPr="009D099B">
        <w:rPr>
          <w:rFonts w:cstheme="minorHAnsi"/>
        </w:rPr>
        <w:tab/>
        <w:t>(12) Zdravotníctvo</w:t>
      </w:r>
      <w:r w:rsidRPr="009D099B">
        <w:rPr>
          <w:rFonts w:cstheme="minorHAnsi"/>
        </w:rPr>
        <w:tab/>
      </w:r>
      <w:r>
        <w:rPr>
          <w:rFonts w:cstheme="minorHAnsi"/>
        </w:rPr>
        <w:t>1</w:t>
      </w:r>
      <w:r w:rsidR="00605CA4">
        <w:rPr>
          <w:rFonts w:cstheme="minorHAnsi"/>
        </w:rPr>
        <w:t>20</w:t>
      </w:r>
    </w:p>
    <w:p w14:paraId="249B4F4F" w14:textId="5B97377F" w:rsidR="00C8280C" w:rsidRDefault="00C8280C" w:rsidP="00C8280C">
      <w:pPr>
        <w:tabs>
          <w:tab w:val="left" w:pos="360"/>
          <w:tab w:val="right" w:leader="dot" w:pos="9781"/>
        </w:tabs>
        <w:spacing w:after="120"/>
        <w:ind w:right="72"/>
        <w:jc w:val="both"/>
        <w:rPr>
          <w:rFonts w:cstheme="minorHAnsi"/>
        </w:rPr>
      </w:pPr>
      <w:r w:rsidRPr="009D099B">
        <w:rPr>
          <w:rFonts w:cstheme="minorHAnsi"/>
        </w:rPr>
        <w:tab/>
        <w:t>(13) Administratíva</w:t>
      </w:r>
      <w:r w:rsidRPr="009D099B">
        <w:rPr>
          <w:rFonts w:cstheme="minorHAnsi"/>
        </w:rPr>
        <w:tab/>
      </w:r>
      <w:r>
        <w:rPr>
          <w:rFonts w:cstheme="minorHAnsi"/>
        </w:rPr>
        <w:t>..1</w:t>
      </w:r>
      <w:r w:rsidR="008003CF">
        <w:rPr>
          <w:rFonts w:cstheme="minorHAnsi"/>
        </w:rPr>
        <w:t>2</w:t>
      </w:r>
      <w:r w:rsidR="00605CA4">
        <w:rPr>
          <w:rFonts w:cstheme="minorHAnsi"/>
        </w:rPr>
        <w:t>1</w:t>
      </w:r>
    </w:p>
    <w:p w14:paraId="753E5440" w14:textId="48AB27DF" w:rsidR="00C8280C" w:rsidRDefault="00C8280C" w:rsidP="00C8280C">
      <w:pPr>
        <w:tabs>
          <w:tab w:val="left" w:pos="360"/>
          <w:tab w:val="right" w:leader="dot" w:pos="9781"/>
        </w:tabs>
        <w:spacing w:after="120"/>
        <w:ind w:right="72"/>
        <w:jc w:val="both"/>
        <w:rPr>
          <w:rFonts w:cstheme="minorHAnsi"/>
        </w:rPr>
      </w:pPr>
      <w:r>
        <w:rPr>
          <w:rFonts w:cstheme="minorHAnsi"/>
        </w:rPr>
        <w:t xml:space="preserve">       </w:t>
      </w:r>
      <w:r w:rsidRPr="009D099B">
        <w:rPr>
          <w:rFonts w:cstheme="minorHAnsi"/>
        </w:rPr>
        <w:t>(1</w:t>
      </w:r>
      <w:r>
        <w:rPr>
          <w:rFonts w:cstheme="minorHAnsi"/>
        </w:rPr>
        <w:t>4</w:t>
      </w:r>
      <w:r w:rsidRPr="009D099B">
        <w:rPr>
          <w:rFonts w:cstheme="minorHAnsi"/>
        </w:rPr>
        <w:t xml:space="preserve">) </w:t>
      </w:r>
      <w:r w:rsidRPr="00195934">
        <w:rPr>
          <w:rFonts w:cstheme="minorHAnsi"/>
        </w:rPr>
        <w:t>Strategická podpora verejného života a rozvoja regiónu</w:t>
      </w:r>
      <w:r w:rsidRPr="009D099B">
        <w:rPr>
          <w:rFonts w:cstheme="minorHAnsi"/>
        </w:rPr>
        <w:tab/>
      </w:r>
      <w:r>
        <w:rPr>
          <w:rFonts w:cstheme="minorHAnsi"/>
        </w:rPr>
        <w:t>..1</w:t>
      </w:r>
      <w:r w:rsidR="00E713A3">
        <w:rPr>
          <w:rFonts w:cstheme="minorHAnsi"/>
        </w:rPr>
        <w:t>2</w:t>
      </w:r>
      <w:r w:rsidR="00605CA4">
        <w:rPr>
          <w:rFonts w:cstheme="minorHAnsi"/>
        </w:rPr>
        <w:t>2</w:t>
      </w:r>
    </w:p>
    <w:p w14:paraId="7333112F" w14:textId="77777777" w:rsidR="00C8280C" w:rsidRDefault="00C8280C" w:rsidP="00C8280C">
      <w:pPr>
        <w:tabs>
          <w:tab w:val="left" w:pos="360"/>
          <w:tab w:val="right" w:leader="dot" w:pos="9781"/>
        </w:tabs>
        <w:spacing w:after="120"/>
        <w:ind w:right="72"/>
        <w:jc w:val="both"/>
        <w:rPr>
          <w:rFonts w:cstheme="minorHAnsi"/>
        </w:rPr>
      </w:pPr>
      <w:r>
        <w:rPr>
          <w:rFonts w:cstheme="minorHAnsi"/>
        </w:rPr>
        <w:t xml:space="preserve">       </w:t>
      </w:r>
    </w:p>
    <w:p w14:paraId="092734AF" w14:textId="77777777" w:rsidR="00C8280C" w:rsidRPr="00397C1C" w:rsidRDefault="00C8280C" w:rsidP="00C8280C">
      <w:pPr>
        <w:tabs>
          <w:tab w:val="left" w:pos="360"/>
          <w:tab w:val="right" w:leader="dot" w:pos="9781"/>
        </w:tabs>
        <w:spacing w:after="120"/>
        <w:ind w:right="72"/>
        <w:jc w:val="both"/>
        <w:rPr>
          <w:rFonts w:cstheme="minorHAnsi"/>
          <w:b/>
          <w:sz w:val="24"/>
        </w:rPr>
      </w:pPr>
      <w:r w:rsidRPr="00FE42C8">
        <w:rPr>
          <w:rFonts w:cstheme="minorHAnsi"/>
          <w:b/>
          <w:sz w:val="24"/>
        </w:rPr>
        <w:t>Prílohy</w:t>
      </w:r>
    </w:p>
    <w:p w14:paraId="401CD3BF" w14:textId="00BA2AAF" w:rsidR="00C8280C" w:rsidRPr="00510536" w:rsidRDefault="00C8280C" w:rsidP="00C8280C">
      <w:pPr>
        <w:tabs>
          <w:tab w:val="left" w:pos="360"/>
          <w:tab w:val="right" w:leader="dot" w:pos="9781"/>
        </w:tabs>
        <w:spacing w:after="120"/>
        <w:ind w:right="72"/>
        <w:jc w:val="both"/>
        <w:rPr>
          <w:rFonts w:cstheme="minorHAnsi"/>
        </w:rPr>
      </w:pPr>
      <w:r w:rsidRPr="007D6A18">
        <w:rPr>
          <w:rFonts w:cstheme="minorHAnsi"/>
        </w:rPr>
        <w:t>Príloha číslo 1: INVESTIČN</w:t>
      </w:r>
      <w:r>
        <w:rPr>
          <w:rFonts w:cstheme="minorHAnsi"/>
        </w:rPr>
        <w:t>Ý PLÁN – Cesty II. a III. triedy</w:t>
      </w:r>
      <w:r w:rsidRPr="009D099B">
        <w:rPr>
          <w:rFonts w:cstheme="minorHAnsi"/>
        </w:rPr>
        <w:tab/>
      </w:r>
      <w:r>
        <w:rPr>
          <w:rFonts w:cstheme="minorHAnsi"/>
        </w:rPr>
        <w:t>..1</w:t>
      </w:r>
      <w:r w:rsidR="00F127F3">
        <w:rPr>
          <w:rFonts w:cstheme="minorHAnsi"/>
        </w:rPr>
        <w:t>2</w:t>
      </w:r>
      <w:r w:rsidR="00605CA4">
        <w:rPr>
          <w:rFonts w:cstheme="minorHAnsi"/>
        </w:rPr>
        <w:t>3</w:t>
      </w:r>
    </w:p>
    <w:p w14:paraId="2CF42CBE" w14:textId="44F5A130" w:rsidR="00C8280C" w:rsidRDefault="00C8280C" w:rsidP="00C8280C">
      <w:pPr>
        <w:tabs>
          <w:tab w:val="left" w:pos="360"/>
          <w:tab w:val="right" w:leader="dot" w:pos="9781"/>
        </w:tabs>
        <w:spacing w:after="120"/>
        <w:ind w:right="72"/>
        <w:jc w:val="both"/>
        <w:rPr>
          <w:rFonts w:cstheme="minorHAnsi"/>
        </w:rPr>
      </w:pPr>
      <w:r w:rsidRPr="007D6A18">
        <w:rPr>
          <w:rFonts w:cstheme="minorHAnsi"/>
        </w:rPr>
        <w:t xml:space="preserve">Príloha </w:t>
      </w:r>
      <w:r>
        <w:rPr>
          <w:rFonts w:cstheme="minorHAnsi"/>
        </w:rPr>
        <w:t>číslo 2</w:t>
      </w:r>
      <w:r w:rsidRPr="007D6A18">
        <w:rPr>
          <w:rFonts w:cstheme="minorHAnsi"/>
        </w:rPr>
        <w:t>: INVESTIČN</w:t>
      </w:r>
      <w:r>
        <w:rPr>
          <w:rFonts w:cstheme="minorHAnsi"/>
        </w:rPr>
        <w:t xml:space="preserve">Ý PLÁN – Majetok </w:t>
      </w:r>
      <w:r w:rsidRPr="009D099B">
        <w:rPr>
          <w:rFonts w:cstheme="minorHAnsi"/>
        </w:rPr>
        <w:tab/>
      </w:r>
      <w:r>
        <w:rPr>
          <w:rFonts w:cstheme="minorHAnsi"/>
        </w:rPr>
        <w:t>..12</w:t>
      </w:r>
      <w:r w:rsidR="009B402B">
        <w:rPr>
          <w:rFonts w:cstheme="minorHAnsi"/>
        </w:rPr>
        <w:t>5</w:t>
      </w:r>
    </w:p>
    <w:p w14:paraId="2E652D25" w14:textId="04D6F332" w:rsidR="00C8280C" w:rsidRDefault="00C8280C" w:rsidP="00C8280C">
      <w:pPr>
        <w:tabs>
          <w:tab w:val="left" w:pos="360"/>
          <w:tab w:val="right" w:leader="dot" w:pos="9781"/>
        </w:tabs>
        <w:spacing w:after="120"/>
        <w:ind w:right="72"/>
        <w:jc w:val="both"/>
        <w:rPr>
          <w:rFonts w:cstheme="minorHAnsi"/>
        </w:rPr>
      </w:pPr>
      <w:r w:rsidRPr="007D6A18">
        <w:rPr>
          <w:rFonts w:cstheme="minorHAnsi"/>
        </w:rPr>
        <w:t xml:space="preserve">Príloha číslo </w:t>
      </w:r>
      <w:r>
        <w:rPr>
          <w:rFonts w:cstheme="minorHAnsi"/>
        </w:rPr>
        <w:t>3</w:t>
      </w:r>
      <w:r w:rsidRPr="007D6A18">
        <w:rPr>
          <w:rFonts w:cstheme="minorHAnsi"/>
        </w:rPr>
        <w:t>: INVESTIČN</w:t>
      </w:r>
      <w:r>
        <w:rPr>
          <w:rFonts w:cstheme="minorHAnsi"/>
        </w:rPr>
        <w:t>Ý PLÁN – Projekty financované z eurofondov</w:t>
      </w:r>
      <w:r w:rsidRPr="009D099B">
        <w:rPr>
          <w:rFonts w:cstheme="minorHAnsi"/>
        </w:rPr>
        <w:tab/>
      </w:r>
      <w:r>
        <w:rPr>
          <w:rFonts w:cstheme="minorHAnsi"/>
        </w:rPr>
        <w:t>..1</w:t>
      </w:r>
      <w:r w:rsidR="00605CA4">
        <w:rPr>
          <w:rFonts w:cstheme="minorHAnsi"/>
        </w:rPr>
        <w:t>2</w:t>
      </w:r>
      <w:r w:rsidR="009B402B">
        <w:rPr>
          <w:rFonts w:cstheme="minorHAnsi"/>
        </w:rPr>
        <w:t>9</w:t>
      </w:r>
    </w:p>
    <w:p w14:paraId="7A81C026" w14:textId="77777777" w:rsidR="00C8280C" w:rsidRDefault="00C8280C" w:rsidP="00C8280C">
      <w:pPr>
        <w:tabs>
          <w:tab w:val="left" w:pos="360"/>
          <w:tab w:val="right" w:leader="dot" w:pos="9781"/>
        </w:tabs>
        <w:spacing w:after="120"/>
        <w:ind w:right="72"/>
        <w:jc w:val="both"/>
        <w:rPr>
          <w:rFonts w:cstheme="minorHAnsi"/>
        </w:rPr>
      </w:pPr>
    </w:p>
    <w:p w14:paraId="5927D90D" w14:textId="4536319D" w:rsidR="00541398" w:rsidRDefault="00C8280C" w:rsidP="00541398">
      <w:pPr>
        <w:spacing w:after="0" w:line="240" w:lineRule="auto"/>
        <w:rPr>
          <w:rFonts w:cstheme="minorHAnsi"/>
          <w:b/>
          <w:sz w:val="36"/>
          <w:szCs w:val="36"/>
        </w:rPr>
      </w:pPr>
      <w:r>
        <w:rPr>
          <w:rFonts w:cstheme="minorHAnsi"/>
        </w:rPr>
        <w:br w:type="page"/>
      </w:r>
      <w:r w:rsidR="00541398">
        <w:rPr>
          <w:rFonts w:cstheme="minorHAnsi"/>
          <w:b/>
          <w:sz w:val="36"/>
          <w:szCs w:val="36"/>
        </w:rPr>
        <w:lastRenderedPageBreak/>
        <w:t>Základné zhrnutie Návrhu</w:t>
      </w:r>
      <w:r w:rsidR="00541398" w:rsidRPr="00FE42C8">
        <w:rPr>
          <w:rFonts w:cstheme="minorHAnsi"/>
          <w:b/>
          <w:sz w:val="36"/>
          <w:szCs w:val="36"/>
        </w:rPr>
        <w:t> </w:t>
      </w:r>
      <w:r w:rsidR="00541398">
        <w:rPr>
          <w:rFonts w:cstheme="minorHAnsi"/>
          <w:b/>
          <w:sz w:val="36"/>
          <w:szCs w:val="36"/>
        </w:rPr>
        <w:t>rozpočtu</w:t>
      </w:r>
      <w:r w:rsidR="00541398" w:rsidRPr="00FE42C8">
        <w:rPr>
          <w:rFonts w:cstheme="minorHAnsi"/>
          <w:b/>
          <w:sz w:val="36"/>
          <w:szCs w:val="36"/>
        </w:rPr>
        <w:t xml:space="preserve"> BSK </w:t>
      </w:r>
      <w:r w:rsidR="00541398">
        <w:rPr>
          <w:rFonts w:cstheme="minorHAnsi"/>
          <w:b/>
          <w:sz w:val="36"/>
          <w:szCs w:val="36"/>
        </w:rPr>
        <w:t>na roky</w:t>
      </w:r>
      <w:r w:rsidR="00541398" w:rsidRPr="00FE42C8">
        <w:rPr>
          <w:rFonts w:cstheme="minorHAnsi"/>
          <w:b/>
          <w:sz w:val="36"/>
          <w:szCs w:val="36"/>
        </w:rPr>
        <w:t xml:space="preserve"> 202</w:t>
      </w:r>
      <w:r w:rsidR="006270CE">
        <w:rPr>
          <w:rFonts w:cstheme="minorHAnsi"/>
          <w:b/>
          <w:sz w:val="36"/>
          <w:szCs w:val="36"/>
        </w:rPr>
        <w:t>5</w:t>
      </w:r>
      <w:r w:rsidR="00541398" w:rsidRPr="00FE42C8">
        <w:rPr>
          <w:rFonts w:cstheme="minorHAnsi"/>
          <w:b/>
          <w:sz w:val="36"/>
          <w:szCs w:val="36"/>
        </w:rPr>
        <w:t xml:space="preserve"> </w:t>
      </w:r>
      <w:r w:rsidR="00541398">
        <w:rPr>
          <w:rFonts w:cstheme="minorHAnsi"/>
          <w:b/>
          <w:sz w:val="36"/>
          <w:szCs w:val="36"/>
        </w:rPr>
        <w:t>–</w:t>
      </w:r>
      <w:r w:rsidR="00541398" w:rsidRPr="00FE42C8">
        <w:rPr>
          <w:rFonts w:cstheme="minorHAnsi"/>
          <w:b/>
          <w:sz w:val="36"/>
          <w:szCs w:val="36"/>
        </w:rPr>
        <w:t xml:space="preserve"> 202</w:t>
      </w:r>
      <w:r w:rsidR="006270CE">
        <w:rPr>
          <w:rFonts w:cstheme="minorHAnsi"/>
          <w:b/>
          <w:sz w:val="36"/>
          <w:szCs w:val="36"/>
        </w:rPr>
        <w:t>7</w:t>
      </w:r>
    </w:p>
    <w:p w14:paraId="68BE9F29" w14:textId="77777777" w:rsidR="00541398" w:rsidRPr="00F86C4F" w:rsidRDefault="00541398" w:rsidP="00541398">
      <w:pPr>
        <w:spacing w:after="0" w:line="240" w:lineRule="auto"/>
        <w:rPr>
          <w:rFonts w:cstheme="minorHAnsi"/>
          <w:b/>
          <w:sz w:val="20"/>
          <w:szCs w:val="36"/>
        </w:rPr>
      </w:pPr>
    </w:p>
    <w:p w14:paraId="73ECE71F" w14:textId="77777777" w:rsidR="00541398" w:rsidRPr="00DB7017" w:rsidRDefault="00541398" w:rsidP="00794A14">
      <w:pPr>
        <w:pStyle w:val="Odsekzoznamu"/>
        <w:numPr>
          <w:ilvl w:val="0"/>
          <w:numId w:val="11"/>
        </w:numPr>
        <w:tabs>
          <w:tab w:val="left" w:pos="426"/>
        </w:tabs>
        <w:spacing w:before="0" w:beforeAutospacing="0" w:after="120" w:afterAutospacing="0" w:line="276" w:lineRule="auto"/>
        <w:ind w:hanging="720"/>
        <w:jc w:val="both"/>
        <w:rPr>
          <w:rFonts w:asciiTheme="minorHAnsi" w:hAnsiTheme="minorHAnsi" w:cstheme="minorHAnsi"/>
          <w:b/>
          <w:color w:val="2F5496" w:themeColor="accent1" w:themeShade="BF"/>
          <w:szCs w:val="22"/>
        </w:rPr>
      </w:pPr>
      <w:r w:rsidRPr="00DB7017">
        <w:rPr>
          <w:rFonts w:asciiTheme="minorHAnsi" w:hAnsiTheme="minorHAnsi" w:cstheme="minorHAnsi"/>
          <w:b/>
          <w:color w:val="2F5496" w:themeColor="accent1" w:themeShade="BF"/>
          <w:szCs w:val="22"/>
        </w:rPr>
        <w:t>Východiská návrhu rozpočtu</w:t>
      </w:r>
    </w:p>
    <w:p w14:paraId="626B7A6F" w14:textId="790B8D61" w:rsidR="00541398" w:rsidRDefault="00541398" w:rsidP="00541398">
      <w:pPr>
        <w:pStyle w:val="Odsekzoznamu"/>
        <w:tabs>
          <w:tab w:val="left" w:pos="426"/>
        </w:tabs>
        <w:spacing w:after="120" w:afterAutospacing="0"/>
        <w:jc w:val="both"/>
        <w:rPr>
          <w:rFonts w:asciiTheme="minorHAnsi" w:hAnsiTheme="minorHAnsi" w:cstheme="minorHAnsi"/>
          <w:sz w:val="22"/>
          <w:szCs w:val="22"/>
        </w:rPr>
      </w:pPr>
      <w:r w:rsidRPr="002B2D7D">
        <w:rPr>
          <w:rFonts w:asciiTheme="minorHAnsi" w:hAnsiTheme="minorHAnsi" w:cstheme="minorHAnsi"/>
          <w:sz w:val="22"/>
          <w:szCs w:val="22"/>
        </w:rPr>
        <w:t>Návrh rozpočtu Bratislavského samosprávneho kraja na roky 20</w:t>
      </w:r>
      <w:r>
        <w:rPr>
          <w:rFonts w:asciiTheme="minorHAnsi" w:hAnsiTheme="minorHAnsi" w:cstheme="minorHAnsi"/>
          <w:sz w:val="22"/>
          <w:szCs w:val="22"/>
        </w:rPr>
        <w:t>2</w:t>
      </w:r>
      <w:r w:rsidR="003F1C41">
        <w:rPr>
          <w:rFonts w:asciiTheme="minorHAnsi" w:hAnsiTheme="minorHAnsi" w:cstheme="minorHAnsi"/>
          <w:sz w:val="22"/>
          <w:szCs w:val="22"/>
        </w:rPr>
        <w:t>5</w:t>
      </w:r>
      <w:r>
        <w:rPr>
          <w:rFonts w:asciiTheme="minorHAnsi" w:hAnsiTheme="minorHAnsi" w:cstheme="minorHAnsi"/>
          <w:sz w:val="22"/>
          <w:szCs w:val="22"/>
        </w:rPr>
        <w:t xml:space="preserve"> </w:t>
      </w:r>
      <w:r w:rsidRPr="002B2D7D">
        <w:rPr>
          <w:rFonts w:asciiTheme="minorHAnsi" w:hAnsiTheme="minorHAnsi" w:cstheme="minorHAnsi"/>
          <w:sz w:val="22"/>
          <w:szCs w:val="22"/>
        </w:rPr>
        <w:t>až 202</w:t>
      </w:r>
      <w:r w:rsidR="003F1C41">
        <w:rPr>
          <w:rFonts w:asciiTheme="minorHAnsi" w:hAnsiTheme="minorHAnsi" w:cstheme="minorHAnsi"/>
          <w:sz w:val="22"/>
          <w:szCs w:val="22"/>
        </w:rPr>
        <w:t>7</w:t>
      </w:r>
      <w:r w:rsidRPr="002B2D7D">
        <w:rPr>
          <w:rFonts w:asciiTheme="minorHAnsi" w:hAnsiTheme="minorHAnsi" w:cstheme="minorHAnsi"/>
          <w:sz w:val="22"/>
          <w:szCs w:val="22"/>
        </w:rPr>
        <w:t xml:space="preserve"> („</w:t>
      </w:r>
      <w:r w:rsidRPr="002B2D7D">
        <w:rPr>
          <w:rFonts w:asciiTheme="minorHAnsi" w:hAnsiTheme="minorHAnsi" w:cstheme="minorHAnsi"/>
          <w:b/>
          <w:sz w:val="22"/>
          <w:szCs w:val="22"/>
        </w:rPr>
        <w:t>Návrh rozpočtu</w:t>
      </w:r>
      <w:r>
        <w:rPr>
          <w:rFonts w:asciiTheme="minorHAnsi" w:hAnsiTheme="minorHAnsi" w:cstheme="minorHAnsi"/>
          <w:sz w:val="22"/>
          <w:szCs w:val="22"/>
        </w:rPr>
        <w:t>“):</w:t>
      </w:r>
    </w:p>
    <w:p w14:paraId="5044DD00" w14:textId="77777777" w:rsidR="00541398" w:rsidRPr="00B256F5" w:rsidRDefault="00541398" w:rsidP="00794A14">
      <w:pPr>
        <w:pStyle w:val="Odsekzoznamu"/>
        <w:numPr>
          <w:ilvl w:val="0"/>
          <w:numId w:val="7"/>
        </w:numPr>
        <w:spacing w:before="0" w:beforeAutospacing="0" w:after="0" w:afterAutospacing="0"/>
        <w:ind w:left="714" w:hanging="357"/>
        <w:rPr>
          <w:rFonts w:asciiTheme="minorHAnsi" w:hAnsiTheme="minorHAnsi" w:cstheme="minorHAnsi"/>
          <w:sz w:val="22"/>
          <w:szCs w:val="22"/>
        </w:rPr>
      </w:pPr>
      <w:r>
        <w:rPr>
          <w:rFonts w:asciiTheme="minorHAnsi" w:hAnsiTheme="minorHAnsi" w:cstheme="minorHAnsi"/>
          <w:sz w:val="22"/>
          <w:szCs w:val="22"/>
        </w:rPr>
        <w:t xml:space="preserve">je </w:t>
      </w:r>
      <w:r w:rsidRPr="002B2D7D">
        <w:rPr>
          <w:rFonts w:asciiTheme="minorHAnsi" w:hAnsiTheme="minorHAnsi" w:cstheme="minorHAnsi"/>
          <w:sz w:val="22"/>
          <w:szCs w:val="22"/>
        </w:rPr>
        <w:t>zostavený</w:t>
      </w:r>
      <w:r w:rsidRPr="009948E4">
        <w:rPr>
          <w:rFonts w:asciiTheme="minorHAnsi" w:hAnsiTheme="minorHAnsi" w:cstheme="minorHAnsi"/>
          <w:sz w:val="22"/>
          <w:szCs w:val="22"/>
        </w:rPr>
        <w:t xml:space="preserve"> podľa platných legislatívnych predpisov, </w:t>
      </w:r>
    </w:p>
    <w:p w14:paraId="7CDF1952" w14:textId="77777777" w:rsidR="00541398" w:rsidRDefault="00541398" w:rsidP="00794A14">
      <w:pPr>
        <w:pStyle w:val="Odsekzoznamu"/>
        <w:numPr>
          <w:ilvl w:val="0"/>
          <w:numId w:val="7"/>
        </w:numPr>
        <w:tabs>
          <w:tab w:val="left" w:pos="426"/>
        </w:tabs>
        <w:spacing w:after="0" w:afterAutospacing="0"/>
        <w:jc w:val="both"/>
        <w:rPr>
          <w:rFonts w:asciiTheme="minorHAnsi" w:hAnsiTheme="minorHAnsi" w:cstheme="minorHAnsi"/>
          <w:sz w:val="22"/>
          <w:szCs w:val="22"/>
        </w:rPr>
      </w:pPr>
      <w:r w:rsidRPr="002B2D7D">
        <w:rPr>
          <w:rFonts w:asciiTheme="minorHAnsi" w:hAnsiTheme="minorHAnsi" w:cstheme="minorHAnsi"/>
          <w:sz w:val="22"/>
          <w:szCs w:val="22"/>
        </w:rPr>
        <w:t>vychádza z</w:t>
      </w:r>
      <w:r>
        <w:rPr>
          <w:rFonts w:asciiTheme="minorHAnsi" w:hAnsiTheme="minorHAnsi" w:cstheme="minorHAnsi"/>
          <w:sz w:val="22"/>
          <w:szCs w:val="22"/>
        </w:rPr>
        <w:t> programového vyhlásenia vlády a Bratislavského samosprávneho kraja (ďalej len „BSK“),</w:t>
      </w:r>
    </w:p>
    <w:p w14:paraId="15DB5434" w14:textId="21D2BD32" w:rsidR="00541398" w:rsidRDefault="00541398" w:rsidP="00794A14">
      <w:pPr>
        <w:pStyle w:val="Odsekzoznamu"/>
        <w:numPr>
          <w:ilvl w:val="0"/>
          <w:numId w:val="7"/>
        </w:numPr>
        <w:tabs>
          <w:tab w:val="left" w:pos="426"/>
        </w:tabs>
        <w:spacing w:after="0" w:afterAutospacing="0"/>
        <w:jc w:val="both"/>
        <w:rPr>
          <w:rFonts w:asciiTheme="minorHAnsi" w:hAnsiTheme="minorHAnsi" w:cstheme="minorHAnsi"/>
          <w:sz w:val="22"/>
          <w:szCs w:val="22"/>
        </w:rPr>
      </w:pPr>
      <w:r w:rsidRPr="002B2D7D">
        <w:rPr>
          <w:rFonts w:asciiTheme="minorHAnsi" w:hAnsiTheme="minorHAnsi" w:cstheme="minorHAnsi"/>
          <w:sz w:val="22"/>
          <w:szCs w:val="22"/>
        </w:rPr>
        <w:t>nadväzuje na fiškálny rámec východísk rozpočtu verejnej správy na roky 20</w:t>
      </w:r>
      <w:r>
        <w:rPr>
          <w:rFonts w:asciiTheme="minorHAnsi" w:hAnsiTheme="minorHAnsi" w:cstheme="minorHAnsi"/>
          <w:sz w:val="22"/>
          <w:szCs w:val="22"/>
        </w:rPr>
        <w:t>2</w:t>
      </w:r>
      <w:r w:rsidR="003F1C41">
        <w:rPr>
          <w:rFonts w:asciiTheme="minorHAnsi" w:hAnsiTheme="minorHAnsi" w:cstheme="minorHAnsi"/>
          <w:sz w:val="22"/>
          <w:szCs w:val="22"/>
        </w:rPr>
        <w:t xml:space="preserve">5 – </w:t>
      </w:r>
      <w:r w:rsidRPr="002B2D7D">
        <w:rPr>
          <w:rFonts w:asciiTheme="minorHAnsi" w:hAnsiTheme="minorHAnsi" w:cstheme="minorHAnsi"/>
          <w:sz w:val="22"/>
          <w:szCs w:val="22"/>
        </w:rPr>
        <w:t>202</w:t>
      </w:r>
      <w:r w:rsidR="003F1C41">
        <w:rPr>
          <w:rFonts w:asciiTheme="minorHAnsi" w:hAnsiTheme="minorHAnsi" w:cstheme="minorHAnsi"/>
          <w:sz w:val="22"/>
          <w:szCs w:val="22"/>
        </w:rPr>
        <w:t xml:space="preserve">7 </w:t>
      </w:r>
      <w:r>
        <w:rPr>
          <w:rFonts w:asciiTheme="minorHAnsi" w:hAnsiTheme="minorHAnsi" w:cstheme="minorHAnsi"/>
          <w:sz w:val="22"/>
          <w:szCs w:val="22"/>
        </w:rPr>
        <w:t xml:space="preserve"> </w:t>
      </w:r>
      <w:r w:rsidRPr="002B2D7D">
        <w:rPr>
          <w:rFonts w:asciiTheme="minorHAnsi" w:hAnsiTheme="minorHAnsi" w:cstheme="minorHAnsi"/>
          <w:sz w:val="22"/>
          <w:szCs w:val="22"/>
        </w:rPr>
        <w:t xml:space="preserve"> </w:t>
      </w:r>
    </w:p>
    <w:p w14:paraId="1A3A1AA5" w14:textId="77777777" w:rsidR="00541398" w:rsidRDefault="00541398" w:rsidP="00794A14">
      <w:pPr>
        <w:pStyle w:val="Odsekzoznamu"/>
        <w:numPr>
          <w:ilvl w:val="0"/>
          <w:numId w:val="7"/>
        </w:numPr>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vychádza z Programu hospodárskeho a sociálneho rozvoja a Akčného plánu BSK,</w:t>
      </w:r>
    </w:p>
    <w:p w14:paraId="421CF7EB" w14:textId="77777777" w:rsidR="00541398" w:rsidRDefault="00541398" w:rsidP="00794A14">
      <w:pPr>
        <w:pStyle w:val="Odsekzoznamu"/>
        <w:numPr>
          <w:ilvl w:val="0"/>
          <w:numId w:val="7"/>
        </w:numPr>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rešpektuje hranice zadlženosti,</w:t>
      </w:r>
    </w:p>
    <w:p w14:paraId="6C5FD340" w14:textId="77777777" w:rsidR="00541398" w:rsidRDefault="00541398" w:rsidP="00794A14">
      <w:pPr>
        <w:pStyle w:val="Odsekzoznamu"/>
        <w:numPr>
          <w:ilvl w:val="0"/>
          <w:numId w:val="7"/>
        </w:numPr>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reaguje na rozpracovanosť a pripravenosť rozbehnutých projektov a</w:t>
      </w:r>
    </w:p>
    <w:p w14:paraId="33383922" w14:textId="6DB99D3F" w:rsidR="00541398" w:rsidRDefault="00541398" w:rsidP="00794A14">
      <w:pPr>
        <w:pStyle w:val="Odsekzoznamu"/>
        <w:numPr>
          <w:ilvl w:val="0"/>
          <w:numId w:val="7"/>
        </w:numPr>
        <w:tabs>
          <w:tab w:val="left" w:pos="426"/>
        </w:tabs>
        <w:spacing w:after="120" w:afterAutospacing="0"/>
        <w:ind w:left="714" w:hanging="357"/>
        <w:jc w:val="both"/>
        <w:rPr>
          <w:rFonts w:asciiTheme="minorHAnsi" w:hAnsiTheme="minorHAnsi" w:cstheme="minorHAnsi"/>
          <w:sz w:val="22"/>
          <w:szCs w:val="22"/>
        </w:rPr>
      </w:pPr>
      <w:r>
        <w:rPr>
          <w:rFonts w:asciiTheme="minorHAnsi" w:hAnsiTheme="minorHAnsi" w:cstheme="minorHAnsi"/>
          <w:sz w:val="22"/>
          <w:szCs w:val="22"/>
        </w:rPr>
        <w:t xml:space="preserve">      </w:t>
      </w:r>
      <w:r w:rsidRPr="002B2D7D">
        <w:rPr>
          <w:rFonts w:asciiTheme="minorHAnsi" w:hAnsiTheme="minorHAnsi" w:cstheme="minorHAnsi"/>
          <w:sz w:val="22"/>
          <w:szCs w:val="22"/>
        </w:rPr>
        <w:t>je v ňom premietnutá aktualizácia makroekonomických ukazovateľov</w:t>
      </w:r>
      <w:r>
        <w:rPr>
          <w:rFonts w:asciiTheme="minorHAnsi" w:hAnsiTheme="minorHAnsi" w:cstheme="minorHAnsi"/>
          <w:sz w:val="22"/>
          <w:szCs w:val="22"/>
        </w:rPr>
        <w:t xml:space="preserve"> (najmä vo vzťahu </w:t>
      </w:r>
      <w:r w:rsidR="003F1C41">
        <w:rPr>
          <w:rFonts w:asciiTheme="minorHAnsi" w:hAnsiTheme="minorHAnsi" w:cstheme="minorHAnsi"/>
          <w:sz w:val="22"/>
          <w:szCs w:val="22"/>
        </w:rPr>
        <w:t>ku „konsolidačnému balíčku“ Vlády SR</w:t>
      </w:r>
      <w:r w:rsidR="00A177A7">
        <w:rPr>
          <w:rFonts w:asciiTheme="minorHAnsi" w:hAnsiTheme="minorHAnsi" w:cstheme="minorHAnsi"/>
          <w:sz w:val="22"/>
          <w:szCs w:val="22"/>
        </w:rPr>
        <w:t xml:space="preserve"> a na to nadväzujúcim</w:t>
      </w:r>
      <w:r>
        <w:rPr>
          <w:rFonts w:asciiTheme="minorHAnsi" w:hAnsiTheme="minorHAnsi" w:cstheme="minorHAnsi"/>
          <w:sz w:val="22"/>
          <w:szCs w:val="22"/>
        </w:rPr>
        <w:t xml:space="preserve"> legislatívnym zmenám týkajúcich sa daňových príjmov samospráv), vládny návrh </w:t>
      </w:r>
      <w:r w:rsidR="00152C18">
        <w:rPr>
          <w:rFonts w:asciiTheme="minorHAnsi" w:hAnsiTheme="minorHAnsi" w:cstheme="minorHAnsi"/>
          <w:sz w:val="22"/>
          <w:szCs w:val="22"/>
        </w:rPr>
        <w:t>rozpočtu verejnej správy na rok 2025</w:t>
      </w:r>
      <w:r w:rsidRPr="002B2D7D">
        <w:rPr>
          <w:rFonts w:asciiTheme="minorHAnsi" w:hAnsiTheme="minorHAnsi" w:cstheme="minorHAnsi"/>
          <w:sz w:val="22"/>
          <w:szCs w:val="22"/>
        </w:rPr>
        <w:t xml:space="preserve"> a daňov</w:t>
      </w:r>
      <w:r>
        <w:rPr>
          <w:rFonts w:asciiTheme="minorHAnsi" w:hAnsiTheme="minorHAnsi" w:cstheme="minorHAnsi"/>
          <w:sz w:val="22"/>
          <w:szCs w:val="22"/>
        </w:rPr>
        <w:t>é</w:t>
      </w:r>
      <w:r w:rsidRPr="002B2D7D">
        <w:rPr>
          <w:rFonts w:asciiTheme="minorHAnsi" w:hAnsiTheme="minorHAnsi" w:cstheme="minorHAnsi"/>
          <w:sz w:val="22"/>
          <w:szCs w:val="22"/>
        </w:rPr>
        <w:t xml:space="preserve"> prognóz</w:t>
      </w:r>
      <w:r>
        <w:rPr>
          <w:rFonts w:asciiTheme="minorHAnsi" w:hAnsiTheme="minorHAnsi" w:cstheme="minorHAnsi"/>
          <w:sz w:val="22"/>
          <w:szCs w:val="22"/>
        </w:rPr>
        <w:t>y</w:t>
      </w:r>
      <w:r w:rsidR="0079268F">
        <w:rPr>
          <w:rFonts w:asciiTheme="minorHAnsi" w:hAnsiTheme="minorHAnsi" w:cstheme="minorHAnsi"/>
          <w:sz w:val="22"/>
          <w:szCs w:val="22"/>
        </w:rPr>
        <w:t xml:space="preserve"> Inštitútu finančnej politiky a Rady pre rozpočtové hospodárenie</w:t>
      </w:r>
      <w:r w:rsidRPr="002B2D7D">
        <w:rPr>
          <w:rFonts w:asciiTheme="minorHAnsi" w:hAnsiTheme="minorHAnsi" w:cstheme="minorHAnsi"/>
          <w:sz w:val="22"/>
          <w:szCs w:val="22"/>
        </w:rPr>
        <w:t xml:space="preserve">. </w:t>
      </w:r>
    </w:p>
    <w:p w14:paraId="0EF4A2FF" w14:textId="77777777" w:rsidR="00541398" w:rsidRPr="00B256F5" w:rsidRDefault="00541398" w:rsidP="00541398">
      <w:pPr>
        <w:tabs>
          <w:tab w:val="left" w:pos="426"/>
        </w:tabs>
        <w:spacing w:after="120"/>
        <w:jc w:val="both"/>
        <w:rPr>
          <w:rFonts w:cstheme="minorHAnsi"/>
        </w:rPr>
      </w:pPr>
      <w:r w:rsidRPr="00B256F5">
        <w:rPr>
          <w:rFonts w:cstheme="minorHAnsi"/>
        </w:rPr>
        <w:t xml:space="preserve">Zoznam predmetných predpisov je uvedený na záver tejto kapitoly. </w:t>
      </w:r>
    </w:p>
    <w:p w14:paraId="5A1DDBB7" w14:textId="77777777" w:rsidR="00541398" w:rsidRPr="002B2D7D" w:rsidRDefault="00541398" w:rsidP="00541398">
      <w:pPr>
        <w:pStyle w:val="Odsekzoznamu"/>
        <w:tabs>
          <w:tab w:val="left" w:pos="426"/>
        </w:tabs>
        <w:spacing w:after="120"/>
        <w:jc w:val="both"/>
        <w:rPr>
          <w:rFonts w:asciiTheme="minorHAnsi" w:hAnsiTheme="minorHAnsi" w:cstheme="minorHAnsi"/>
          <w:sz w:val="22"/>
          <w:szCs w:val="22"/>
        </w:rPr>
      </w:pPr>
      <w:r w:rsidRPr="002B2D7D">
        <w:rPr>
          <w:rFonts w:asciiTheme="minorHAnsi" w:hAnsiTheme="minorHAnsi" w:cstheme="minorHAnsi"/>
          <w:sz w:val="22"/>
          <w:szCs w:val="22"/>
        </w:rPr>
        <w:t xml:space="preserve">Návrh rozpočtu </w:t>
      </w:r>
      <w:r>
        <w:rPr>
          <w:rFonts w:asciiTheme="minorHAnsi" w:hAnsiTheme="minorHAnsi" w:cstheme="minorHAnsi"/>
          <w:sz w:val="22"/>
          <w:szCs w:val="22"/>
        </w:rPr>
        <w:t xml:space="preserve">zároveň </w:t>
      </w:r>
      <w:r w:rsidRPr="002B2D7D">
        <w:rPr>
          <w:rFonts w:asciiTheme="minorHAnsi" w:hAnsiTheme="minorHAnsi" w:cstheme="minorHAnsi"/>
          <w:sz w:val="22"/>
          <w:szCs w:val="22"/>
        </w:rPr>
        <w:t>reaguje na nasledovné východiskové predpoklady a parametre:</w:t>
      </w:r>
    </w:p>
    <w:p w14:paraId="4682D578" w14:textId="158CFD34" w:rsidR="00541398" w:rsidRPr="002B2D7D" w:rsidRDefault="00541398" w:rsidP="00541398">
      <w:pPr>
        <w:pStyle w:val="Odsekzoznamu"/>
        <w:numPr>
          <w:ilvl w:val="0"/>
          <w:numId w:val="4"/>
        </w:numPr>
        <w:tabs>
          <w:tab w:val="left" w:pos="426"/>
        </w:tabs>
        <w:spacing w:before="0" w:beforeAutospacing="0" w:after="0" w:afterAutospacing="0" w:line="276" w:lineRule="auto"/>
        <w:ind w:left="714" w:hanging="357"/>
        <w:jc w:val="both"/>
        <w:rPr>
          <w:rFonts w:asciiTheme="minorHAnsi" w:hAnsiTheme="minorHAnsi" w:cstheme="minorHAnsi"/>
          <w:sz w:val="22"/>
          <w:szCs w:val="22"/>
        </w:rPr>
      </w:pPr>
      <w:r w:rsidRPr="002B2D7D">
        <w:rPr>
          <w:rFonts w:asciiTheme="minorHAnsi" w:hAnsiTheme="minorHAnsi" w:cstheme="minorHAnsi"/>
          <w:sz w:val="22"/>
          <w:szCs w:val="22"/>
        </w:rPr>
        <w:t>vývoj hospodárenia BSK v predchádzajúcich rokoch a očakávanej skutočnosti za rok 20</w:t>
      </w:r>
      <w:r>
        <w:rPr>
          <w:rFonts w:asciiTheme="minorHAnsi" w:hAnsiTheme="minorHAnsi" w:cstheme="minorHAnsi"/>
          <w:sz w:val="22"/>
          <w:szCs w:val="22"/>
        </w:rPr>
        <w:t>2</w:t>
      </w:r>
      <w:r w:rsidR="00152C18">
        <w:rPr>
          <w:rFonts w:asciiTheme="minorHAnsi" w:hAnsiTheme="minorHAnsi" w:cstheme="minorHAnsi"/>
          <w:sz w:val="22"/>
          <w:szCs w:val="22"/>
        </w:rPr>
        <w:t>4</w:t>
      </w:r>
      <w:r>
        <w:rPr>
          <w:rFonts w:asciiTheme="minorHAnsi" w:hAnsiTheme="minorHAnsi" w:cstheme="minorHAnsi"/>
          <w:sz w:val="22"/>
          <w:szCs w:val="22"/>
        </w:rPr>
        <w:t>;</w:t>
      </w:r>
    </w:p>
    <w:p w14:paraId="24443C34" w14:textId="77777777" w:rsidR="00541398" w:rsidRPr="002B2D7D" w:rsidRDefault="00541398" w:rsidP="00541398">
      <w:pPr>
        <w:pStyle w:val="Odsekzoznamu"/>
        <w:numPr>
          <w:ilvl w:val="0"/>
          <w:numId w:val="4"/>
        </w:numPr>
        <w:tabs>
          <w:tab w:val="left" w:pos="426"/>
        </w:tabs>
        <w:spacing w:before="0" w:beforeAutospacing="0" w:after="0" w:afterAutospacing="0" w:line="276" w:lineRule="auto"/>
        <w:ind w:left="714" w:hanging="357"/>
        <w:jc w:val="both"/>
        <w:rPr>
          <w:rFonts w:asciiTheme="minorHAnsi" w:hAnsiTheme="minorHAnsi" w:cstheme="minorHAnsi"/>
          <w:sz w:val="22"/>
          <w:szCs w:val="22"/>
        </w:rPr>
      </w:pPr>
      <w:r w:rsidRPr="002B2D7D">
        <w:rPr>
          <w:rFonts w:asciiTheme="minorHAnsi" w:hAnsiTheme="minorHAnsi" w:cstheme="minorHAnsi"/>
          <w:sz w:val="22"/>
          <w:szCs w:val="22"/>
        </w:rPr>
        <w:t xml:space="preserve">vykonávaný monitoring rozpočtového hospodárenia BSK </w:t>
      </w:r>
      <w:r>
        <w:rPr>
          <w:rFonts w:asciiTheme="minorHAnsi" w:hAnsiTheme="minorHAnsi" w:cstheme="minorHAnsi"/>
          <w:sz w:val="22"/>
          <w:szCs w:val="22"/>
        </w:rPr>
        <w:t xml:space="preserve">v bežnom roku </w:t>
      </w:r>
      <w:r w:rsidRPr="002B2D7D">
        <w:rPr>
          <w:rFonts w:asciiTheme="minorHAnsi" w:hAnsiTheme="minorHAnsi" w:cstheme="minorHAnsi"/>
          <w:sz w:val="22"/>
          <w:szCs w:val="22"/>
        </w:rPr>
        <w:t>v rámci štvrťročného vyhodnocovania čerpania rozpočtu</w:t>
      </w:r>
      <w:r>
        <w:rPr>
          <w:rFonts w:asciiTheme="minorHAnsi" w:hAnsiTheme="minorHAnsi" w:cstheme="minorHAnsi"/>
          <w:sz w:val="22"/>
          <w:szCs w:val="22"/>
        </w:rPr>
        <w:t>, vrátane investičného plánu;</w:t>
      </w:r>
    </w:p>
    <w:p w14:paraId="68C66809" w14:textId="77777777" w:rsidR="00541398" w:rsidRDefault="00541398" w:rsidP="00541398">
      <w:pPr>
        <w:pStyle w:val="Odsekzoznamu"/>
        <w:numPr>
          <w:ilvl w:val="0"/>
          <w:numId w:val="4"/>
        </w:numPr>
        <w:tabs>
          <w:tab w:val="left" w:pos="426"/>
        </w:tabs>
        <w:spacing w:before="0" w:beforeAutospacing="0" w:after="0" w:afterAutospacing="0" w:line="276" w:lineRule="auto"/>
        <w:ind w:left="714" w:hanging="357"/>
        <w:jc w:val="both"/>
        <w:rPr>
          <w:rFonts w:asciiTheme="minorHAnsi" w:hAnsiTheme="minorHAnsi" w:cstheme="minorHAnsi"/>
          <w:sz w:val="22"/>
          <w:szCs w:val="22"/>
        </w:rPr>
      </w:pPr>
      <w:r w:rsidRPr="002B2D7D">
        <w:rPr>
          <w:rFonts w:asciiTheme="minorHAnsi" w:hAnsiTheme="minorHAnsi" w:cstheme="minorHAnsi"/>
          <w:sz w:val="22"/>
          <w:szCs w:val="22"/>
        </w:rPr>
        <w:t>aktuálne informácie o vývoji na finančných trhoch,</w:t>
      </w:r>
      <w:r>
        <w:rPr>
          <w:rFonts w:asciiTheme="minorHAnsi" w:hAnsiTheme="minorHAnsi" w:cstheme="minorHAnsi"/>
          <w:sz w:val="22"/>
          <w:szCs w:val="22"/>
        </w:rPr>
        <w:t xml:space="preserve"> o daňových prognózach a o </w:t>
      </w:r>
      <w:r w:rsidRPr="002B2D7D">
        <w:rPr>
          <w:rFonts w:asciiTheme="minorHAnsi" w:hAnsiTheme="minorHAnsi" w:cstheme="minorHAnsi"/>
          <w:sz w:val="22"/>
          <w:szCs w:val="22"/>
        </w:rPr>
        <w:t>vývoji ekonomiky v eurozóne a v</w:t>
      </w:r>
      <w:r>
        <w:rPr>
          <w:rFonts w:asciiTheme="minorHAnsi" w:hAnsiTheme="minorHAnsi" w:cstheme="minorHAnsi"/>
          <w:sz w:val="22"/>
          <w:szCs w:val="22"/>
        </w:rPr>
        <w:t> </w:t>
      </w:r>
      <w:r w:rsidRPr="002B2D7D">
        <w:rPr>
          <w:rFonts w:asciiTheme="minorHAnsi" w:hAnsiTheme="minorHAnsi" w:cstheme="minorHAnsi"/>
          <w:sz w:val="22"/>
          <w:szCs w:val="22"/>
        </w:rPr>
        <w:t>SR</w:t>
      </w:r>
      <w:r>
        <w:rPr>
          <w:rFonts w:asciiTheme="minorHAnsi" w:hAnsiTheme="minorHAnsi" w:cstheme="minorHAnsi"/>
          <w:sz w:val="22"/>
          <w:szCs w:val="22"/>
        </w:rPr>
        <w:t xml:space="preserve">, </w:t>
      </w:r>
    </w:p>
    <w:p w14:paraId="1E92169C" w14:textId="3A50C5FA" w:rsidR="00541398" w:rsidRDefault="00541398" w:rsidP="00541398">
      <w:pPr>
        <w:pStyle w:val="Odsekzoznamu"/>
        <w:numPr>
          <w:ilvl w:val="0"/>
          <w:numId w:val="4"/>
        </w:numPr>
        <w:tabs>
          <w:tab w:val="left" w:pos="426"/>
        </w:tabs>
        <w:spacing w:before="0" w:beforeAutospacing="0" w:after="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opatrenia vlády </w:t>
      </w:r>
      <w:r w:rsidR="00CC7E23">
        <w:rPr>
          <w:rFonts w:asciiTheme="minorHAnsi" w:hAnsiTheme="minorHAnsi" w:cstheme="minorHAnsi"/>
          <w:sz w:val="22"/>
          <w:szCs w:val="22"/>
        </w:rPr>
        <w:t>zamerané na konsolidáciu verejných financií („konsolidačný balíček“)</w:t>
      </w:r>
      <w:r>
        <w:rPr>
          <w:rFonts w:asciiTheme="minorHAnsi" w:hAnsiTheme="minorHAnsi" w:cstheme="minorHAnsi"/>
          <w:sz w:val="22"/>
          <w:szCs w:val="22"/>
        </w:rPr>
        <w:t xml:space="preserve"> </w:t>
      </w:r>
    </w:p>
    <w:p w14:paraId="657A2361" w14:textId="3EB11A6D" w:rsidR="00541398" w:rsidRDefault="00541398" w:rsidP="00541398">
      <w:pPr>
        <w:pStyle w:val="Odsekzoznamu"/>
        <w:numPr>
          <w:ilvl w:val="0"/>
          <w:numId w:val="4"/>
        </w:numPr>
        <w:tabs>
          <w:tab w:val="left" w:pos="426"/>
        </w:tabs>
        <w:spacing w:before="0" w:beforeAutospacing="0" w:after="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významné zmeny v oblasti </w:t>
      </w:r>
      <w:r w:rsidR="007124C0">
        <w:rPr>
          <w:rFonts w:asciiTheme="minorHAnsi" w:hAnsiTheme="minorHAnsi" w:cstheme="minorHAnsi"/>
          <w:sz w:val="22"/>
          <w:szCs w:val="22"/>
        </w:rPr>
        <w:t xml:space="preserve">prerozdeľovania </w:t>
      </w:r>
      <w:r>
        <w:rPr>
          <w:rFonts w:asciiTheme="minorHAnsi" w:hAnsiTheme="minorHAnsi" w:cstheme="minorHAnsi"/>
          <w:sz w:val="22"/>
          <w:szCs w:val="22"/>
        </w:rPr>
        <w:t xml:space="preserve">daňových príjmov </w:t>
      </w:r>
      <w:r w:rsidR="007124C0">
        <w:rPr>
          <w:rFonts w:asciiTheme="minorHAnsi" w:hAnsiTheme="minorHAnsi" w:cstheme="minorHAnsi"/>
          <w:sz w:val="22"/>
          <w:szCs w:val="22"/>
        </w:rPr>
        <w:t>samospráv</w:t>
      </w:r>
      <w:r>
        <w:rPr>
          <w:rFonts w:asciiTheme="minorHAnsi" w:hAnsiTheme="minorHAnsi" w:cstheme="minorHAnsi"/>
          <w:sz w:val="22"/>
          <w:szCs w:val="22"/>
        </w:rPr>
        <w:t>;</w:t>
      </w:r>
    </w:p>
    <w:p w14:paraId="19AC2FBC" w14:textId="77777777" w:rsidR="00541398" w:rsidRPr="00060284" w:rsidRDefault="00541398" w:rsidP="00541398">
      <w:pPr>
        <w:pStyle w:val="Odsekzoznamu"/>
        <w:numPr>
          <w:ilvl w:val="0"/>
          <w:numId w:val="4"/>
        </w:numPr>
        <w:tabs>
          <w:tab w:val="left" w:pos="426"/>
        </w:tabs>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vývoj a rozsah zverených kompetencií.</w:t>
      </w:r>
    </w:p>
    <w:p w14:paraId="7DAFFD8F" w14:textId="77777777" w:rsidR="00541398" w:rsidRPr="002B2D7D" w:rsidRDefault="00541398" w:rsidP="00815911">
      <w:pPr>
        <w:pStyle w:val="Odsekzoznamu"/>
        <w:tabs>
          <w:tab w:val="left" w:pos="426"/>
        </w:tabs>
        <w:jc w:val="both"/>
        <w:rPr>
          <w:rFonts w:asciiTheme="minorHAnsi" w:hAnsiTheme="minorHAnsi" w:cstheme="minorHAnsi"/>
          <w:sz w:val="22"/>
          <w:szCs w:val="22"/>
        </w:rPr>
      </w:pPr>
      <w:r w:rsidRPr="002B2D7D">
        <w:rPr>
          <w:rFonts w:asciiTheme="minorHAnsi" w:hAnsiTheme="minorHAnsi" w:cstheme="minorHAnsi"/>
          <w:sz w:val="22"/>
          <w:szCs w:val="22"/>
        </w:rPr>
        <w:t xml:space="preserve">Finančné vzťahy Bratislavského samosprávneho kraja sa </w:t>
      </w:r>
      <w:r>
        <w:rPr>
          <w:rFonts w:asciiTheme="minorHAnsi" w:hAnsiTheme="minorHAnsi" w:cstheme="minorHAnsi"/>
          <w:sz w:val="22"/>
          <w:szCs w:val="22"/>
        </w:rPr>
        <w:t>realizujú</w:t>
      </w:r>
      <w:r w:rsidRPr="002B2D7D">
        <w:rPr>
          <w:rFonts w:asciiTheme="minorHAnsi" w:hAnsiTheme="minorHAnsi" w:cstheme="minorHAnsi"/>
          <w:sz w:val="22"/>
          <w:szCs w:val="22"/>
        </w:rPr>
        <w:t xml:space="preserve"> predovšetkým prostredníctvom </w:t>
      </w:r>
      <w:r w:rsidRPr="008317E3">
        <w:rPr>
          <w:rFonts w:asciiTheme="minorHAnsi" w:hAnsiTheme="minorHAnsi" w:cstheme="minorHAnsi"/>
          <w:sz w:val="22"/>
          <w:szCs w:val="22"/>
          <w:u w:val="single"/>
        </w:rPr>
        <w:t>daňových príjmov</w:t>
      </w:r>
      <w:r w:rsidRPr="002B2D7D">
        <w:rPr>
          <w:rFonts w:asciiTheme="minorHAnsi" w:hAnsiTheme="minorHAnsi" w:cstheme="minorHAnsi"/>
          <w:sz w:val="22"/>
          <w:szCs w:val="22"/>
        </w:rPr>
        <w:t xml:space="preserve">, prostredníctvom </w:t>
      </w:r>
      <w:r w:rsidRPr="008317E3">
        <w:rPr>
          <w:rFonts w:asciiTheme="minorHAnsi" w:hAnsiTheme="minorHAnsi" w:cstheme="minorHAnsi"/>
          <w:sz w:val="22"/>
          <w:szCs w:val="22"/>
          <w:u w:val="single"/>
        </w:rPr>
        <w:t>dotácií</w:t>
      </w:r>
      <w:r w:rsidRPr="002B2D7D">
        <w:rPr>
          <w:rFonts w:asciiTheme="minorHAnsi" w:hAnsiTheme="minorHAnsi" w:cstheme="minorHAnsi"/>
          <w:sz w:val="22"/>
          <w:szCs w:val="22"/>
        </w:rPr>
        <w:t xml:space="preserve"> z príslušných rozpočtových kapitol</w:t>
      </w:r>
      <w:r>
        <w:rPr>
          <w:rFonts w:asciiTheme="minorHAnsi" w:hAnsiTheme="minorHAnsi" w:cstheme="minorHAnsi"/>
          <w:sz w:val="22"/>
          <w:szCs w:val="22"/>
        </w:rPr>
        <w:t xml:space="preserve"> štátneho rozpočtu</w:t>
      </w:r>
      <w:r w:rsidRPr="002B2D7D">
        <w:rPr>
          <w:rFonts w:asciiTheme="minorHAnsi" w:hAnsiTheme="minorHAnsi" w:cstheme="minorHAnsi"/>
          <w:sz w:val="22"/>
          <w:szCs w:val="22"/>
        </w:rPr>
        <w:t>,</w:t>
      </w:r>
      <w:r>
        <w:rPr>
          <w:rFonts w:asciiTheme="minorHAnsi" w:hAnsiTheme="minorHAnsi" w:cstheme="minorHAnsi"/>
          <w:sz w:val="22"/>
          <w:szCs w:val="22"/>
        </w:rPr>
        <w:t xml:space="preserve"> </w:t>
      </w:r>
      <w:r w:rsidRPr="008317E3">
        <w:rPr>
          <w:rFonts w:asciiTheme="minorHAnsi" w:hAnsiTheme="minorHAnsi" w:cstheme="minorHAnsi"/>
          <w:sz w:val="22"/>
          <w:szCs w:val="22"/>
          <w:u w:val="single"/>
        </w:rPr>
        <w:t>grantov</w:t>
      </w:r>
      <w:r>
        <w:rPr>
          <w:rFonts w:asciiTheme="minorHAnsi" w:hAnsiTheme="minorHAnsi" w:cstheme="minorHAnsi"/>
          <w:sz w:val="22"/>
          <w:szCs w:val="22"/>
        </w:rPr>
        <w:t xml:space="preserve"> z európskych fondov,</w:t>
      </w:r>
      <w:r w:rsidRPr="002B2D7D">
        <w:rPr>
          <w:rFonts w:asciiTheme="minorHAnsi" w:hAnsiTheme="minorHAnsi" w:cstheme="minorHAnsi"/>
          <w:sz w:val="22"/>
          <w:szCs w:val="22"/>
        </w:rPr>
        <w:t xml:space="preserve"> ale aj čerpaním </w:t>
      </w:r>
      <w:r w:rsidRPr="008317E3">
        <w:rPr>
          <w:rFonts w:asciiTheme="minorHAnsi" w:hAnsiTheme="minorHAnsi" w:cstheme="minorHAnsi"/>
          <w:sz w:val="22"/>
          <w:szCs w:val="22"/>
          <w:u w:val="single"/>
        </w:rPr>
        <w:t>úverov</w:t>
      </w:r>
      <w:r>
        <w:rPr>
          <w:rFonts w:asciiTheme="minorHAnsi" w:hAnsiTheme="minorHAnsi" w:cstheme="minorHAnsi"/>
          <w:sz w:val="22"/>
          <w:szCs w:val="22"/>
          <w:u w:val="single"/>
        </w:rPr>
        <w:t>, návratných finančných výpomocí</w:t>
      </w:r>
      <w:r w:rsidRPr="002B2D7D">
        <w:rPr>
          <w:rFonts w:asciiTheme="minorHAnsi" w:hAnsiTheme="minorHAnsi" w:cstheme="minorHAnsi"/>
          <w:sz w:val="22"/>
          <w:szCs w:val="22"/>
        </w:rPr>
        <w:t xml:space="preserve"> a</w:t>
      </w:r>
      <w:r>
        <w:rPr>
          <w:rFonts w:asciiTheme="minorHAnsi" w:hAnsiTheme="minorHAnsi" w:cstheme="minorHAnsi"/>
          <w:sz w:val="22"/>
          <w:szCs w:val="22"/>
        </w:rPr>
        <w:t> </w:t>
      </w:r>
      <w:r w:rsidRPr="002B2D7D">
        <w:rPr>
          <w:rFonts w:asciiTheme="minorHAnsi" w:hAnsiTheme="minorHAnsi" w:cstheme="minorHAnsi"/>
          <w:sz w:val="22"/>
          <w:szCs w:val="22"/>
        </w:rPr>
        <w:t>použitím</w:t>
      </w:r>
      <w:r>
        <w:rPr>
          <w:rFonts w:asciiTheme="minorHAnsi" w:hAnsiTheme="minorHAnsi" w:cstheme="minorHAnsi"/>
          <w:sz w:val="22"/>
          <w:szCs w:val="22"/>
        </w:rPr>
        <w:t xml:space="preserve"> prostriedkov</w:t>
      </w:r>
      <w:r w:rsidRPr="002B2D7D">
        <w:rPr>
          <w:rFonts w:asciiTheme="minorHAnsi" w:hAnsiTheme="minorHAnsi" w:cstheme="minorHAnsi"/>
          <w:sz w:val="22"/>
          <w:szCs w:val="22"/>
        </w:rPr>
        <w:t xml:space="preserve"> rezervného fondu. </w:t>
      </w:r>
    </w:p>
    <w:p w14:paraId="639F54FA" w14:textId="77777777" w:rsidR="00541398" w:rsidRDefault="00541398" w:rsidP="00541398">
      <w:pPr>
        <w:pStyle w:val="Odsekzoznamu"/>
        <w:tabs>
          <w:tab w:val="left" w:pos="426"/>
        </w:tabs>
        <w:spacing w:after="120"/>
        <w:jc w:val="both"/>
        <w:rPr>
          <w:rFonts w:asciiTheme="minorHAnsi" w:hAnsiTheme="minorHAnsi" w:cstheme="minorHAnsi"/>
          <w:sz w:val="22"/>
          <w:szCs w:val="22"/>
        </w:rPr>
      </w:pPr>
      <w:r w:rsidRPr="002B2D7D">
        <w:rPr>
          <w:rFonts w:asciiTheme="minorHAnsi" w:hAnsiTheme="minorHAnsi" w:cstheme="minorHAnsi"/>
          <w:sz w:val="22"/>
          <w:szCs w:val="22"/>
        </w:rPr>
        <w:t xml:space="preserve">Formou dotácií zo štátneho rozpočtu z príslušných kapitol sa </w:t>
      </w:r>
      <w:r>
        <w:rPr>
          <w:rFonts w:asciiTheme="minorHAnsi" w:hAnsiTheme="minorHAnsi" w:cstheme="minorHAnsi"/>
          <w:sz w:val="22"/>
          <w:szCs w:val="22"/>
        </w:rPr>
        <w:t>financujú predovšetkým</w:t>
      </w:r>
      <w:r w:rsidRPr="002B2D7D">
        <w:rPr>
          <w:rFonts w:asciiTheme="minorHAnsi" w:hAnsiTheme="minorHAnsi" w:cstheme="minorHAnsi"/>
          <w:sz w:val="22"/>
          <w:szCs w:val="22"/>
        </w:rPr>
        <w:t xml:space="preserve"> kompetencie preneseného výkonu štátnej správy</w:t>
      </w:r>
      <w:r>
        <w:rPr>
          <w:rFonts w:asciiTheme="minorHAnsi" w:hAnsiTheme="minorHAnsi" w:cstheme="minorHAnsi"/>
          <w:sz w:val="22"/>
          <w:szCs w:val="22"/>
        </w:rPr>
        <w:t xml:space="preserve"> na úseku vzdelávania</w:t>
      </w:r>
      <w:r w:rsidRPr="002B2D7D">
        <w:rPr>
          <w:rFonts w:asciiTheme="minorHAnsi" w:hAnsiTheme="minorHAnsi" w:cstheme="minorHAnsi"/>
          <w:sz w:val="22"/>
          <w:szCs w:val="22"/>
        </w:rPr>
        <w:t xml:space="preserve"> a niektoré ďalšie úlohy spojené najmä s realizáciou projektov v rámci štrukturálnych fondov EÚ, napr. v súvislosti s podporou regionálneho rozvoja </w:t>
      </w:r>
      <w:r>
        <w:rPr>
          <w:rFonts w:asciiTheme="minorHAnsi" w:hAnsiTheme="minorHAnsi" w:cstheme="minorHAnsi"/>
          <w:sz w:val="22"/>
          <w:szCs w:val="22"/>
        </w:rPr>
        <w:t>VÚC</w:t>
      </w:r>
      <w:r w:rsidRPr="002B2D7D">
        <w:rPr>
          <w:rFonts w:asciiTheme="minorHAnsi" w:hAnsiTheme="minorHAnsi" w:cstheme="minorHAnsi"/>
          <w:sz w:val="22"/>
          <w:szCs w:val="22"/>
        </w:rPr>
        <w:t>.</w:t>
      </w:r>
    </w:p>
    <w:p w14:paraId="728BE8BD" w14:textId="77777777" w:rsidR="00541398" w:rsidRPr="00DB7017" w:rsidRDefault="00541398" w:rsidP="00794A14">
      <w:pPr>
        <w:pStyle w:val="Odsekzoznamu"/>
        <w:numPr>
          <w:ilvl w:val="0"/>
          <w:numId w:val="11"/>
        </w:numPr>
        <w:tabs>
          <w:tab w:val="left" w:pos="426"/>
        </w:tabs>
        <w:spacing w:after="120"/>
        <w:ind w:hanging="720"/>
        <w:jc w:val="both"/>
        <w:rPr>
          <w:rFonts w:asciiTheme="minorHAnsi" w:hAnsiTheme="minorHAnsi" w:cstheme="minorHAnsi"/>
          <w:b/>
          <w:bCs/>
          <w:color w:val="2F5496" w:themeColor="accent1" w:themeShade="BF"/>
        </w:rPr>
      </w:pPr>
      <w:r w:rsidRPr="00DB7017">
        <w:rPr>
          <w:rFonts w:asciiTheme="minorHAnsi" w:hAnsiTheme="minorHAnsi" w:cstheme="minorHAnsi"/>
          <w:b/>
          <w:bCs/>
          <w:color w:val="2F5496" w:themeColor="accent1" w:themeShade="BF"/>
        </w:rPr>
        <w:t>Príjmy a príjmové finančné operácie</w:t>
      </w:r>
    </w:p>
    <w:p w14:paraId="7C6C8667" w14:textId="77777777" w:rsidR="00541398" w:rsidRPr="002B2D7D" w:rsidRDefault="00541398" w:rsidP="00541398">
      <w:pPr>
        <w:pStyle w:val="Odsekzoznamu"/>
        <w:numPr>
          <w:ilvl w:val="0"/>
          <w:numId w:val="3"/>
        </w:numPr>
        <w:tabs>
          <w:tab w:val="left" w:pos="426"/>
        </w:tabs>
        <w:spacing w:before="0" w:beforeAutospacing="0" w:after="120" w:afterAutospacing="0" w:line="276" w:lineRule="auto"/>
        <w:ind w:left="0" w:firstLine="0"/>
        <w:jc w:val="both"/>
        <w:rPr>
          <w:rFonts w:asciiTheme="minorHAnsi" w:hAnsiTheme="minorHAnsi" w:cstheme="minorHAnsi"/>
          <w:b/>
          <w:szCs w:val="22"/>
        </w:rPr>
      </w:pPr>
      <w:r w:rsidRPr="002B2D7D">
        <w:rPr>
          <w:rFonts w:asciiTheme="minorHAnsi" w:hAnsiTheme="minorHAnsi" w:cstheme="minorHAnsi"/>
          <w:b/>
          <w:szCs w:val="22"/>
        </w:rPr>
        <w:t>Daň z príjmov fyzických osôb</w:t>
      </w:r>
    </w:p>
    <w:p w14:paraId="6A6D2569" w14:textId="2746B238" w:rsidR="00541398" w:rsidRDefault="00541398" w:rsidP="00541398">
      <w:pPr>
        <w:pStyle w:val="Odsekzoznamu"/>
        <w:tabs>
          <w:tab w:val="left" w:pos="426"/>
        </w:tabs>
        <w:jc w:val="both"/>
        <w:rPr>
          <w:rFonts w:asciiTheme="minorHAnsi" w:hAnsiTheme="minorHAnsi" w:cstheme="minorHAnsi"/>
          <w:sz w:val="22"/>
          <w:szCs w:val="22"/>
        </w:rPr>
      </w:pPr>
      <w:r>
        <w:rPr>
          <w:rFonts w:asciiTheme="minorHAnsi" w:hAnsiTheme="minorHAnsi" w:cstheme="minorHAnsi"/>
          <w:sz w:val="22"/>
          <w:szCs w:val="22"/>
        </w:rPr>
        <w:t>Väčšina originálnych kompetencií BSK je financovaná prostredníctvom výnosu z dane z príjmov fyzických osôb</w:t>
      </w:r>
      <w:r w:rsidR="0085037A">
        <w:rPr>
          <w:rFonts w:asciiTheme="minorHAnsi" w:hAnsiTheme="minorHAnsi" w:cstheme="minorHAnsi"/>
          <w:sz w:val="22"/>
          <w:szCs w:val="22"/>
        </w:rPr>
        <w:t xml:space="preserve"> (ďalej len „DPFO“)</w:t>
      </w:r>
      <w:r w:rsidRPr="002B2D7D">
        <w:rPr>
          <w:rFonts w:asciiTheme="minorHAnsi" w:hAnsiTheme="minorHAnsi" w:cstheme="minorHAnsi"/>
          <w:sz w:val="22"/>
          <w:szCs w:val="22"/>
        </w:rPr>
        <w:t>.</w:t>
      </w:r>
      <w:r>
        <w:rPr>
          <w:rFonts w:asciiTheme="minorHAnsi" w:hAnsiTheme="minorHAnsi" w:cstheme="minorHAnsi"/>
          <w:sz w:val="22"/>
          <w:szCs w:val="22"/>
        </w:rPr>
        <w:t xml:space="preserve"> Prerozdelenie výnosu tejto dane medzi jednotlivé VÚC prebieha podľa šestice parametrov (v tabuľke nižšie) a následne ešte podľa koeficientu nastaveného v Nariadení Vlády SR č. 668/2004 o rozdeľovaní výnosu dane z príjmov územnej samospráve. Toto prerozdelenie však nereflektuje špecifiká BSK, predovšetkým všeobecne vyššia mzdová (až o 40% oproti priemeru zvyšku SR) a cenová úroveň (najmä vyššie ceny služieb a nehnuteľností) v BSK oproti zvyšku SR.</w:t>
      </w:r>
    </w:p>
    <w:p w14:paraId="7841210E" w14:textId="77777777" w:rsidR="00541398" w:rsidRDefault="00541398"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V rámci samotného nastavenia a výnosu DPFO prichádzalo v posledných rokoch k viacerým negatívnym zmenám z pohľadu VÚC. </w:t>
      </w:r>
      <w:r w:rsidRPr="002B2D7D">
        <w:rPr>
          <w:rFonts w:asciiTheme="minorHAnsi" w:hAnsiTheme="minorHAnsi" w:cstheme="minorHAnsi"/>
          <w:sz w:val="22"/>
          <w:szCs w:val="22"/>
        </w:rPr>
        <w:t xml:space="preserve"> </w:t>
      </w:r>
    </w:p>
    <w:p w14:paraId="759E1636" w14:textId="77777777" w:rsidR="00541398" w:rsidRDefault="00541398"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V roku 2019 prišlo k významnej zmene vo výške výnosu z tejto dane pre VÚC, nakoľko sa zvýšila nezdaniteľná časť základu dane z príjmov fyzických osôb (z 19,2 násobku životného minima na 21 násobok) a pre BSK to malo za následok výpadok daňových príjmov na úrovni 5 mil. EUR v roku 2020. V roku 2020 prišlo k výpadku týchto príjmov z dôvodu </w:t>
      </w:r>
      <w:r>
        <w:rPr>
          <w:rFonts w:asciiTheme="minorHAnsi" w:hAnsiTheme="minorHAnsi" w:cstheme="minorHAnsi"/>
          <w:sz w:val="22"/>
          <w:szCs w:val="22"/>
        </w:rPr>
        <w:lastRenderedPageBreak/>
        <w:t xml:space="preserve">pandémie COVID-19, v roku 2021 prišlo k opätovnej stabilizácii týchto príjmov s výhľadom na rast v roku 2022 (čo sa aj potvrdilo medziročným nárastom o 11,4 %). </w:t>
      </w:r>
    </w:p>
    <w:p w14:paraId="4CC706D5" w14:textId="46A23ADF" w:rsidR="00541398" w:rsidRDefault="00541398"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V roku 2022 však prišlo k sérii legislatívnych zmien, na základe ktorých bol významným spôsobom zvýšený nárok na daňový bonus na dieťa a tým pádom prišlo k zníženiu daňových príjmov samospráv. Presný finančný dopad týchto zmien sa ťažko vyčísluje, nakoľko nepoznáme štruktúru skutočného uplatnenia si nárokov na daňový bonus jednotlivých zamestnancov. Pri odhadovanom 70% uplatnení si daňového bonusu </w:t>
      </w:r>
      <w:r w:rsidR="00920CBE">
        <w:rPr>
          <w:rFonts w:asciiTheme="minorHAnsi" w:hAnsiTheme="minorHAnsi" w:cstheme="minorHAnsi"/>
          <w:sz w:val="22"/>
          <w:szCs w:val="22"/>
        </w:rPr>
        <w:t>mohol byť však</w:t>
      </w:r>
      <w:r>
        <w:rPr>
          <w:rFonts w:asciiTheme="minorHAnsi" w:hAnsiTheme="minorHAnsi" w:cstheme="minorHAnsi"/>
          <w:sz w:val="22"/>
          <w:szCs w:val="22"/>
        </w:rPr>
        <w:t xml:space="preserve"> celkový dopad na samosprávy vo výške 850 mil. EUR. Národná rada SR schválila kompenzáciu na rok v celkovej výške 326 mil. EUR prostredníctvom podielu na výnose z dane z príjmov právnických osôb</w:t>
      </w:r>
      <w:r w:rsidR="00242101">
        <w:rPr>
          <w:rFonts w:asciiTheme="minorHAnsi" w:hAnsiTheme="minorHAnsi" w:cstheme="minorHAnsi"/>
          <w:sz w:val="22"/>
          <w:szCs w:val="22"/>
        </w:rPr>
        <w:t xml:space="preserve"> (ďalej len „DPPO“)</w:t>
      </w:r>
      <w:r>
        <w:rPr>
          <w:rFonts w:asciiTheme="minorHAnsi" w:hAnsiTheme="minorHAnsi" w:cstheme="minorHAnsi"/>
          <w:sz w:val="22"/>
          <w:szCs w:val="22"/>
        </w:rPr>
        <w:t>, čo však stále znamená finálny dopad na samosprávy vo výške 524 mil. EUR.</w:t>
      </w:r>
    </w:p>
    <w:p w14:paraId="21477E4A" w14:textId="3B76F553" w:rsidR="00680EB4" w:rsidRDefault="00680EB4"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V roku 2023 sa vyššie spomenuté predpoklady potvrd</w:t>
      </w:r>
      <w:r w:rsidR="00510807">
        <w:rPr>
          <w:rFonts w:asciiTheme="minorHAnsi" w:hAnsiTheme="minorHAnsi" w:cstheme="minorHAnsi"/>
          <w:sz w:val="22"/>
          <w:szCs w:val="22"/>
        </w:rPr>
        <w:t>ili</w:t>
      </w:r>
      <w:r w:rsidR="0063616E">
        <w:rPr>
          <w:rFonts w:asciiTheme="minorHAnsi" w:hAnsiTheme="minorHAnsi" w:cstheme="minorHAnsi"/>
          <w:sz w:val="22"/>
          <w:szCs w:val="22"/>
        </w:rPr>
        <w:t>, nakoľko výnos</w:t>
      </w:r>
      <w:r w:rsidR="00E91C46">
        <w:rPr>
          <w:rFonts w:asciiTheme="minorHAnsi" w:hAnsiTheme="minorHAnsi" w:cstheme="minorHAnsi"/>
          <w:sz w:val="22"/>
          <w:szCs w:val="22"/>
        </w:rPr>
        <w:t>y DPFO za rok 2023 budú nižšie oproti roku 2022</w:t>
      </w:r>
      <w:r w:rsidR="0030573A">
        <w:rPr>
          <w:rFonts w:asciiTheme="minorHAnsi" w:hAnsiTheme="minorHAnsi" w:cstheme="minorHAnsi"/>
          <w:sz w:val="22"/>
          <w:szCs w:val="22"/>
        </w:rPr>
        <w:t xml:space="preserve"> a len kompenzácia prostredníctvom poskytnutia časti výnosu DPPO pomôže tomu, že daňové príjmy budú</w:t>
      </w:r>
      <w:r w:rsidR="00A32E4E">
        <w:rPr>
          <w:rFonts w:asciiTheme="minorHAnsi" w:hAnsiTheme="minorHAnsi" w:cstheme="minorHAnsi"/>
          <w:sz w:val="22"/>
          <w:szCs w:val="22"/>
        </w:rPr>
        <w:t xml:space="preserve"> medziročne rásť</w:t>
      </w:r>
      <w:r w:rsidR="00E9531C">
        <w:rPr>
          <w:rFonts w:asciiTheme="minorHAnsi" w:hAnsiTheme="minorHAnsi" w:cstheme="minorHAnsi"/>
          <w:sz w:val="22"/>
          <w:szCs w:val="22"/>
        </w:rPr>
        <w:t xml:space="preserve">. Druhou významnou zmenou, ktorá sa uskutočnila v roku 2023, bolo premietnutie výsledkov </w:t>
      </w:r>
      <w:r w:rsidR="00841861">
        <w:rPr>
          <w:rFonts w:asciiTheme="minorHAnsi" w:hAnsiTheme="minorHAnsi" w:cstheme="minorHAnsi"/>
          <w:sz w:val="22"/>
          <w:szCs w:val="22"/>
        </w:rPr>
        <w:t>s</w:t>
      </w:r>
      <w:r w:rsidR="00E9531C">
        <w:rPr>
          <w:rFonts w:asciiTheme="minorHAnsi" w:hAnsiTheme="minorHAnsi" w:cstheme="minorHAnsi"/>
          <w:sz w:val="22"/>
          <w:szCs w:val="22"/>
        </w:rPr>
        <w:t>čítania obyvateľstva</w:t>
      </w:r>
      <w:r w:rsidR="00841861">
        <w:rPr>
          <w:rFonts w:asciiTheme="minorHAnsi" w:hAnsiTheme="minorHAnsi" w:cstheme="minorHAnsi"/>
          <w:sz w:val="22"/>
          <w:szCs w:val="22"/>
        </w:rPr>
        <w:t xml:space="preserve"> z roku 2021 do prerozdeľovacieho vzorca medzi jednotlivými VÚC. </w:t>
      </w:r>
      <w:r w:rsidR="00890ABE">
        <w:rPr>
          <w:rFonts w:asciiTheme="minorHAnsi" w:hAnsiTheme="minorHAnsi" w:cstheme="minorHAnsi"/>
          <w:sz w:val="22"/>
          <w:szCs w:val="22"/>
        </w:rPr>
        <w:t>Táto zmena spôsobila administratívny nárast daňových príjmov VÚC, ktoré sa nachádzajú na západe SR</w:t>
      </w:r>
      <w:r w:rsidR="00C92226">
        <w:rPr>
          <w:rFonts w:asciiTheme="minorHAnsi" w:hAnsiTheme="minorHAnsi" w:cstheme="minorHAnsi"/>
          <w:sz w:val="22"/>
          <w:szCs w:val="22"/>
        </w:rPr>
        <w:t xml:space="preserve"> (najviac pre BSK)</w:t>
      </w:r>
      <w:r w:rsidR="00890ABE">
        <w:rPr>
          <w:rFonts w:asciiTheme="minorHAnsi" w:hAnsiTheme="minorHAnsi" w:cstheme="minorHAnsi"/>
          <w:sz w:val="22"/>
          <w:szCs w:val="22"/>
        </w:rPr>
        <w:t xml:space="preserve"> </w:t>
      </w:r>
      <w:r w:rsidR="00350987">
        <w:rPr>
          <w:rFonts w:asciiTheme="minorHAnsi" w:hAnsiTheme="minorHAnsi" w:cstheme="minorHAnsi"/>
          <w:sz w:val="22"/>
          <w:szCs w:val="22"/>
        </w:rPr>
        <w:t>a</w:t>
      </w:r>
      <w:r w:rsidR="00C92226">
        <w:rPr>
          <w:rFonts w:asciiTheme="minorHAnsi" w:hAnsiTheme="minorHAnsi" w:cstheme="minorHAnsi"/>
          <w:sz w:val="22"/>
          <w:szCs w:val="22"/>
        </w:rPr>
        <w:t> pokles tých, ktoré sa nachádzajú na východe SR. Okrem iného to znamená, že</w:t>
      </w:r>
      <w:r w:rsidR="00350987">
        <w:rPr>
          <w:rFonts w:asciiTheme="minorHAnsi" w:hAnsiTheme="minorHAnsi" w:cstheme="minorHAnsi"/>
          <w:sz w:val="22"/>
          <w:szCs w:val="22"/>
        </w:rPr>
        <w:t xml:space="preserve"> BSK prakticky desať rokov nedostával toľko finančných zdrojov, na koľko mal podľa prerozdeľovacieho vzorca nárok.</w:t>
      </w:r>
      <w:r w:rsidR="00C92226">
        <w:rPr>
          <w:rFonts w:asciiTheme="minorHAnsi" w:hAnsiTheme="minorHAnsi" w:cstheme="minorHAnsi"/>
          <w:sz w:val="22"/>
          <w:szCs w:val="22"/>
        </w:rPr>
        <w:t xml:space="preserve"> </w:t>
      </w:r>
    </w:p>
    <w:p w14:paraId="5A481DFC" w14:textId="60BCEC75" w:rsidR="00A20D84" w:rsidRDefault="00A20D84"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V roku 2024 </w:t>
      </w:r>
      <w:r w:rsidR="006C06A6">
        <w:rPr>
          <w:rFonts w:asciiTheme="minorHAnsi" w:hAnsiTheme="minorHAnsi" w:cstheme="minorHAnsi"/>
          <w:sz w:val="22"/>
          <w:szCs w:val="22"/>
        </w:rPr>
        <w:t>sa najväčšou zmenou stala zmena podielu samospráv na výnose DPFO</w:t>
      </w:r>
      <w:r w:rsidR="001B24B8">
        <w:rPr>
          <w:rFonts w:asciiTheme="minorHAnsi" w:hAnsiTheme="minorHAnsi" w:cstheme="minorHAnsi"/>
          <w:sz w:val="22"/>
          <w:szCs w:val="22"/>
        </w:rPr>
        <w:t xml:space="preserve">. </w:t>
      </w:r>
      <w:r w:rsidR="00146E5C">
        <w:rPr>
          <w:rFonts w:asciiTheme="minorHAnsi" w:hAnsiTheme="minorHAnsi" w:cstheme="minorHAnsi"/>
          <w:sz w:val="22"/>
          <w:szCs w:val="22"/>
        </w:rPr>
        <w:t>VÚC bol znížený podiel na tomto výnose z 30 % na 29,5 %</w:t>
      </w:r>
      <w:r w:rsidR="008C5ACE">
        <w:rPr>
          <w:rFonts w:asciiTheme="minorHAnsi" w:hAnsiTheme="minorHAnsi" w:cstheme="minorHAnsi"/>
          <w:sz w:val="22"/>
          <w:szCs w:val="22"/>
        </w:rPr>
        <w:t>. Táto zmena znamená znížený podiel BSK na tejto dani vo výške približne</w:t>
      </w:r>
      <w:r w:rsidR="004B5936">
        <w:rPr>
          <w:rFonts w:asciiTheme="minorHAnsi" w:hAnsiTheme="minorHAnsi" w:cstheme="minorHAnsi"/>
          <w:sz w:val="22"/>
          <w:szCs w:val="22"/>
        </w:rPr>
        <w:t xml:space="preserve"> 2,5 mil. EUR</w:t>
      </w:r>
    </w:p>
    <w:p w14:paraId="0DDA7A0B" w14:textId="3DD80D2B" w:rsidR="00541398" w:rsidRPr="002B2D7D" w:rsidRDefault="007D5766"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Jednotlivé parametre</w:t>
      </w:r>
      <w:r w:rsidR="009D5629">
        <w:rPr>
          <w:rFonts w:asciiTheme="minorHAnsi" w:hAnsiTheme="minorHAnsi" w:cstheme="minorHAnsi"/>
          <w:sz w:val="22"/>
          <w:szCs w:val="22"/>
        </w:rPr>
        <w:t>, ktoré ovplyvňujú prerozdelenie daňových príjmov medzi jednotlivé VÚC</w:t>
      </w:r>
      <w:r>
        <w:rPr>
          <w:rFonts w:asciiTheme="minorHAnsi" w:hAnsiTheme="minorHAnsi" w:cstheme="minorHAnsi"/>
          <w:sz w:val="22"/>
          <w:szCs w:val="22"/>
        </w:rPr>
        <w:t xml:space="preserve">, sa v rámci BSK vyvíjajú </w:t>
      </w:r>
      <w:r w:rsidR="004E297F">
        <w:rPr>
          <w:rFonts w:asciiTheme="minorHAnsi" w:hAnsiTheme="minorHAnsi" w:cstheme="minorHAnsi"/>
          <w:sz w:val="22"/>
          <w:szCs w:val="22"/>
        </w:rPr>
        <w:t>nasledovne</w:t>
      </w:r>
      <w:r w:rsidR="00541398" w:rsidRPr="002B2D7D">
        <w:rPr>
          <w:rFonts w:asciiTheme="minorHAnsi" w:hAnsiTheme="minorHAnsi" w:cstheme="minorHAnsi"/>
          <w:sz w:val="22"/>
          <w:szCs w:val="22"/>
        </w:rPr>
        <w:t xml:space="preserve">: </w:t>
      </w:r>
    </w:p>
    <w:p w14:paraId="1188AB8D" w14:textId="77777777" w:rsidR="00541398" w:rsidRDefault="00541398" w:rsidP="00541398">
      <w:pPr>
        <w:pStyle w:val="Odsekzoznamu"/>
        <w:numPr>
          <w:ilvl w:val="0"/>
          <w:numId w:val="6"/>
        </w:numPr>
        <w:tabs>
          <w:tab w:val="left" w:pos="426"/>
        </w:tabs>
        <w:spacing w:before="0" w:beforeAutospacing="0" w:after="60" w:afterAutospacing="0" w:line="276" w:lineRule="auto"/>
        <w:ind w:left="714" w:hanging="357"/>
        <w:jc w:val="both"/>
        <w:rPr>
          <w:rFonts w:asciiTheme="minorHAnsi" w:hAnsiTheme="minorHAnsi" w:cstheme="minorHAnsi"/>
          <w:sz w:val="22"/>
          <w:szCs w:val="22"/>
        </w:rPr>
      </w:pPr>
      <w:r w:rsidRPr="002B2D7D">
        <w:rPr>
          <w:rFonts w:asciiTheme="minorHAnsi" w:hAnsiTheme="minorHAnsi" w:cstheme="minorHAnsi"/>
          <w:sz w:val="22"/>
          <w:szCs w:val="22"/>
        </w:rPr>
        <w:t>pozitívne vyvíja celkový počet obyvateľov</w:t>
      </w:r>
      <w:r>
        <w:rPr>
          <w:rFonts w:asciiTheme="minorHAnsi" w:hAnsiTheme="minorHAnsi" w:cstheme="minorHAnsi"/>
          <w:sz w:val="22"/>
          <w:szCs w:val="22"/>
        </w:rPr>
        <w:t xml:space="preserve"> kraja</w:t>
      </w:r>
      <w:r w:rsidRPr="002B2D7D">
        <w:rPr>
          <w:rFonts w:asciiTheme="minorHAnsi" w:hAnsiTheme="minorHAnsi" w:cstheme="minorHAnsi"/>
          <w:sz w:val="22"/>
          <w:szCs w:val="22"/>
        </w:rPr>
        <w:t xml:space="preserve"> </w:t>
      </w:r>
      <w:r w:rsidRPr="002B2D7D">
        <w:rPr>
          <w:rFonts w:asciiTheme="minorHAnsi" w:hAnsiTheme="minorHAnsi" w:cstheme="minorHAnsi"/>
          <w:i/>
          <w:sz w:val="22"/>
          <w:szCs w:val="22"/>
        </w:rPr>
        <w:t>(za 2 roky nárast o</w:t>
      </w:r>
      <w:r>
        <w:rPr>
          <w:rFonts w:asciiTheme="minorHAnsi" w:hAnsiTheme="minorHAnsi" w:cstheme="minorHAnsi"/>
          <w:i/>
          <w:sz w:val="22"/>
          <w:szCs w:val="22"/>
        </w:rPr>
        <w:t xml:space="preserve"> 17 426). </w:t>
      </w:r>
      <w:r w:rsidRPr="00D104CD">
        <w:rPr>
          <w:rFonts w:asciiTheme="minorHAnsi" w:hAnsiTheme="minorHAnsi" w:cstheme="minorHAnsi"/>
          <w:sz w:val="22"/>
          <w:szCs w:val="22"/>
        </w:rPr>
        <w:t>Podstatný je aj fakt, že rastie podiel obyvateľov BSK voči celkovému počtu obyvateľov Slovenska</w:t>
      </w:r>
    </w:p>
    <w:p w14:paraId="4329F280" w14:textId="77777777" w:rsidR="00541398" w:rsidRPr="0017361C" w:rsidRDefault="00541398" w:rsidP="00541398">
      <w:pPr>
        <w:pStyle w:val="Odsekzoznamu"/>
        <w:numPr>
          <w:ilvl w:val="0"/>
          <w:numId w:val="6"/>
        </w:numPr>
        <w:tabs>
          <w:tab w:val="left" w:pos="426"/>
        </w:tabs>
        <w:spacing w:before="0" w:beforeAutospacing="0" w:after="60" w:afterAutospacing="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rastie aj</w:t>
      </w:r>
      <w:r w:rsidRPr="002B2D7D">
        <w:rPr>
          <w:rFonts w:asciiTheme="minorHAnsi" w:hAnsiTheme="minorHAnsi" w:cstheme="minorHAnsi"/>
          <w:sz w:val="22"/>
          <w:szCs w:val="22"/>
        </w:rPr>
        <w:t xml:space="preserve"> počet obyvateľov vo veku 15-18 rokov </w:t>
      </w:r>
      <w:r w:rsidRPr="002B2D7D">
        <w:rPr>
          <w:rFonts w:asciiTheme="minorHAnsi" w:hAnsiTheme="minorHAnsi" w:cstheme="minorHAnsi"/>
          <w:i/>
          <w:sz w:val="22"/>
          <w:szCs w:val="22"/>
        </w:rPr>
        <w:t>(za 2 roky nárast o</w:t>
      </w:r>
      <w:r>
        <w:rPr>
          <w:rFonts w:asciiTheme="minorHAnsi" w:hAnsiTheme="minorHAnsi" w:cstheme="minorHAnsi"/>
          <w:i/>
          <w:sz w:val="22"/>
          <w:szCs w:val="22"/>
        </w:rPr>
        <w:t> 2 041)</w:t>
      </w:r>
      <w:r w:rsidRPr="00C33E9F">
        <w:rPr>
          <w:rFonts w:asciiTheme="minorHAnsi" w:hAnsiTheme="minorHAnsi" w:cstheme="minorHAnsi"/>
          <w:iCs/>
          <w:sz w:val="22"/>
          <w:szCs w:val="22"/>
        </w:rPr>
        <w:t xml:space="preserve">, čo </w:t>
      </w:r>
      <w:r>
        <w:rPr>
          <w:rFonts w:asciiTheme="minorHAnsi" w:hAnsiTheme="minorHAnsi" w:cstheme="minorHAnsi"/>
          <w:iCs/>
          <w:sz w:val="22"/>
          <w:szCs w:val="22"/>
        </w:rPr>
        <w:t>má</w:t>
      </w:r>
      <w:r w:rsidRPr="00C33E9F">
        <w:rPr>
          <w:rFonts w:asciiTheme="minorHAnsi" w:hAnsiTheme="minorHAnsi" w:cstheme="minorHAnsi"/>
          <w:iCs/>
          <w:sz w:val="22"/>
          <w:szCs w:val="22"/>
        </w:rPr>
        <w:t xml:space="preserve"> určitý vplyv na počet žiakov v strednom školstve</w:t>
      </w:r>
    </w:p>
    <w:p w14:paraId="3B48EDC5" w14:textId="77777777" w:rsidR="00541398" w:rsidRPr="0017361C" w:rsidRDefault="00541398" w:rsidP="00541398">
      <w:pPr>
        <w:pStyle w:val="Odsekzoznamu"/>
        <w:numPr>
          <w:ilvl w:val="0"/>
          <w:numId w:val="6"/>
        </w:numPr>
        <w:tabs>
          <w:tab w:val="left" w:pos="426"/>
        </w:tabs>
        <w:spacing w:before="0" w:beforeAutospacing="0" w:after="60" w:afterAutospacing="0" w:line="276" w:lineRule="auto"/>
        <w:ind w:left="714" w:hanging="357"/>
        <w:jc w:val="both"/>
        <w:rPr>
          <w:rFonts w:asciiTheme="minorHAnsi" w:hAnsiTheme="minorHAnsi" w:cstheme="minorHAnsi"/>
          <w:sz w:val="22"/>
          <w:szCs w:val="22"/>
        </w:rPr>
      </w:pPr>
      <w:r w:rsidRPr="002B2D7D">
        <w:rPr>
          <w:rFonts w:asciiTheme="minorHAnsi" w:hAnsiTheme="minorHAnsi" w:cstheme="minorHAnsi"/>
          <w:sz w:val="22"/>
          <w:szCs w:val="22"/>
        </w:rPr>
        <w:t xml:space="preserve">pozitívne </w:t>
      </w:r>
      <w:r>
        <w:rPr>
          <w:rFonts w:asciiTheme="minorHAnsi" w:hAnsiTheme="minorHAnsi" w:cstheme="minorHAnsi"/>
          <w:sz w:val="22"/>
          <w:szCs w:val="22"/>
        </w:rPr>
        <w:t xml:space="preserve">sa </w:t>
      </w:r>
      <w:r w:rsidRPr="002B2D7D">
        <w:rPr>
          <w:rFonts w:asciiTheme="minorHAnsi" w:hAnsiTheme="minorHAnsi" w:cstheme="minorHAnsi"/>
          <w:sz w:val="22"/>
          <w:szCs w:val="22"/>
        </w:rPr>
        <w:t xml:space="preserve">vyvíja počet obyvateľov nad 62 rokov </w:t>
      </w:r>
      <w:r w:rsidRPr="002B2D7D">
        <w:rPr>
          <w:rFonts w:asciiTheme="minorHAnsi" w:hAnsiTheme="minorHAnsi" w:cstheme="minorHAnsi"/>
          <w:i/>
          <w:sz w:val="22"/>
          <w:szCs w:val="22"/>
        </w:rPr>
        <w:t>(za 2 roky nárast o</w:t>
      </w:r>
      <w:r>
        <w:rPr>
          <w:rFonts w:asciiTheme="minorHAnsi" w:hAnsiTheme="minorHAnsi" w:cstheme="minorHAnsi"/>
          <w:i/>
          <w:sz w:val="22"/>
          <w:szCs w:val="22"/>
        </w:rPr>
        <w:t xml:space="preserve"> 6 228), </w:t>
      </w:r>
      <w:r w:rsidRPr="00444DFB">
        <w:rPr>
          <w:rFonts w:asciiTheme="minorHAnsi" w:hAnsiTheme="minorHAnsi" w:cstheme="minorHAnsi"/>
          <w:iCs/>
          <w:sz w:val="22"/>
          <w:szCs w:val="22"/>
        </w:rPr>
        <w:t>čo implikuje väčšie nároky v oblasti sociálnych služieb</w:t>
      </w:r>
    </w:p>
    <w:p w14:paraId="77D66D2A" w14:textId="2E6AF401" w:rsidR="00541398" w:rsidRDefault="00541398" w:rsidP="0038601B">
      <w:pPr>
        <w:pStyle w:val="Odsekzoznamu"/>
        <w:numPr>
          <w:ilvl w:val="0"/>
          <w:numId w:val="6"/>
        </w:numPr>
        <w:tabs>
          <w:tab w:val="left" w:pos="426"/>
        </w:tabs>
        <w:spacing w:before="0" w:beforeAutospacing="0" w:after="120" w:afterAutospacing="0" w:line="276" w:lineRule="auto"/>
        <w:jc w:val="both"/>
        <w:rPr>
          <w:rFonts w:asciiTheme="minorHAnsi" w:hAnsiTheme="minorHAnsi" w:cstheme="minorHAnsi"/>
          <w:sz w:val="22"/>
          <w:szCs w:val="22"/>
        </w:rPr>
      </w:pPr>
      <w:r w:rsidRPr="009948E4">
        <w:rPr>
          <w:rFonts w:asciiTheme="minorHAnsi" w:hAnsiTheme="minorHAnsi" w:cstheme="minorHAnsi"/>
          <w:sz w:val="22"/>
          <w:szCs w:val="22"/>
        </w:rPr>
        <w:t>z </w:t>
      </w:r>
      <w:r>
        <w:rPr>
          <w:rFonts w:asciiTheme="minorHAnsi" w:hAnsiTheme="minorHAnsi" w:cstheme="minorHAnsi"/>
          <w:sz w:val="22"/>
          <w:szCs w:val="22"/>
        </w:rPr>
        <w:t>odvodených</w:t>
      </w:r>
      <w:r w:rsidRPr="009948E4">
        <w:rPr>
          <w:rFonts w:asciiTheme="minorHAnsi" w:hAnsiTheme="minorHAnsi" w:cstheme="minorHAnsi"/>
          <w:sz w:val="22"/>
          <w:szCs w:val="22"/>
        </w:rPr>
        <w:t xml:space="preserve"> ukazovateľov rastie pri konštantnej rozlohe BSK parameter počtu obyvateľov na 1km</w:t>
      </w:r>
      <w:r w:rsidRPr="009948E4">
        <w:rPr>
          <w:rFonts w:asciiTheme="minorHAnsi" w:hAnsiTheme="minorHAnsi" w:cstheme="minorHAnsi"/>
          <w:sz w:val="22"/>
          <w:szCs w:val="22"/>
          <w:vertAlign w:val="superscript"/>
        </w:rPr>
        <w:t>2</w:t>
      </w:r>
      <w:r w:rsidRPr="009948E4">
        <w:rPr>
          <w:rFonts w:asciiTheme="minorHAnsi" w:hAnsiTheme="minorHAnsi" w:cstheme="minorHAnsi"/>
          <w:sz w:val="22"/>
          <w:szCs w:val="22"/>
        </w:rPr>
        <w:t>,</w:t>
      </w:r>
      <w:r>
        <w:rPr>
          <w:rFonts w:asciiTheme="minorHAnsi" w:hAnsiTheme="minorHAnsi" w:cstheme="minorHAnsi"/>
          <w:sz w:val="22"/>
          <w:szCs w:val="22"/>
        </w:rPr>
        <w:t>, čo je však pri štruktúre vzorca na prerozdelenie príjmov negatívny prínos. Váha tohto parametra je však nižšia ako celkový počet obyvateľov.</w:t>
      </w:r>
    </w:p>
    <w:p w14:paraId="0473D2EF" w14:textId="43690294" w:rsidR="00541398" w:rsidRDefault="00715FFF" w:rsidP="00715FFF">
      <w:pPr>
        <w:tabs>
          <w:tab w:val="left" w:pos="426"/>
        </w:tabs>
        <w:spacing w:after="60" w:line="276" w:lineRule="auto"/>
        <w:jc w:val="center"/>
        <w:rPr>
          <w:rFonts w:cstheme="minorHAnsi"/>
        </w:rPr>
      </w:pPr>
      <w:r w:rsidRPr="00715FFF">
        <w:rPr>
          <w:rFonts w:cstheme="minorHAnsi"/>
          <w:noProof/>
        </w:rPr>
        <w:drawing>
          <wp:inline distT="0" distB="0" distL="0" distR="0" wp14:anchorId="3BD4E4E9" wp14:editId="1D118005">
            <wp:extent cx="5781675" cy="1847850"/>
            <wp:effectExtent l="0" t="0" r="9525" b="0"/>
            <wp:docPr id="1175317447"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1847850"/>
                    </a:xfrm>
                    <a:prstGeom prst="rect">
                      <a:avLst/>
                    </a:prstGeom>
                    <a:noFill/>
                    <a:ln>
                      <a:noFill/>
                    </a:ln>
                  </pic:spPr>
                </pic:pic>
              </a:graphicData>
            </a:graphic>
          </wp:inline>
        </w:drawing>
      </w:r>
    </w:p>
    <w:p w14:paraId="6A6FD74A" w14:textId="77777777" w:rsidR="00541398" w:rsidRDefault="00541398" w:rsidP="00541398">
      <w:pPr>
        <w:tabs>
          <w:tab w:val="left" w:pos="426"/>
        </w:tabs>
        <w:spacing w:after="60" w:line="276" w:lineRule="auto"/>
        <w:jc w:val="both"/>
        <w:rPr>
          <w:rFonts w:cstheme="minorHAnsi"/>
        </w:rPr>
      </w:pPr>
    </w:p>
    <w:p w14:paraId="5FA32220" w14:textId="19C408E3" w:rsidR="00541398" w:rsidRPr="003F1E16" w:rsidRDefault="00541398" w:rsidP="00541398">
      <w:pPr>
        <w:tabs>
          <w:tab w:val="left" w:pos="426"/>
        </w:tabs>
        <w:spacing w:after="60" w:line="240" w:lineRule="auto"/>
        <w:jc w:val="both"/>
        <w:rPr>
          <w:rFonts w:cstheme="minorHAnsi"/>
        </w:rPr>
      </w:pPr>
      <w:r w:rsidRPr="003F1E16">
        <w:rPr>
          <w:rFonts w:cstheme="minorHAnsi"/>
        </w:rPr>
        <w:t>Pri prerozdeľovaní výnosu z DPFO je však dôležitý nielen samotný vývoj ukazovateľov v rámci BSK, ale aj porovnanie voči vývoju ukazovateľov v ostatných VÚC, nakoľko sa prerozdeľuje zhora ohraničená výška finančných prostriedkov. Preto nie je dôležitý len samotný rast ukazovateľa, ale aj jeho podiel na celkovom počte v rámci celého SR. Po stabilizovaní vzorca na prerozdelenie DPFO medzi jednotlivé kraje v roku 2018 rastie každým rokom podiel BSK na daňových príjmoch pre VÚC</w:t>
      </w:r>
      <w:r w:rsidR="007E55A8">
        <w:rPr>
          <w:rFonts w:cstheme="minorHAnsi"/>
        </w:rPr>
        <w:t xml:space="preserve"> (čo sa ešte zrýchlilo pri prepočte v roku 2023)</w:t>
      </w:r>
      <w:r w:rsidRPr="003F1E16">
        <w:rPr>
          <w:rFonts w:cstheme="minorHAnsi"/>
        </w:rPr>
        <w:t>. Treba však povedať, že BSK bolo v rámci reformy prerozdelenia daňových príjmov mierne diskriminované (nastavením silného koeficientu solidarity s ostatnými krajmi) a vývojom od roku 2018 sa tento jav len odstraňuje.</w:t>
      </w:r>
      <w:r>
        <w:rPr>
          <w:rFonts w:cstheme="minorHAnsi"/>
        </w:rPr>
        <w:t xml:space="preserve"> A stále toto prerozdelenie nereflektuje špecifické problémy BSK spomenuté na začiatku tejto kapitoly.</w:t>
      </w:r>
    </w:p>
    <w:p w14:paraId="10610337" w14:textId="77777777" w:rsidR="00541398" w:rsidRDefault="00541398" w:rsidP="00541398">
      <w:pPr>
        <w:pStyle w:val="Odsekzoznamu"/>
        <w:tabs>
          <w:tab w:val="left" w:pos="426"/>
        </w:tabs>
        <w:spacing w:after="120"/>
        <w:jc w:val="both"/>
        <w:rPr>
          <w:rFonts w:asciiTheme="minorHAnsi" w:hAnsiTheme="minorHAnsi" w:cstheme="minorHAnsi"/>
          <w:sz w:val="22"/>
          <w:szCs w:val="22"/>
        </w:rPr>
      </w:pPr>
      <w:r w:rsidRPr="002B2D7D">
        <w:rPr>
          <w:rFonts w:asciiTheme="minorHAnsi" w:hAnsiTheme="minorHAnsi" w:cstheme="minorHAnsi"/>
          <w:sz w:val="22"/>
          <w:szCs w:val="22"/>
        </w:rPr>
        <w:lastRenderedPageBreak/>
        <w:t xml:space="preserve">Grafické znázornenie jednotlivých parametrov </w:t>
      </w:r>
      <w:r>
        <w:rPr>
          <w:rFonts w:asciiTheme="minorHAnsi" w:hAnsiTheme="minorHAnsi" w:cstheme="minorHAnsi"/>
          <w:sz w:val="22"/>
          <w:szCs w:val="22"/>
        </w:rPr>
        <w:t xml:space="preserve">určených MF SR pre jednotlivé roky </w:t>
      </w:r>
      <w:r w:rsidRPr="002B2D7D">
        <w:rPr>
          <w:rFonts w:asciiTheme="minorHAnsi" w:hAnsiTheme="minorHAnsi" w:cstheme="minorHAnsi"/>
          <w:sz w:val="22"/>
          <w:szCs w:val="22"/>
        </w:rPr>
        <w:t xml:space="preserve">ovplyvňujúcich daň z príjmu fyzických osôb poskytuje jasný obraz o tom, ktoré trendy sú v BSK pozitívne a kde naopak BSK z vývoja parametrov </w:t>
      </w:r>
      <w:proofErr w:type="spellStart"/>
      <w:r w:rsidRPr="002B2D7D">
        <w:rPr>
          <w:rFonts w:asciiTheme="minorHAnsi" w:hAnsiTheme="minorHAnsi" w:cstheme="minorHAnsi"/>
          <w:sz w:val="22"/>
          <w:szCs w:val="22"/>
        </w:rPr>
        <w:t>nebenefituje</w:t>
      </w:r>
      <w:proofErr w:type="spellEnd"/>
      <w:r w:rsidRPr="002B2D7D">
        <w:rPr>
          <w:rFonts w:asciiTheme="minorHAnsi" w:hAnsiTheme="minorHAnsi" w:cstheme="minorHAnsi"/>
          <w:sz w:val="22"/>
          <w:szCs w:val="22"/>
        </w:rPr>
        <w:t>. Počet detí/žiakov a študentov vo veku 15 až 18 rokov je ovplyvnený demografickým vývojom</w:t>
      </w:r>
      <w:r>
        <w:rPr>
          <w:rFonts w:asciiTheme="minorHAnsi" w:hAnsiTheme="minorHAnsi" w:cstheme="minorHAnsi"/>
          <w:sz w:val="22"/>
          <w:szCs w:val="22"/>
        </w:rPr>
        <w:t>, momentálne mierne rastúci v rámci BSK a aj v najbližších rokoch sa predpokladá pozitívny smer tohto trendu, nakoľko do tejto kategórie vstupujú početne silnejšie ročníky</w:t>
      </w:r>
      <w:r w:rsidRPr="002B2D7D">
        <w:rPr>
          <w:rFonts w:asciiTheme="minorHAnsi" w:hAnsiTheme="minorHAnsi" w:cstheme="minorHAnsi"/>
          <w:sz w:val="22"/>
          <w:szCs w:val="22"/>
        </w:rPr>
        <w:t>.</w:t>
      </w:r>
    </w:p>
    <w:p w14:paraId="74C5036F" w14:textId="77777777" w:rsidR="00541398" w:rsidRDefault="00541398" w:rsidP="00815911">
      <w:pPr>
        <w:pStyle w:val="Odsekzoznamu"/>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Treba však dodať, že </w:t>
      </w:r>
      <w:r w:rsidRPr="00944BAF">
        <w:rPr>
          <w:rFonts w:asciiTheme="minorHAnsi" w:hAnsiTheme="minorHAnsi" w:cstheme="minorHAnsi"/>
          <w:b/>
          <w:bCs/>
          <w:sz w:val="22"/>
          <w:szCs w:val="22"/>
        </w:rPr>
        <w:t>rast podielu ob</w:t>
      </w:r>
      <w:r>
        <w:rPr>
          <w:rFonts w:asciiTheme="minorHAnsi" w:hAnsiTheme="minorHAnsi" w:cstheme="minorHAnsi"/>
          <w:b/>
          <w:bCs/>
          <w:sz w:val="22"/>
          <w:szCs w:val="22"/>
        </w:rPr>
        <w:t>yva</w:t>
      </w:r>
      <w:r w:rsidRPr="00944BAF">
        <w:rPr>
          <w:rFonts w:asciiTheme="minorHAnsi" w:hAnsiTheme="minorHAnsi" w:cstheme="minorHAnsi"/>
          <w:b/>
          <w:bCs/>
          <w:sz w:val="22"/>
          <w:szCs w:val="22"/>
        </w:rPr>
        <w:t>teľstva v kategóriách 15-18 rokov a 62+ síce prináša dodatočné zdroje do rozpočtu BSK</w:t>
      </w:r>
      <w:r>
        <w:rPr>
          <w:rFonts w:asciiTheme="minorHAnsi" w:hAnsiTheme="minorHAnsi" w:cstheme="minorHAnsi"/>
          <w:sz w:val="22"/>
          <w:szCs w:val="22"/>
        </w:rPr>
        <w:t xml:space="preserve">, avšak na druhej strane to znamená, že </w:t>
      </w:r>
      <w:r w:rsidRPr="00944BAF">
        <w:rPr>
          <w:rFonts w:asciiTheme="minorHAnsi" w:hAnsiTheme="minorHAnsi" w:cstheme="minorHAnsi"/>
          <w:b/>
          <w:bCs/>
          <w:sz w:val="22"/>
          <w:szCs w:val="22"/>
        </w:rPr>
        <w:t>výdavky na školský a sociálny systém takisto budú rásť</w:t>
      </w:r>
      <w:r>
        <w:rPr>
          <w:rFonts w:asciiTheme="minorHAnsi" w:hAnsiTheme="minorHAnsi" w:cstheme="minorHAnsi"/>
          <w:sz w:val="22"/>
          <w:szCs w:val="22"/>
        </w:rPr>
        <w:t>, nakoľko sa zvýši počet stredoškolských študentov a takisto počet klientov využívajúcich sociálne zariadenia.</w:t>
      </w:r>
    </w:p>
    <w:p w14:paraId="4521AAD7" w14:textId="3D3B50BD" w:rsidR="00541398" w:rsidRDefault="00786709" w:rsidP="00541398">
      <w:pPr>
        <w:pStyle w:val="Odsekzoznamu"/>
        <w:tabs>
          <w:tab w:val="left" w:pos="426"/>
        </w:tabs>
        <w:spacing w:after="120"/>
        <w:jc w:val="center"/>
        <w:rPr>
          <w:rFonts w:asciiTheme="minorHAnsi" w:hAnsiTheme="minorHAnsi" w:cstheme="minorHAnsi"/>
          <w:sz w:val="22"/>
          <w:szCs w:val="22"/>
        </w:rPr>
      </w:pPr>
      <w:r w:rsidRPr="00786709">
        <w:rPr>
          <w:rFonts w:asciiTheme="minorHAnsi" w:hAnsiTheme="minorHAnsi" w:cstheme="minorHAnsi"/>
          <w:noProof/>
          <w:sz w:val="22"/>
          <w:szCs w:val="22"/>
        </w:rPr>
        <w:drawing>
          <wp:inline distT="0" distB="0" distL="0" distR="0" wp14:anchorId="552341BD" wp14:editId="450B5904">
            <wp:extent cx="6645910" cy="3984625"/>
            <wp:effectExtent l="0" t="0" r="2540" b="0"/>
            <wp:docPr id="755585035"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3984625"/>
                    </a:xfrm>
                    <a:prstGeom prst="rect">
                      <a:avLst/>
                    </a:prstGeom>
                    <a:noFill/>
                    <a:ln>
                      <a:noFill/>
                    </a:ln>
                  </pic:spPr>
                </pic:pic>
              </a:graphicData>
            </a:graphic>
          </wp:inline>
        </w:drawing>
      </w:r>
    </w:p>
    <w:p w14:paraId="37A3DB23" w14:textId="11C7D333" w:rsidR="00541398" w:rsidRDefault="00541398" w:rsidP="00541398">
      <w:pPr>
        <w:pStyle w:val="Odsekzoznamu"/>
        <w:tabs>
          <w:tab w:val="left" w:pos="426"/>
        </w:tabs>
        <w:spacing w:after="120"/>
        <w:rPr>
          <w:rFonts w:asciiTheme="minorHAnsi" w:hAnsiTheme="minorHAnsi" w:cstheme="minorHAnsi"/>
          <w:sz w:val="22"/>
          <w:szCs w:val="22"/>
        </w:rPr>
      </w:pPr>
      <w:r>
        <w:rPr>
          <w:rFonts w:asciiTheme="minorHAnsi" w:hAnsiTheme="minorHAnsi" w:cstheme="minorHAnsi"/>
          <w:sz w:val="22"/>
          <w:szCs w:val="22"/>
        </w:rPr>
        <w:t>Vývoj daňových príjmov v rokoch 202</w:t>
      </w:r>
      <w:r w:rsidR="0038601B">
        <w:rPr>
          <w:rFonts w:asciiTheme="minorHAnsi" w:hAnsiTheme="minorHAnsi" w:cstheme="minorHAnsi"/>
          <w:sz w:val="22"/>
          <w:szCs w:val="22"/>
        </w:rPr>
        <w:t>2</w:t>
      </w:r>
      <w:r>
        <w:rPr>
          <w:rFonts w:asciiTheme="minorHAnsi" w:hAnsiTheme="minorHAnsi" w:cstheme="minorHAnsi"/>
          <w:sz w:val="22"/>
          <w:szCs w:val="22"/>
        </w:rPr>
        <w:t xml:space="preserve"> až 202</w:t>
      </w:r>
      <w:r w:rsidR="0038601B">
        <w:rPr>
          <w:rFonts w:asciiTheme="minorHAnsi" w:hAnsiTheme="minorHAnsi" w:cstheme="minorHAnsi"/>
          <w:sz w:val="22"/>
          <w:szCs w:val="22"/>
        </w:rPr>
        <w:t>7</w:t>
      </w:r>
      <w:r>
        <w:rPr>
          <w:rFonts w:asciiTheme="minorHAnsi" w:hAnsiTheme="minorHAnsi" w:cstheme="minorHAnsi"/>
          <w:sz w:val="22"/>
          <w:szCs w:val="22"/>
        </w:rPr>
        <w:t xml:space="preserve"> znázorňuje nasledujúci graf:</w:t>
      </w:r>
    </w:p>
    <w:p w14:paraId="241AB02C" w14:textId="718A7DF7" w:rsidR="00541398" w:rsidRDefault="00E53C98" w:rsidP="00541398">
      <w:pPr>
        <w:pStyle w:val="Odsekzoznamu"/>
        <w:tabs>
          <w:tab w:val="left" w:pos="426"/>
        </w:tabs>
        <w:spacing w:after="120"/>
        <w:jc w:val="center"/>
        <w:rPr>
          <w:rFonts w:asciiTheme="minorHAnsi" w:hAnsiTheme="minorHAnsi" w:cstheme="minorHAnsi"/>
          <w:sz w:val="22"/>
          <w:szCs w:val="22"/>
        </w:rPr>
      </w:pPr>
      <w:r w:rsidRPr="00E53C98">
        <w:rPr>
          <w:rFonts w:asciiTheme="minorHAnsi" w:hAnsiTheme="minorHAnsi" w:cstheme="minorHAnsi"/>
          <w:noProof/>
          <w:sz w:val="22"/>
          <w:szCs w:val="22"/>
        </w:rPr>
        <w:drawing>
          <wp:inline distT="0" distB="0" distL="0" distR="0" wp14:anchorId="0DC8F001" wp14:editId="2B5585E8">
            <wp:extent cx="5019675" cy="2857500"/>
            <wp:effectExtent l="0" t="0" r="9525" b="0"/>
            <wp:docPr id="32253760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2857500"/>
                    </a:xfrm>
                    <a:prstGeom prst="rect">
                      <a:avLst/>
                    </a:prstGeom>
                    <a:noFill/>
                    <a:ln>
                      <a:noFill/>
                    </a:ln>
                  </pic:spPr>
                </pic:pic>
              </a:graphicData>
            </a:graphic>
          </wp:inline>
        </w:drawing>
      </w:r>
    </w:p>
    <w:p w14:paraId="2EE55563" w14:textId="77777777" w:rsidR="00541398" w:rsidRDefault="00541398"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Použité skratky: (S) – skutočnosť, (SR) – schválený rozpočet, (OS) – očakávaná skutočnosť, (N) – návrh rozpočtu</w:t>
      </w:r>
    </w:p>
    <w:p w14:paraId="2F0982CB" w14:textId="77777777" w:rsidR="00541398" w:rsidRPr="002B2D7D" w:rsidRDefault="00541398" w:rsidP="00541398">
      <w:pPr>
        <w:pStyle w:val="Odsekzoznamu"/>
        <w:numPr>
          <w:ilvl w:val="0"/>
          <w:numId w:val="3"/>
        </w:numPr>
        <w:tabs>
          <w:tab w:val="left" w:pos="426"/>
        </w:tabs>
        <w:spacing w:before="0" w:beforeAutospacing="0" w:after="120" w:afterAutospacing="0" w:line="276" w:lineRule="auto"/>
        <w:ind w:left="0" w:firstLine="0"/>
        <w:jc w:val="both"/>
        <w:rPr>
          <w:rFonts w:asciiTheme="minorHAnsi" w:hAnsiTheme="minorHAnsi" w:cstheme="minorHAnsi"/>
          <w:b/>
          <w:szCs w:val="22"/>
        </w:rPr>
      </w:pPr>
      <w:r w:rsidRPr="002B2D7D">
        <w:rPr>
          <w:rFonts w:asciiTheme="minorHAnsi" w:hAnsiTheme="minorHAnsi" w:cstheme="minorHAnsi"/>
          <w:b/>
          <w:szCs w:val="22"/>
        </w:rPr>
        <w:lastRenderedPageBreak/>
        <w:t xml:space="preserve">Nedaňové príjmy </w:t>
      </w:r>
    </w:p>
    <w:p w14:paraId="1AEB78B2" w14:textId="65B9E04D" w:rsidR="00541398" w:rsidRDefault="00541398" w:rsidP="009A7E59">
      <w:pPr>
        <w:pStyle w:val="Odsekzoznamu"/>
        <w:tabs>
          <w:tab w:val="left" w:pos="426"/>
        </w:tabs>
        <w:spacing w:after="0" w:afterAutospacing="0"/>
        <w:jc w:val="both"/>
        <w:rPr>
          <w:rFonts w:asciiTheme="minorHAnsi" w:hAnsiTheme="minorHAnsi" w:cstheme="minorHAnsi"/>
          <w:sz w:val="22"/>
          <w:szCs w:val="22"/>
        </w:rPr>
      </w:pPr>
      <w:r>
        <w:rPr>
          <w:rFonts w:asciiTheme="minorHAnsi" w:hAnsiTheme="minorHAnsi" w:cstheme="minorHAnsi"/>
          <w:sz w:val="22"/>
          <w:szCs w:val="22"/>
          <w:u w:val="single"/>
        </w:rPr>
        <w:t>N</w:t>
      </w:r>
      <w:r w:rsidRPr="00F1668E">
        <w:rPr>
          <w:rFonts w:asciiTheme="minorHAnsi" w:hAnsiTheme="minorHAnsi" w:cstheme="minorHAnsi"/>
          <w:sz w:val="22"/>
          <w:szCs w:val="22"/>
          <w:u w:val="single"/>
        </w:rPr>
        <w:t>edaňové príjmy</w:t>
      </w:r>
      <w:r w:rsidRPr="002B2D7D">
        <w:rPr>
          <w:rFonts w:asciiTheme="minorHAnsi" w:hAnsiTheme="minorHAnsi" w:cstheme="minorHAnsi"/>
          <w:sz w:val="22"/>
          <w:szCs w:val="22"/>
        </w:rPr>
        <w:t xml:space="preserve"> plynú predovšetkým z administratívnych poplatkov, z prenájmu budov a pozemkov a z predaja majetku. </w:t>
      </w:r>
      <w:r>
        <w:rPr>
          <w:rFonts w:asciiTheme="minorHAnsi" w:hAnsiTheme="minorHAnsi" w:cstheme="minorHAnsi"/>
          <w:sz w:val="22"/>
          <w:szCs w:val="22"/>
        </w:rPr>
        <w:t xml:space="preserve">V rokoch 2021 a 2022 boli nedaňové príjmy silno ovplyvnené pandémiou COVID-19, nakoľko BSK prevádzkoval testovacie mobilné odberové miesta a veľkokapacitné očkovacie centrum spolu s výjazdovou očkovacou službou. Tieto činnosti mal preplácané prostredníctvom obcí a mestských častí Bratislavy (testovanie) alebo Ministerstvom zdravotníctva a zdravotných poisťovní (očkovanie). V roku 2022 takisto zahŕňali pokuty uložené prepravcovi v rámci prímestskej autobusovej dopravy. V roku 2023 </w:t>
      </w:r>
      <w:r w:rsidR="00276626">
        <w:rPr>
          <w:rFonts w:asciiTheme="minorHAnsi" w:hAnsiTheme="minorHAnsi" w:cstheme="minorHAnsi"/>
          <w:sz w:val="22"/>
          <w:szCs w:val="22"/>
        </w:rPr>
        <w:t>sa</w:t>
      </w:r>
      <w:r>
        <w:rPr>
          <w:rFonts w:asciiTheme="minorHAnsi" w:hAnsiTheme="minorHAnsi" w:cstheme="minorHAnsi"/>
          <w:sz w:val="22"/>
          <w:szCs w:val="22"/>
        </w:rPr>
        <w:t xml:space="preserve"> nedaňové príjmy z pohľadu svojej štruktúry </w:t>
      </w:r>
      <w:r w:rsidR="00276626">
        <w:rPr>
          <w:rFonts w:asciiTheme="minorHAnsi" w:hAnsiTheme="minorHAnsi" w:cstheme="minorHAnsi"/>
          <w:sz w:val="22"/>
          <w:szCs w:val="22"/>
        </w:rPr>
        <w:t xml:space="preserve">vrátili </w:t>
      </w:r>
      <w:r>
        <w:rPr>
          <w:rFonts w:asciiTheme="minorHAnsi" w:hAnsiTheme="minorHAnsi" w:cstheme="minorHAnsi"/>
          <w:sz w:val="22"/>
          <w:szCs w:val="22"/>
        </w:rPr>
        <w:t xml:space="preserve">na </w:t>
      </w:r>
      <w:r w:rsidR="00276626">
        <w:rPr>
          <w:rFonts w:asciiTheme="minorHAnsi" w:hAnsiTheme="minorHAnsi" w:cstheme="minorHAnsi"/>
          <w:sz w:val="22"/>
          <w:szCs w:val="22"/>
        </w:rPr>
        <w:t>predchádzajúci stav, ich nárast v roku 2023 a 2024 je spôsobený najmä nárastom poplatkov v rámci školstva a sociálnych služieb</w:t>
      </w:r>
      <w:r>
        <w:rPr>
          <w:rFonts w:asciiTheme="minorHAnsi" w:hAnsiTheme="minorHAnsi" w:cstheme="minorHAnsi"/>
          <w:sz w:val="22"/>
          <w:szCs w:val="22"/>
        </w:rPr>
        <w:t>.</w:t>
      </w:r>
      <w:r w:rsidR="00DC3FDA">
        <w:rPr>
          <w:rFonts w:asciiTheme="minorHAnsi" w:hAnsiTheme="minorHAnsi" w:cstheme="minorHAnsi"/>
          <w:sz w:val="22"/>
          <w:szCs w:val="22"/>
        </w:rPr>
        <w:t xml:space="preserve"> V roku 2024 </w:t>
      </w:r>
      <w:r w:rsidR="005774A3">
        <w:rPr>
          <w:rFonts w:asciiTheme="minorHAnsi" w:hAnsiTheme="minorHAnsi" w:cstheme="minorHAnsi"/>
          <w:sz w:val="22"/>
          <w:szCs w:val="22"/>
        </w:rPr>
        <w:t>takisto</w:t>
      </w:r>
      <w:r w:rsidR="00DC3FDA">
        <w:rPr>
          <w:rFonts w:asciiTheme="minorHAnsi" w:hAnsiTheme="minorHAnsi" w:cstheme="minorHAnsi"/>
          <w:sz w:val="22"/>
          <w:szCs w:val="22"/>
        </w:rPr>
        <w:t xml:space="preserve"> </w:t>
      </w:r>
      <w:r w:rsidR="00B12727">
        <w:rPr>
          <w:rFonts w:asciiTheme="minorHAnsi" w:hAnsiTheme="minorHAnsi" w:cstheme="minorHAnsi"/>
          <w:sz w:val="22"/>
          <w:szCs w:val="22"/>
        </w:rPr>
        <w:t>významne rástli</w:t>
      </w:r>
      <w:r w:rsidR="00DC3FDA">
        <w:rPr>
          <w:rFonts w:asciiTheme="minorHAnsi" w:hAnsiTheme="minorHAnsi" w:cstheme="minorHAnsi"/>
          <w:sz w:val="22"/>
          <w:szCs w:val="22"/>
        </w:rPr>
        <w:t xml:space="preserve"> kreditn</w:t>
      </w:r>
      <w:r w:rsidR="00B12727">
        <w:rPr>
          <w:rFonts w:asciiTheme="minorHAnsi" w:hAnsiTheme="minorHAnsi" w:cstheme="minorHAnsi"/>
          <w:sz w:val="22"/>
          <w:szCs w:val="22"/>
        </w:rPr>
        <w:t>é</w:t>
      </w:r>
      <w:r w:rsidR="00DC3FDA">
        <w:rPr>
          <w:rFonts w:asciiTheme="minorHAnsi" w:hAnsiTheme="minorHAnsi" w:cstheme="minorHAnsi"/>
          <w:sz w:val="22"/>
          <w:szCs w:val="22"/>
        </w:rPr>
        <w:t xml:space="preserve"> úrok</w:t>
      </w:r>
      <w:r w:rsidR="00B12727">
        <w:rPr>
          <w:rFonts w:asciiTheme="minorHAnsi" w:hAnsiTheme="minorHAnsi" w:cstheme="minorHAnsi"/>
          <w:sz w:val="22"/>
          <w:szCs w:val="22"/>
        </w:rPr>
        <w:t>y</w:t>
      </w:r>
      <w:r w:rsidR="00DC3FDA">
        <w:rPr>
          <w:rFonts w:asciiTheme="minorHAnsi" w:hAnsiTheme="minorHAnsi" w:cstheme="minorHAnsi"/>
          <w:sz w:val="22"/>
          <w:szCs w:val="22"/>
        </w:rPr>
        <w:t xml:space="preserve"> z </w:t>
      </w:r>
      <w:proofErr w:type="spellStart"/>
      <w:r w:rsidR="00DC3FDA">
        <w:rPr>
          <w:rFonts w:asciiTheme="minorHAnsi" w:hAnsiTheme="minorHAnsi" w:cstheme="minorHAnsi"/>
          <w:sz w:val="22"/>
          <w:szCs w:val="22"/>
        </w:rPr>
        <w:t>úložiek</w:t>
      </w:r>
      <w:proofErr w:type="spellEnd"/>
      <w:r w:rsidR="00DC3FDA">
        <w:rPr>
          <w:rFonts w:asciiTheme="minorHAnsi" w:hAnsiTheme="minorHAnsi" w:cstheme="minorHAnsi"/>
          <w:sz w:val="22"/>
          <w:szCs w:val="22"/>
        </w:rPr>
        <w:t xml:space="preserve"> dočasne voľných finančných prostriedkov</w:t>
      </w:r>
      <w:r w:rsidR="003F76DD">
        <w:rPr>
          <w:rFonts w:asciiTheme="minorHAnsi" w:hAnsiTheme="minorHAnsi" w:cstheme="minorHAnsi"/>
          <w:sz w:val="22"/>
          <w:szCs w:val="22"/>
        </w:rPr>
        <w:t xml:space="preserve"> </w:t>
      </w:r>
      <w:r w:rsidR="005774A3">
        <w:rPr>
          <w:rFonts w:asciiTheme="minorHAnsi" w:hAnsiTheme="minorHAnsi" w:cstheme="minorHAnsi"/>
          <w:sz w:val="22"/>
          <w:szCs w:val="22"/>
        </w:rPr>
        <w:t>a bolo realizované kreditné vyúčtovanie v rámci prímestskej autobusovej dopravy</w:t>
      </w:r>
      <w:r w:rsidR="00DC3FDA">
        <w:rPr>
          <w:rFonts w:asciiTheme="minorHAnsi" w:hAnsiTheme="minorHAnsi" w:cstheme="minorHAnsi"/>
          <w:sz w:val="22"/>
          <w:szCs w:val="22"/>
        </w:rPr>
        <w:t>.</w:t>
      </w:r>
      <w:r w:rsidR="00BC5213">
        <w:rPr>
          <w:rFonts w:asciiTheme="minorHAnsi" w:hAnsiTheme="minorHAnsi" w:cstheme="minorHAnsi"/>
          <w:sz w:val="22"/>
          <w:szCs w:val="22"/>
        </w:rPr>
        <w:t xml:space="preserve"> V roku 2025 predpokladáme návrat do bežného stavu</w:t>
      </w:r>
      <w:r w:rsidR="005107E2">
        <w:rPr>
          <w:rFonts w:asciiTheme="minorHAnsi" w:hAnsiTheme="minorHAnsi" w:cstheme="minorHAnsi"/>
          <w:sz w:val="22"/>
          <w:szCs w:val="22"/>
        </w:rPr>
        <w:t>. Nakoľko v čase zostavovania rozpočtu nie sú isté žiadne kapitálové príjmy z predaja majetku, nerozpočtujeme v tejto časti žiadne finančné prostriedky.</w:t>
      </w:r>
    </w:p>
    <w:p w14:paraId="5681FB10" w14:textId="21BCC180" w:rsidR="00541398" w:rsidRDefault="00541398" w:rsidP="00541398">
      <w:pPr>
        <w:pStyle w:val="Odsekzoznamu"/>
        <w:tabs>
          <w:tab w:val="left" w:pos="426"/>
        </w:tabs>
        <w:spacing w:after="120"/>
        <w:jc w:val="both"/>
        <w:rPr>
          <w:rFonts w:asciiTheme="minorHAnsi" w:hAnsiTheme="minorHAnsi" w:cstheme="minorHAnsi"/>
          <w:sz w:val="22"/>
          <w:szCs w:val="22"/>
        </w:rPr>
      </w:pPr>
      <w:r w:rsidRPr="00B35E75">
        <w:rPr>
          <w:rFonts w:asciiTheme="minorHAnsi" w:hAnsiTheme="minorHAnsi" w:cstheme="minorHAnsi"/>
          <w:noProof/>
          <w:sz w:val="22"/>
          <w:szCs w:val="22"/>
        </w:rPr>
        <mc:AlternateContent>
          <mc:Choice Requires="wps">
            <w:drawing>
              <wp:anchor distT="45720" distB="45720" distL="114300" distR="114300" simplePos="0" relativeHeight="251658242" behindDoc="0" locked="0" layoutInCell="1" allowOverlap="1" wp14:anchorId="1C22A9BD" wp14:editId="78D68761">
                <wp:simplePos x="0" y="0"/>
                <wp:positionH relativeFrom="margin">
                  <wp:posOffset>4718050</wp:posOffset>
                </wp:positionH>
                <wp:positionV relativeFrom="paragraph">
                  <wp:posOffset>33655</wp:posOffset>
                </wp:positionV>
                <wp:extent cx="1917700" cy="2654300"/>
                <wp:effectExtent l="0" t="0" r="6350" b="0"/>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2654300"/>
                        </a:xfrm>
                        <a:prstGeom prst="rect">
                          <a:avLst/>
                        </a:prstGeom>
                        <a:solidFill>
                          <a:srgbClr val="FFFFFF"/>
                        </a:solidFill>
                        <a:ln w="9525">
                          <a:noFill/>
                          <a:miter lim="800000"/>
                          <a:headEnd/>
                          <a:tailEnd/>
                        </a:ln>
                      </wps:spPr>
                      <wps:txbx>
                        <w:txbxContent>
                          <w:p w14:paraId="4F46F6D9" w14:textId="77777777" w:rsidR="00541398" w:rsidRDefault="00541398" w:rsidP="00541398">
                            <w:pPr>
                              <w:spacing w:after="0"/>
                              <w:rPr>
                                <w:i/>
                                <w:iCs/>
                              </w:rPr>
                            </w:pPr>
                          </w:p>
                          <w:p w14:paraId="7078B89F" w14:textId="77777777" w:rsidR="00541398" w:rsidRPr="00FC63E0" w:rsidRDefault="00541398" w:rsidP="00541398">
                            <w:pPr>
                              <w:spacing w:after="0"/>
                              <w:rPr>
                                <w:i/>
                                <w:iCs/>
                              </w:rPr>
                            </w:pPr>
                            <w:r w:rsidRPr="00FC63E0">
                              <w:rPr>
                                <w:i/>
                                <w:iCs/>
                              </w:rPr>
                              <w:t>Nedaňové príjmy – bežné</w:t>
                            </w:r>
                          </w:p>
                          <w:p w14:paraId="624FAB23"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i/>
                                <w:iCs/>
                                <w:sz w:val="22"/>
                                <w:szCs w:val="22"/>
                                <w:lang w:eastAsia="en-US"/>
                              </w:rPr>
                            </w:pPr>
                            <w:r w:rsidRPr="00FC63E0">
                              <w:rPr>
                                <w:rFonts w:asciiTheme="minorHAnsi" w:eastAsiaTheme="minorHAnsi" w:hAnsiTheme="minorHAnsi" w:cstheme="minorBidi"/>
                                <w:i/>
                                <w:iCs/>
                                <w:sz w:val="22"/>
                                <w:szCs w:val="22"/>
                                <w:lang w:eastAsia="en-US"/>
                              </w:rPr>
                              <w:t>Administratívne poplatky</w:t>
                            </w:r>
                          </w:p>
                          <w:p w14:paraId="256555D4"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i/>
                                <w:iCs/>
                                <w:sz w:val="22"/>
                                <w:szCs w:val="22"/>
                                <w:lang w:eastAsia="en-US"/>
                              </w:rPr>
                            </w:pPr>
                            <w:r w:rsidRPr="00FC63E0">
                              <w:rPr>
                                <w:rFonts w:asciiTheme="minorHAnsi" w:eastAsiaTheme="minorHAnsi" w:hAnsiTheme="minorHAnsi" w:cstheme="minorBidi"/>
                                <w:i/>
                                <w:iCs/>
                                <w:sz w:val="22"/>
                                <w:szCs w:val="22"/>
                                <w:lang w:eastAsia="en-US"/>
                              </w:rPr>
                              <w:t>Prenájmy</w:t>
                            </w:r>
                          </w:p>
                          <w:p w14:paraId="3B9A6003"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i/>
                                <w:iCs/>
                                <w:sz w:val="22"/>
                                <w:szCs w:val="22"/>
                                <w:lang w:eastAsia="en-US"/>
                              </w:rPr>
                            </w:pPr>
                            <w:r w:rsidRPr="00FC63E0">
                              <w:rPr>
                                <w:rFonts w:asciiTheme="minorHAnsi" w:eastAsiaTheme="minorHAnsi" w:hAnsiTheme="minorHAnsi" w:cstheme="minorBidi"/>
                                <w:i/>
                                <w:iCs/>
                                <w:sz w:val="22"/>
                                <w:szCs w:val="22"/>
                                <w:lang w:eastAsia="en-US"/>
                              </w:rPr>
                              <w:t>Licencie</w:t>
                            </w:r>
                          </w:p>
                          <w:p w14:paraId="2C621D32"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i/>
                                <w:iCs/>
                                <w:sz w:val="22"/>
                                <w:szCs w:val="22"/>
                                <w:lang w:eastAsia="en-US"/>
                              </w:rPr>
                            </w:pPr>
                            <w:r w:rsidRPr="00FC63E0">
                              <w:rPr>
                                <w:rFonts w:asciiTheme="minorHAnsi" w:eastAsiaTheme="minorHAnsi" w:hAnsiTheme="minorHAnsi" w:cstheme="minorBidi"/>
                                <w:i/>
                                <w:iCs/>
                                <w:sz w:val="22"/>
                                <w:szCs w:val="22"/>
                                <w:lang w:eastAsia="en-US"/>
                              </w:rPr>
                              <w:t>Vratky za energie</w:t>
                            </w:r>
                          </w:p>
                          <w:p w14:paraId="4B06D34A"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i/>
                                <w:iCs/>
                                <w:sz w:val="22"/>
                                <w:szCs w:val="22"/>
                                <w:lang w:eastAsia="en-US"/>
                              </w:rPr>
                            </w:pPr>
                            <w:r w:rsidRPr="00FC63E0">
                              <w:rPr>
                                <w:rFonts w:asciiTheme="minorHAnsi" w:eastAsiaTheme="minorHAnsi" w:hAnsiTheme="minorHAnsi" w:cstheme="minorBidi"/>
                                <w:i/>
                                <w:iCs/>
                                <w:sz w:val="22"/>
                                <w:szCs w:val="22"/>
                                <w:lang w:eastAsia="en-US"/>
                              </w:rPr>
                              <w:t>a iné</w:t>
                            </w:r>
                          </w:p>
                          <w:p w14:paraId="5FE4ACB3" w14:textId="77777777" w:rsidR="00541398" w:rsidRPr="00FC63E0" w:rsidRDefault="00541398" w:rsidP="00541398">
                            <w:pPr>
                              <w:spacing w:after="0"/>
                              <w:ind w:left="51"/>
                              <w:rPr>
                                <w:i/>
                                <w:iCs/>
                              </w:rPr>
                            </w:pPr>
                          </w:p>
                          <w:p w14:paraId="62C241AA" w14:textId="77777777" w:rsidR="00541398" w:rsidRPr="00FC63E0" w:rsidRDefault="00541398" w:rsidP="00541398">
                            <w:pPr>
                              <w:spacing w:after="0"/>
                              <w:rPr>
                                <w:i/>
                                <w:iCs/>
                              </w:rPr>
                            </w:pPr>
                            <w:r w:rsidRPr="00FC63E0">
                              <w:rPr>
                                <w:i/>
                                <w:iCs/>
                              </w:rPr>
                              <w:t>Nedaňové príjmy – kapitálové</w:t>
                            </w:r>
                          </w:p>
                          <w:p w14:paraId="515E1383"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sz w:val="22"/>
                                <w:szCs w:val="22"/>
                                <w:lang w:eastAsia="en-US"/>
                              </w:rPr>
                            </w:pPr>
                            <w:r w:rsidRPr="00FC63E0">
                              <w:rPr>
                                <w:rFonts w:asciiTheme="minorHAnsi" w:eastAsiaTheme="minorHAnsi" w:hAnsiTheme="minorHAnsi" w:cstheme="minorBidi"/>
                                <w:i/>
                                <w:iCs/>
                                <w:sz w:val="22"/>
                                <w:szCs w:val="22"/>
                                <w:lang w:eastAsia="en-US"/>
                              </w:rPr>
                              <w:t>Predaje majetku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A9BD" id="_x0000_t202" coordsize="21600,21600" o:spt="202" path="m,l,21600r21600,l21600,xe">
                <v:stroke joinstyle="miter"/>
                <v:path gradientshapeok="t" o:connecttype="rect"/>
              </v:shapetype>
              <v:shape id="Textové pole 217" o:spid="_x0000_s1026" type="#_x0000_t202" style="position:absolute;left:0;text-align:left;margin-left:371.5pt;margin-top:2.65pt;width:151pt;height:20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" stroked="f">
                <v:textbox>
                  <w:txbxContent>
                    <w:p w14:paraId="4F46F6D9" w14:textId="77777777" w:rsidR="00541398" w:rsidRDefault="00541398" w:rsidP="00541398">
                      <w:pPr>
                        <w:spacing w:after="0"/>
                        <w:rPr>
                          <w:i/>
                          <w:iCs/>
                        </w:rPr>
                      </w:pPr>
                    </w:p>
                    <w:p w14:paraId="7078B89F" w14:textId="77777777" w:rsidR="00541398" w:rsidRPr="00FC63E0" w:rsidRDefault="00541398" w:rsidP="00541398">
                      <w:pPr>
                        <w:spacing w:after="0"/>
                        <w:rPr>
                          <w:i/>
                          <w:iCs/>
                        </w:rPr>
                      </w:pPr>
                      <w:r w:rsidRPr="00FC63E0">
                        <w:rPr>
                          <w:i/>
                          <w:iCs/>
                        </w:rPr>
                        <w:t>Nedaňové príjmy – bežné</w:t>
                      </w:r>
                    </w:p>
                    <w:p w14:paraId="624FAB23"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i/>
                          <w:iCs/>
                          <w:sz w:val="22"/>
                          <w:szCs w:val="22"/>
                          <w:lang w:eastAsia="en-US"/>
                        </w:rPr>
                      </w:pPr>
                      <w:r w:rsidRPr="00FC63E0">
                        <w:rPr>
                          <w:rFonts w:asciiTheme="minorHAnsi" w:eastAsiaTheme="minorHAnsi" w:hAnsiTheme="minorHAnsi" w:cstheme="minorBidi"/>
                          <w:i/>
                          <w:iCs/>
                          <w:sz w:val="22"/>
                          <w:szCs w:val="22"/>
                          <w:lang w:eastAsia="en-US"/>
                        </w:rPr>
                        <w:t>Administratívne poplatky</w:t>
                      </w:r>
                    </w:p>
                    <w:p w14:paraId="256555D4"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i/>
                          <w:iCs/>
                          <w:sz w:val="22"/>
                          <w:szCs w:val="22"/>
                          <w:lang w:eastAsia="en-US"/>
                        </w:rPr>
                      </w:pPr>
                      <w:r w:rsidRPr="00FC63E0">
                        <w:rPr>
                          <w:rFonts w:asciiTheme="minorHAnsi" w:eastAsiaTheme="minorHAnsi" w:hAnsiTheme="minorHAnsi" w:cstheme="minorBidi"/>
                          <w:i/>
                          <w:iCs/>
                          <w:sz w:val="22"/>
                          <w:szCs w:val="22"/>
                          <w:lang w:eastAsia="en-US"/>
                        </w:rPr>
                        <w:t>Prenájmy</w:t>
                      </w:r>
                    </w:p>
                    <w:p w14:paraId="3B9A6003"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i/>
                          <w:iCs/>
                          <w:sz w:val="22"/>
                          <w:szCs w:val="22"/>
                          <w:lang w:eastAsia="en-US"/>
                        </w:rPr>
                      </w:pPr>
                      <w:r w:rsidRPr="00FC63E0">
                        <w:rPr>
                          <w:rFonts w:asciiTheme="minorHAnsi" w:eastAsiaTheme="minorHAnsi" w:hAnsiTheme="minorHAnsi" w:cstheme="minorBidi"/>
                          <w:i/>
                          <w:iCs/>
                          <w:sz w:val="22"/>
                          <w:szCs w:val="22"/>
                          <w:lang w:eastAsia="en-US"/>
                        </w:rPr>
                        <w:t>Licencie</w:t>
                      </w:r>
                    </w:p>
                    <w:p w14:paraId="2C621D32"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i/>
                          <w:iCs/>
                          <w:sz w:val="22"/>
                          <w:szCs w:val="22"/>
                          <w:lang w:eastAsia="en-US"/>
                        </w:rPr>
                      </w:pPr>
                      <w:r w:rsidRPr="00FC63E0">
                        <w:rPr>
                          <w:rFonts w:asciiTheme="minorHAnsi" w:eastAsiaTheme="minorHAnsi" w:hAnsiTheme="minorHAnsi" w:cstheme="minorBidi"/>
                          <w:i/>
                          <w:iCs/>
                          <w:sz w:val="22"/>
                          <w:szCs w:val="22"/>
                          <w:lang w:eastAsia="en-US"/>
                        </w:rPr>
                        <w:t>Vratky za energie</w:t>
                      </w:r>
                    </w:p>
                    <w:p w14:paraId="4B06D34A"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i/>
                          <w:iCs/>
                          <w:sz w:val="22"/>
                          <w:szCs w:val="22"/>
                          <w:lang w:eastAsia="en-US"/>
                        </w:rPr>
                      </w:pPr>
                      <w:r w:rsidRPr="00FC63E0">
                        <w:rPr>
                          <w:rFonts w:asciiTheme="minorHAnsi" w:eastAsiaTheme="minorHAnsi" w:hAnsiTheme="minorHAnsi" w:cstheme="minorBidi"/>
                          <w:i/>
                          <w:iCs/>
                          <w:sz w:val="22"/>
                          <w:szCs w:val="22"/>
                          <w:lang w:eastAsia="en-US"/>
                        </w:rPr>
                        <w:t>a iné</w:t>
                      </w:r>
                    </w:p>
                    <w:p w14:paraId="5FE4ACB3" w14:textId="77777777" w:rsidR="00541398" w:rsidRPr="00FC63E0" w:rsidRDefault="00541398" w:rsidP="00541398">
                      <w:pPr>
                        <w:spacing w:after="0"/>
                        <w:ind w:left="51"/>
                        <w:rPr>
                          <w:i/>
                          <w:iCs/>
                        </w:rPr>
                      </w:pPr>
                    </w:p>
                    <w:p w14:paraId="62C241AA" w14:textId="77777777" w:rsidR="00541398" w:rsidRPr="00FC63E0" w:rsidRDefault="00541398" w:rsidP="00541398">
                      <w:pPr>
                        <w:spacing w:after="0"/>
                        <w:rPr>
                          <w:i/>
                          <w:iCs/>
                        </w:rPr>
                      </w:pPr>
                      <w:r w:rsidRPr="00FC63E0">
                        <w:rPr>
                          <w:i/>
                          <w:iCs/>
                        </w:rPr>
                        <w:t>Nedaňové príjmy – kapitálové</w:t>
                      </w:r>
                    </w:p>
                    <w:p w14:paraId="515E1383" w14:textId="77777777" w:rsidR="00541398" w:rsidRPr="00FC63E0" w:rsidRDefault="00541398" w:rsidP="00794A14">
                      <w:pPr>
                        <w:pStyle w:val="Odsekzoznamu"/>
                        <w:numPr>
                          <w:ilvl w:val="0"/>
                          <w:numId w:val="10"/>
                        </w:numPr>
                        <w:spacing w:before="0" w:beforeAutospacing="0" w:after="0" w:afterAutospacing="0"/>
                        <w:ind w:left="408" w:hanging="357"/>
                        <w:rPr>
                          <w:rFonts w:asciiTheme="minorHAnsi" w:eastAsiaTheme="minorHAnsi" w:hAnsiTheme="minorHAnsi" w:cstheme="minorBidi"/>
                          <w:sz w:val="22"/>
                          <w:szCs w:val="22"/>
                          <w:lang w:eastAsia="en-US"/>
                        </w:rPr>
                      </w:pPr>
                      <w:r w:rsidRPr="00FC63E0">
                        <w:rPr>
                          <w:rFonts w:asciiTheme="minorHAnsi" w:eastAsiaTheme="minorHAnsi" w:hAnsiTheme="minorHAnsi" w:cstheme="minorBidi"/>
                          <w:i/>
                          <w:iCs/>
                          <w:sz w:val="22"/>
                          <w:szCs w:val="22"/>
                          <w:lang w:eastAsia="en-US"/>
                        </w:rPr>
                        <w:t>Predaje majetku</w:t>
                      </w:r>
                    </w:p>
                  </w:txbxContent>
                </v:textbox>
                <w10:wrap type="square" anchorx="margin"/>
              </v:shape>
            </w:pict>
          </mc:Fallback>
        </mc:AlternateContent>
      </w:r>
      <w:r w:rsidR="00B06B22" w:rsidRPr="00B06B22">
        <w:rPr>
          <w:rFonts w:cstheme="minorHAnsi"/>
          <w:noProof/>
        </w:rPr>
        <w:drawing>
          <wp:inline distT="0" distB="0" distL="0" distR="0" wp14:anchorId="31513477" wp14:editId="7DEFAD9B">
            <wp:extent cx="4581525" cy="2752725"/>
            <wp:effectExtent l="0" t="0" r="9525" b="9525"/>
            <wp:docPr id="102306673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538969B5" w14:textId="77777777" w:rsidR="00541398" w:rsidRPr="00BF7E92" w:rsidRDefault="00541398" w:rsidP="00541398">
      <w:pPr>
        <w:pStyle w:val="Odsekzoznamu"/>
        <w:numPr>
          <w:ilvl w:val="0"/>
          <w:numId w:val="3"/>
        </w:numPr>
        <w:tabs>
          <w:tab w:val="left" w:pos="426"/>
        </w:tabs>
        <w:spacing w:before="0" w:beforeAutospacing="0" w:after="120" w:afterAutospacing="0" w:line="276" w:lineRule="auto"/>
        <w:ind w:left="0" w:firstLine="0"/>
        <w:jc w:val="both"/>
        <w:rPr>
          <w:rFonts w:asciiTheme="minorHAnsi" w:hAnsiTheme="minorHAnsi" w:cstheme="minorHAnsi"/>
          <w:b/>
          <w:szCs w:val="22"/>
        </w:rPr>
      </w:pPr>
      <w:r w:rsidRPr="00BF7E92">
        <w:rPr>
          <w:rFonts w:asciiTheme="minorHAnsi" w:hAnsiTheme="minorHAnsi" w:cstheme="minorHAnsi"/>
          <w:b/>
          <w:szCs w:val="22"/>
        </w:rPr>
        <w:t>Granty a transfery</w:t>
      </w:r>
    </w:p>
    <w:p w14:paraId="59A916E0" w14:textId="77777777" w:rsidR="00541398" w:rsidRPr="002B2D7D" w:rsidRDefault="00541398" w:rsidP="00541398">
      <w:pPr>
        <w:pStyle w:val="Odsekzoznamu"/>
        <w:tabs>
          <w:tab w:val="left" w:pos="426"/>
        </w:tabs>
        <w:spacing w:after="120" w:afterAutospacing="0"/>
        <w:jc w:val="both"/>
        <w:rPr>
          <w:rFonts w:asciiTheme="minorHAnsi" w:hAnsiTheme="minorHAnsi" w:cstheme="minorHAnsi"/>
          <w:sz w:val="22"/>
          <w:szCs w:val="22"/>
        </w:rPr>
      </w:pPr>
      <w:r w:rsidRPr="002B2D7D">
        <w:rPr>
          <w:rFonts w:asciiTheme="minorHAnsi" w:hAnsiTheme="minorHAnsi" w:cstheme="minorHAnsi"/>
          <w:sz w:val="22"/>
          <w:szCs w:val="22"/>
        </w:rPr>
        <w:t xml:space="preserve">Zložka </w:t>
      </w:r>
      <w:r w:rsidRPr="00F1668E">
        <w:rPr>
          <w:rFonts w:asciiTheme="minorHAnsi" w:hAnsiTheme="minorHAnsi" w:cstheme="minorHAnsi"/>
          <w:sz w:val="22"/>
          <w:szCs w:val="22"/>
          <w:u w:val="single"/>
        </w:rPr>
        <w:t>granty a transfery</w:t>
      </w:r>
      <w:r w:rsidRPr="002B2D7D">
        <w:rPr>
          <w:rFonts w:asciiTheme="minorHAnsi" w:hAnsiTheme="minorHAnsi" w:cstheme="minorHAnsi"/>
          <w:sz w:val="22"/>
          <w:szCs w:val="22"/>
        </w:rPr>
        <w:t xml:space="preserve"> je špecifickou zložkou, pretože i keď vstupuje do príjmov a výdavkov, celkový proces rozpočtovania neovplyvňuje, nakoľko transfery vo výške, v akej sú prijaté do rozpočtu, sú takisto zaradené do výdavkovej časti s určeným účelom a poslaním.</w:t>
      </w:r>
      <w:r>
        <w:rPr>
          <w:rFonts w:asciiTheme="minorHAnsi" w:hAnsiTheme="minorHAnsi" w:cstheme="minorHAnsi"/>
          <w:sz w:val="22"/>
          <w:szCs w:val="22"/>
        </w:rPr>
        <w:t xml:space="preserve"> Ide predovšetkým o dotácie na prenesený výkon štátnej správy v oblasti vzdelávania a granty z EÚ fondov.</w:t>
      </w:r>
    </w:p>
    <w:p w14:paraId="46DF6C36" w14:textId="77777777" w:rsidR="00541398" w:rsidRDefault="00541398" w:rsidP="009A7E59">
      <w:pPr>
        <w:pStyle w:val="Odsekzoznamu"/>
        <w:tabs>
          <w:tab w:val="left" w:pos="426"/>
        </w:tabs>
        <w:spacing w:before="0" w:beforeAutospacing="0"/>
        <w:jc w:val="both"/>
        <w:rPr>
          <w:rFonts w:asciiTheme="minorHAnsi" w:hAnsiTheme="minorHAnsi" w:cstheme="minorHAnsi"/>
          <w:sz w:val="22"/>
          <w:szCs w:val="22"/>
        </w:rPr>
      </w:pPr>
      <w:r w:rsidRPr="002B2D7D">
        <w:rPr>
          <w:rFonts w:asciiTheme="minorHAnsi" w:hAnsiTheme="minorHAnsi" w:cstheme="minorHAnsi"/>
          <w:sz w:val="22"/>
          <w:szCs w:val="22"/>
        </w:rPr>
        <w:t>Granty a transfery z fondov EÚ tvoria výnimku a celkový proces rozpočtovania ovplyvňujú v tom ktorom roku buď pozitívne alebo negatívne. Je to spôsobené časovým rozlíšením príjmov a výdavkov z fondov EÚ, resp. spolufinancovania zo strany BSK.</w:t>
      </w:r>
    </w:p>
    <w:p w14:paraId="04472F7C" w14:textId="42447613" w:rsidR="00541398" w:rsidRDefault="00541398" w:rsidP="00541398">
      <w:pPr>
        <w:pStyle w:val="Odsekzoznamu"/>
        <w:tabs>
          <w:tab w:val="left" w:pos="426"/>
        </w:tabs>
        <w:spacing w:after="120"/>
        <w:jc w:val="both"/>
        <w:rPr>
          <w:rFonts w:asciiTheme="minorHAnsi" w:hAnsiTheme="minorHAnsi" w:cstheme="minorHAnsi"/>
          <w:sz w:val="22"/>
          <w:szCs w:val="22"/>
        </w:rPr>
      </w:pPr>
      <w:r w:rsidRPr="00F93BBF">
        <w:rPr>
          <w:rFonts w:asciiTheme="minorHAnsi" w:hAnsiTheme="minorHAnsi" w:cstheme="minorHAnsi"/>
          <w:noProof/>
          <w:sz w:val="22"/>
          <w:szCs w:val="22"/>
        </w:rPr>
        <mc:AlternateContent>
          <mc:Choice Requires="wps">
            <w:drawing>
              <wp:anchor distT="45720" distB="45720" distL="114300" distR="114300" simplePos="0" relativeHeight="251658243" behindDoc="0" locked="0" layoutInCell="1" allowOverlap="1" wp14:anchorId="034EA79A" wp14:editId="7B806F45">
                <wp:simplePos x="0" y="0"/>
                <wp:positionH relativeFrom="column">
                  <wp:posOffset>4318000</wp:posOffset>
                </wp:positionH>
                <wp:positionV relativeFrom="paragraph">
                  <wp:posOffset>31750</wp:posOffset>
                </wp:positionV>
                <wp:extent cx="2355850" cy="2362200"/>
                <wp:effectExtent l="0" t="0" r="6350" b="0"/>
                <wp:wrapSquare wrapText="bothSides"/>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362200"/>
                        </a:xfrm>
                        <a:prstGeom prst="rect">
                          <a:avLst/>
                        </a:prstGeom>
                        <a:solidFill>
                          <a:srgbClr val="FFFFFF"/>
                        </a:solidFill>
                        <a:ln w="9525">
                          <a:noFill/>
                          <a:miter lim="800000"/>
                          <a:headEnd/>
                          <a:tailEnd/>
                        </a:ln>
                      </wps:spPr>
                      <wps:txbx>
                        <w:txbxContent>
                          <w:p w14:paraId="4E8B2B0D" w14:textId="77777777" w:rsidR="00541398" w:rsidRPr="0052679B" w:rsidRDefault="00541398" w:rsidP="00541398">
                            <w:pPr>
                              <w:jc w:val="both"/>
                              <w:rPr>
                                <w:i/>
                                <w:iCs/>
                              </w:rPr>
                            </w:pPr>
                            <w:r w:rsidRPr="0052679B">
                              <w:rPr>
                                <w:i/>
                                <w:iCs/>
                              </w:rPr>
                              <w:t>Bežné granty a transfery sú tvorené predovšetkým dotáciami na prenesený výkon štátnej správy v oblasti vzdelávania (96%) a malá časť pochádza z grantov na projekty spolufinancované z EÚ (4%).</w:t>
                            </w:r>
                          </w:p>
                          <w:p w14:paraId="4BFF7514" w14:textId="77777777" w:rsidR="00541398" w:rsidRPr="0052679B" w:rsidRDefault="00541398" w:rsidP="00541398">
                            <w:pPr>
                              <w:jc w:val="both"/>
                              <w:rPr>
                                <w:i/>
                                <w:iCs/>
                              </w:rPr>
                            </w:pPr>
                            <w:r w:rsidRPr="0052679B">
                              <w:rPr>
                                <w:i/>
                                <w:iCs/>
                              </w:rPr>
                              <w:t>Kapitálové granty a transfery zase súvisia takmer výlučne s projektami spolufinancovaných z</w:t>
                            </w:r>
                            <w:r>
                              <w:rPr>
                                <w:i/>
                                <w:iCs/>
                              </w:rPr>
                              <w:t> </w:t>
                            </w:r>
                            <w:r w:rsidRPr="0052679B">
                              <w:rPr>
                                <w:i/>
                                <w:iCs/>
                              </w:rPr>
                              <w:t>EÚ</w:t>
                            </w:r>
                            <w:r>
                              <w:rPr>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EA79A" id="Textové pole 42" o:spid="_x0000_s1027" type="#_x0000_t202" style="position:absolute;left:0;text-align:left;margin-left:340pt;margin-top:2.5pt;width:185.5pt;height:18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" stroked="f">
                <v:textbox>
                  <w:txbxContent>
                    <w:p w14:paraId="4E8B2B0D" w14:textId="77777777" w:rsidR="00541398" w:rsidRPr="0052679B" w:rsidRDefault="00541398" w:rsidP="00541398">
                      <w:pPr>
                        <w:jc w:val="both"/>
                        <w:rPr>
                          <w:i/>
                          <w:iCs/>
                        </w:rPr>
                      </w:pPr>
                      <w:r w:rsidRPr="0052679B">
                        <w:rPr>
                          <w:i/>
                          <w:iCs/>
                        </w:rPr>
                        <w:t>Bežné granty a transfery sú tvorené predovšetkým dotáciami na prenesený výkon štátnej správy v oblasti vzdelávania (96%) a malá časť pochádza z grantov na projekty spolufinancované z EÚ (4%).</w:t>
                      </w:r>
                    </w:p>
                    <w:p w14:paraId="4BFF7514" w14:textId="77777777" w:rsidR="00541398" w:rsidRPr="0052679B" w:rsidRDefault="00541398" w:rsidP="00541398">
                      <w:pPr>
                        <w:jc w:val="both"/>
                        <w:rPr>
                          <w:i/>
                          <w:iCs/>
                        </w:rPr>
                      </w:pPr>
                      <w:r w:rsidRPr="0052679B">
                        <w:rPr>
                          <w:i/>
                          <w:iCs/>
                        </w:rPr>
                        <w:t>Kapitálové granty a transfery zase súvisia takmer výlučne s projektami spolufinancovaných z</w:t>
                      </w:r>
                      <w:r>
                        <w:rPr>
                          <w:i/>
                          <w:iCs/>
                        </w:rPr>
                        <w:t> </w:t>
                      </w:r>
                      <w:r w:rsidRPr="0052679B">
                        <w:rPr>
                          <w:i/>
                          <w:iCs/>
                        </w:rPr>
                        <w:t>EÚ</w:t>
                      </w:r>
                      <w:r>
                        <w:rPr>
                          <w:i/>
                          <w:iCs/>
                        </w:rPr>
                        <w:t>.</w:t>
                      </w:r>
                    </w:p>
                  </w:txbxContent>
                </v:textbox>
                <w10:wrap type="square"/>
              </v:shape>
            </w:pict>
          </mc:Fallback>
        </mc:AlternateContent>
      </w:r>
      <w:r w:rsidR="00BE34E1" w:rsidRPr="00BE34E1">
        <w:rPr>
          <w:rFonts w:asciiTheme="minorHAnsi" w:hAnsiTheme="minorHAnsi" w:cstheme="minorHAnsi"/>
          <w:noProof/>
          <w:sz w:val="22"/>
          <w:szCs w:val="22"/>
        </w:rPr>
        <w:drawing>
          <wp:inline distT="0" distB="0" distL="0" distR="0" wp14:anchorId="3F447D6A" wp14:editId="0EF0E62F">
            <wp:extent cx="4095750" cy="2425557"/>
            <wp:effectExtent l="0" t="0" r="0" b="0"/>
            <wp:docPr id="774503679"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9126" cy="2427556"/>
                    </a:xfrm>
                    <a:prstGeom prst="rect">
                      <a:avLst/>
                    </a:prstGeom>
                    <a:noFill/>
                    <a:ln>
                      <a:noFill/>
                    </a:ln>
                  </pic:spPr>
                </pic:pic>
              </a:graphicData>
            </a:graphic>
          </wp:inline>
        </w:drawing>
      </w:r>
    </w:p>
    <w:p w14:paraId="39F54FAF" w14:textId="1E33D2BF" w:rsidR="00541398" w:rsidRPr="002B2D7D" w:rsidRDefault="001E254F" w:rsidP="00541398">
      <w:pPr>
        <w:pStyle w:val="Odsekzoznamu"/>
        <w:numPr>
          <w:ilvl w:val="0"/>
          <w:numId w:val="3"/>
        </w:numPr>
        <w:tabs>
          <w:tab w:val="left" w:pos="426"/>
        </w:tabs>
        <w:spacing w:before="0" w:beforeAutospacing="0" w:after="120" w:afterAutospacing="0" w:line="276" w:lineRule="auto"/>
        <w:ind w:left="0" w:firstLine="0"/>
        <w:jc w:val="both"/>
        <w:rPr>
          <w:rFonts w:asciiTheme="minorHAnsi" w:hAnsiTheme="minorHAnsi" w:cstheme="minorHAnsi"/>
          <w:b/>
          <w:szCs w:val="22"/>
        </w:rPr>
      </w:pPr>
      <w:r>
        <w:rPr>
          <w:rFonts w:asciiTheme="minorHAnsi" w:hAnsiTheme="minorHAnsi" w:cstheme="minorHAnsi"/>
          <w:b/>
          <w:szCs w:val="22"/>
        </w:rPr>
        <w:lastRenderedPageBreak/>
        <w:t>Rekapitulácia</w:t>
      </w:r>
      <w:r w:rsidR="00541398">
        <w:rPr>
          <w:rFonts w:asciiTheme="minorHAnsi" w:hAnsiTheme="minorHAnsi" w:cstheme="minorHAnsi"/>
          <w:b/>
          <w:szCs w:val="22"/>
        </w:rPr>
        <w:t xml:space="preserve"> príjmov</w:t>
      </w:r>
    </w:p>
    <w:p w14:paraId="12FEC9CA" w14:textId="202458D0" w:rsidR="00541398" w:rsidRDefault="00872127" w:rsidP="00541398">
      <w:pPr>
        <w:pStyle w:val="Odsekzoznamu"/>
        <w:tabs>
          <w:tab w:val="left" w:pos="426"/>
        </w:tabs>
        <w:spacing w:after="120"/>
        <w:jc w:val="center"/>
        <w:rPr>
          <w:rFonts w:asciiTheme="minorHAnsi" w:hAnsiTheme="minorHAnsi" w:cstheme="minorHAnsi"/>
          <w:sz w:val="22"/>
          <w:szCs w:val="22"/>
        </w:rPr>
      </w:pPr>
      <w:r w:rsidRPr="00872127">
        <w:rPr>
          <w:rFonts w:asciiTheme="minorHAnsi" w:hAnsiTheme="minorHAnsi" w:cstheme="minorHAnsi"/>
          <w:noProof/>
          <w:sz w:val="22"/>
          <w:szCs w:val="22"/>
        </w:rPr>
        <w:drawing>
          <wp:inline distT="0" distB="0" distL="0" distR="0" wp14:anchorId="1F7FF8B1" wp14:editId="5F8829B5">
            <wp:extent cx="6645910" cy="572770"/>
            <wp:effectExtent l="0" t="0" r="2540" b="0"/>
            <wp:docPr id="463131658"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572770"/>
                    </a:xfrm>
                    <a:prstGeom prst="rect">
                      <a:avLst/>
                    </a:prstGeom>
                    <a:noFill/>
                    <a:ln>
                      <a:noFill/>
                    </a:ln>
                  </pic:spPr>
                </pic:pic>
              </a:graphicData>
            </a:graphic>
          </wp:inline>
        </w:drawing>
      </w:r>
    </w:p>
    <w:p w14:paraId="538FFC5C" w14:textId="56EAD1FA" w:rsidR="00541398" w:rsidRPr="002B2D7D" w:rsidRDefault="00846440" w:rsidP="00541398">
      <w:pPr>
        <w:pStyle w:val="Odsekzoznamu"/>
        <w:tabs>
          <w:tab w:val="left" w:pos="426"/>
        </w:tabs>
        <w:spacing w:after="120"/>
        <w:jc w:val="center"/>
        <w:rPr>
          <w:rFonts w:asciiTheme="minorHAnsi" w:hAnsiTheme="minorHAnsi" w:cstheme="minorHAnsi"/>
          <w:sz w:val="22"/>
          <w:szCs w:val="22"/>
        </w:rPr>
      </w:pPr>
      <w:r w:rsidRPr="00846440">
        <w:rPr>
          <w:rFonts w:asciiTheme="minorHAnsi" w:hAnsiTheme="minorHAnsi" w:cstheme="minorHAnsi"/>
          <w:noProof/>
          <w:sz w:val="22"/>
          <w:szCs w:val="22"/>
        </w:rPr>
        <w:drawing>
          <wp:inline distT="0" distB="0" distL="0" distR="0" wp14:anchorId="30BA9442" wp14:editId="257C92C1">
            <wp:extent cx="6645910" cy="1896110"/>
            <wp:effectExtent l="0" t="0" r="2540" b="8890"/>
            <wp:docPr id="721948234"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1896110"/>
                    </a:xfrm>
                    <a:prstGeom prst="rect">
                      <a:avLst/>
                    </a:prstGeom>
                    <a:noFill/>
                    <a:ln>
                      <a:noFill/>
                    </a:ln>
                  </pic:spPr>
                </pic:pic>
              </a:graphicData>
            </a:graphic>
          </wp:inline>
        </w:drawing>
      </w:r>
    </w:p>
    <w:p w14:paraId="55D1352E" w14:textId="0EB016B2" w:rsidR="00541398" w:rsidRDefault="00B062F4" w:rsidP="00541398">
      <w:pPr>
        <w:pStyle w:val="Odsekzoznamu"/>
        <w:tabs>
          <w:tab w:val="left" w:pos="426"/>
        </w:tabs>
        <w:spacing w:after="120"/>
        <w:jc w:val="center"/>
        <w:rPr>
          <w:rFonts w:cstheme="minorHAnsi"/>
        </w:rPr>
      </w:pPr>
      <w:r w:rsidRPr="00B062F4">
        <w:rPr>
          <w:rFonts w:cstheme="minorHAnsi"/>
          <w:noProof/>
        </w:rPr>
        <w:drawing>
          <wp:inline distT="0" distB="0" distL="0" distR="0" wp14:anchorId="3318DACB" wp14:editId="3965BA7D">
            <wp:extent cx="4838700" cy="2495550"/>
            <wp:effectExtent l="0" t="0" r="0" b="0"/>
            <wp:docPr id="1827922241"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8700" cy="2495550"/>
                    </a:xfrm>
                    <a:prstGeom prst="rect">
                      <a:avLst/>
                    </a:prstGeom>
                    <a:noFill/>
                    <a:ln>
                      <a:noFill/>
                    </a:ln>
                  </pic:spPr>
                </pic:pic>
              </a:graphicData>
            </a:graphic>
          </wp:inline>
        </w:drawing>
      </w:r>
    </w:p>
    <w:p w14:paraId="55F204CB" w14:textId="77777777" w:rsidR="00541398" w:rsidRPr="002B2D7D" w:rsidRDefault="00541398" w:rsidP="00541398">
      <w:pPr>
        <w:pStyle w:val="Odsekzoznamu"/>
        <w:numPr>
          <w:ilvl w:val="0"/>
          <w:numId w:val="3"/>
        </w:numPr>
        <w:tabs>
          <w:tab w:val="left" w:pos="426"/>
        </w:tabs>
        <w:spacing w:before="0" w:beforeAutospacing="0" w:after="120" w:afterAutospacing="0" w:line="276" w:lineRule="auto"/>
        <w:ind w:left="0" w:firstLine="0"/>
        <w:jc w:val="both"/>
        <w:rPr>
          <w:rFonts w:asciiTheme="minorHAnsi" w:hAnsiTheme="minorHAnsi" w:cstheme="minorHAnsi"/>
          <w:b/>
          <w:szCs w:val="22"/>
        </w:rPr>
      </w:pPr>
      <w:r>
        <w:rPr>
          <w:rFonts w:asciiTheme="minorHAnsi" w:hAnsiTheme="minorHAnsi" w:cstheme="minorHAnsi"/>
          <w:b/>
          <w:szCs w:val="22"/>
        </w:rPr>
        <w:t xml:space="preserve">Príjmové finančné operácie - </w:t>
      </w:r>
      <w:r w:rsidRPr="002B2D7D">
        <w:rPr>
          <w:rFonts w:asciiTheme="minorHAnsi" w:hAnsiTheme="minorHAnsi" w:cstheme="minorHAnsi"/>
          <w:b/>
          <w:szCs w:val="22"/>
        </w:rPr>
        <w:t>Rezervný fond</w:t>
      </w:r>
    </w:p>
    <w:p w14:paraId="40AECCD8" w14:textId="77777777" w:rsidR="00541398" w:rsidRPr="002B2D7D" w:rsidRDefault="00541398" w:rsidP="00541398">
      <w:pPr>
        <w:pStyle w:val="Odsekzoznamu"/>
        <w:tabs>
          <w:tab w:val="left" w:pos="426"/>
        </w:tabs>
        <w:spacing w:after="60" w:afterAutospacing="0"/>
        <w:jc w:val="both"/>
        <w:rPr>
          <w:rFonts w:asciiTheme="minorHAnsi" w:hAnsiTheme="minorHAnsi" w:cstheme="minorHAnsi"/>
          <w:sz w:val="22"/>
          <w:szCs w:val="22"/>
        </w:rPr>
      </w:pPr>
      <w:r>
        <w:rPr>
          <w:rFonts w:asciiTheme="minorHAnsi" w:hAnsiTheme="minorHAnsi" w:cstheme="minorHAnsi"/>
          <w:sz w:val="22"/>
          <w:szCs w:val="22"/>
        </w:rPr>
        <w:t>Na značnú časť kapitálových výdavkov plánujeme použiť prostriedky z Rezervného fondu. Stav a vývoj používania prostriedkov Rezervného fondu je zachytený v nasledujúcej tabuľke:</w:t>
      </w:r>
    </w:p>
    <w:p w14:paraId="0CF53FEE" w14:textId="018B9D15" w:rsidR="00541398" w:rsidRPr="00AE0FBD" w:rsidRDefault="009D4C90" w:rsidP="00541398">
      <w:pPr>
        <w:pStyle w:val="Odsekzoznamu"/>
        <w:tabs>
          <w:tab w:val="left" w:pos="426"/>
        </w:tabs>
        <w:spacing w:after="120"/>
        <w:jc w:val="center"/>
        <w:rPr>
          <w:rFonts w:asciiTheme="minorHAnsi" w:hAnsiTheme="minorHAnsi" w:cstheme="minorHAnsi"/>
          <w:sz w:val="22"/>
          <w:szCs w:val="22"/>
        </w:rPr>
      </w:pPr>
      <w:r w:rsidRPr="009D4C90">
        <w:rPr>
          <w:rFonts w:asciiTheme="minorHAnsi" w:hAnsiTheme="minorHAnsi" w:cstheme="minorHAnsi"/>
          <w:noProof/>
          <w:sz w:val="22"/>
          <w:szCs w:val="22"/>
        </w:rPr>
        <w:drawing>
          <wp:inline distT="0" distB="0" distL="0" distR="0" wp14:anchorId="7C4050D8" wp14:editId="792ACC2E">
            <wp:extent cx="6645910" cy="925195"/>
            <wp:effectExtent l="0" t="0" r="2540" b="8255"/>
            <wp:docPr id="2007063500"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925195"/>
                    </a:xfrm>
                    <a:prstGeom prst="rect">
                      <a:avLst/>
                    </a:prstGeom>
                    <a:noFill/>
                    <a:ln>
                      <a:noFill/>
                    </a:ln>
                  </pic:spPr>
                </pic:pic>
              </a:graphicData>
            </a:graphic>
          </wp:inline>
        </w:drawing>
      </w:r>
    </w:p>
    <w:p w14:paraId="37A24F8C" w14:textId="75AE4AA0" w:rsidR="00541398" w:rsidRPr="002B2D7D" w:rsidRDefault="00541398"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V posledných rokoch prišlo k navýšeniu Rezervného fondu BSK z dôvodu priaznivého vývoja bežných príjmov, ktoré aj počas pandémie ukázali dobrú odolnosť a naopak, nečerpali sa v plánovanom rozsahu bežné aj kapitálové výdavky. Druhým významným faktorom je čerpanie bezúročných návratných finančných výpomocí z MF SR v celkovej výške 30,7 mil. EUR, ktoré nám umožnili „</w:t>
      </w:r>
      <w:proofErr w:type="spellStart"/>
      <w:r>
        <w:rPr>
          <w:rFonts w:asciiTheme="minorHAnsi" w:hAnsiTheme="minorHAnsi" w:cstheme="minorHAnsi"/>
          <w:sz w:val="22"/>
          <w:szCs w:val="22"/>
        </w:rPr>
        <w:t>predzásobiť</w:t>
      </w:r>
      <w:proofErr w:type="spellEnd"/>
      <w:r>
        <w:rPr>
          <w:rFonts w:asciiTheme="minorHAnsi" w:hAnsiTheme="minorHAnsi" w:cstheme="minorHAnsi"/>
          <w:sz w:val="22"/>
          <w:szCs w:val="22"/>
        </w:rPr>
        <w:t xml:space="preserve"> sa“ lacnými finančnými prostriedkami.</w:t>
      </w:r>
    </w:p>
    <w:p w14:paraId="68D28FA3" w14:textId="77777777" w:rsidR="00541398" w:rsidRPr="002B2D7D" w:rsidRDefault="00541398" w:rsidP="00541398">
      <w:pPr>
        <w:pStyle w:val="Odsekzoznamu"/>
        <w:numPr>
          <w:ilvl w:val="0"/>
          <w:numId w:val="3"/>
        </w:numPr>
        <w:tabs>
          <w:tab w:val="left" w:pos="426"/>
        </w:tabs>
        <w:spacing w:before="0" w:beforeAutospacing="0" w:after="120" w:afterAutospacing="0" w:line="276" w:lineRule="auto"/>
        <w:ind w:left="0" w:firstLine="0"/>
        <w:jc w:val="both"/>
        <w:rPr>
          <w:rFonts w:asciiTheme="minorHAnsi" w:hAnsiTheme="minorHAnsi" w:cstheme="minorHAnsi"/>
          <w:b/>
          <w:szCs w:val="22"/>
        </w:rPr>
      </w:pPr>
      <w:r>
        <w:rPr>
          <w:rFonts w:asciiTheme="minorHAnsi" w:hAnsiTheme="minorHAnsi" w:cstheme="minorHAnsi"/>
          <w:b/>
          <w:szCs w:val="22"/>
        </w:rPr>
        <w:t xml:space="preserve">Príjmové finančné operácie - </w:t>
      </w:r>
      <w:r w:rsidRPr="002B2D7D">
        <w:rPr>
          <w:rFonts w:asciiTheme="minorHAnsi" w:hAnsiTheme="minorHAnsi" w:cstheme="minorHAnsi"/>
          <w:b/>
          <w:szCs w:val="22"/>
        </w:rPr>
        <w:t>Úverové zaťaženie BSK a</w:t>
      </w:r>
      <w:r>
        <w:rPr>
          <w:rFonts w:asciiTheme="minorHAnsi" w:hAnsiTheme="minorHAnsi" w:cstheme="minorHAnsi"/>
          <w:b/>
          <w:szCs w:val="22"/>
        </w:rPr>
        <w:t> Dlhová brzda</w:t>
      </w:r>
    </w:p>
    <w:p w14:paraId="70DD61FD" w14:textId="20EC8DB0" w:rsidR="00541398" w:rsidRPr="002B2D7D" w:rsidRDefault="00541398" w:rsidP="00541398">
      <w:pPr>
        <w:pStyle w:val="Odsekzoznamu"/>
        <w:tabs>
          <w:tab w:val="left" w:pos="426"/>
        </w:tabs>
        <w:spacing w:after="120"/>
        <w:jc w:val="both"/>
        <w:rPr>
          <w:rFonts w:asciiTheme="minorHAnsi" w:hAnsiTheme="minorHAnsi" w:cstheme="minorHAnsi"/>
          <w:color w:val="FF0000"/>
          <w:sz w:val="22"/>
          <w:szCs w:val="22"/>
        </w:rPr>
      </w:pPr>
      <w:r w:rsidRPr="002B2D7D">
        <w:rPr>
          <w:rFonts w:asciiTheme="minorHAnsi" w:hAnsiTheme="minorHAnsi" w:cstheme="minorHAnsi"/>
          <w:sz w:val="22"/>
          <w:szCs w:val="22"/>
        </w:rPr>
        <w:t xml:space="preserve">Zaťaženie BSK úvermi </w:t>
      </w:r>
      <w:r>
        <w:rPr>
          <w:rFonts w:asciiTheme="minorHAnsi" w:hAnsiTheme="minorHAnsi" w:cstheme="minorHAnsi"/>
          <w:sz w:val="22"/>
          <w:szCs w:val="22"/>
        </w:rPr>
        <w:t>(zostatok istiny) bude</w:t>
      </w:r>
      <w:r w:rsidRPr="002B2D7D">
        <w:rPr>
          <w:rFonts w:asciiTheme="minorHAnsi" w:hAnsiTheme="minorHAnsi" w:cstheme="minorHAnsi"/>
          <w:sz w:val="22"/>
          <w:szCs w:val="22"/>
        </w:rPr>
        <w:t xml:space="preserve"> na konci roka 20</w:t>
      </w:r>
      <w:r>
        <w:rPr>
          <w:rFonts w:asciiTheme="minorHAnsi" w:hAnsiTheme="minorHAnsi" w:cstheme="minorHAnsi"/>
          <w:sz w:val="22"/>
          <w:szCs w:val="22"/>
        </w:rPr>
        <w:t>2</w:t>
      </w:r>
      <w:r w:rsidR="00922733">
        <w:rPr>
          <w:rFonts w:asciiTheme="minorHAnsi" w:hAnsiTheme="minorHAnsi" w:cstheme="minorHAnsi"/>
          <w:sz w:val="22"/>
          <w:szCs w:val="22"/>
        </w:rPr>
        <w:t>4</w:t>
      </w:r>
      <w:r w:rsidRPr="002B2D7D">
        <w:rPr>
          <w:rFonts w:asciiTheme="minorHAnsi" w:hAnsiTheme="minorHAnsi" w:cstheme="minorHAnsi"/>
          <w:sz w:val="22"/>
          <w:szCs w:val="22"/>
        </w:rPr>
        <w:t xml:space="preserve"> na úrovni </w:t>
      </w:r>
      <w:r w:rsidR="00010BEF">
        <w:rPr>
          <w:rFonts w:asciiTheme="minorHAnsi" w:hAnsiTheme="minorHAnsi" w:cstheme="minorHAnsi"/>
          <w:sz w:val="22"/>
          <w:szCs w:val="22"/>
        </w:rPr>
        <w:t>7</w:t>
      </w:r>
      <w:r w:rsidR="00EE2B40">
        <w:rPr>
          <w:rFonts w:asciiTheme="minorHAnsi" w:hAnsiTheme="minorHAnsi" w:cstheme="minorHAnsi"/>
          <w:sz w:val="22"/>
          <w:szCs w:val="22"/>
        </w:rPr>
        <w:t>6</w:t>
      </w:r>
      <w:r w:rsidR="00010BEF">
        <w:rPr>
          <w:rFonts w:asciiTheme="minorHAnsi" w:hAnsiTheme="minorHAnsi" w:cstheme="minorHAnsi"/>
          <w:sz w:val="22"/>
          <w:szCs w:val="22"/>
        </w:rPr>
        <w:t>,</w:t>
      </w:r>
      <w:r w:rsidR="00EE2B40">
        <w:rPr>
          <w:rFonts w:asciiTheme="minorHAnsi" w:hAnsiTheme="minorHAnsi" w:cstheme="minorHAnsi"/>
          <w:sz w:val="22"/>
          <w:szCs w:val="22"/>
        </w:rPr>
        <w:t>1</w:t>
      </w:r>
      <w:r w:rsidRPr="002B2D7D">
        <w:rPr>
          <w:rFonts w:asciiTheme="minorHAnsi" w:hAnsiTheme="minorHAnsi" w:cstheme="minorHAnsi"/>
          <w:sz w:val="22"/>
          <w:szCs w:val="22"/>
        </w:rPr>
        <w:t> mil. </w:t>
      </w:r>
      <w:r w:rsidR="00032570">
        <w:rPr>
          <w:rFonts w:asciiTheme="minorHAnsi" w:hAnsiTheme="minorHAnsi" w:cstheme="minorHAnsi"/>
          <w:sz w:val="22"/>
          <w:szCs w:val="22"/>
        </w:rPr>
        <w:t>EUR</w:t>
      </w:r>
      <w:r w:rsidRPr="002B2D7D">
        <w:rPr>
          <w:rFonts w:asciiTheme="minorHAnsi" w:hAnsiTheme="minorHAnsi" w:cstheme="minorHAnsi"/>
          <w:sz w:val="22"/>
          <w:szCs w:val="22"/>
        </w:rPr>
        <w:t xml:space="preserve"> a predstavuje </w:t>
      </w:r>
      <w:r w:rsidR="00B62FE3">
        <w:rPr>
          <w:rFonts w:asciiTheme="minorHAnsi" w:hAnsiTheme="minorHAnsi" w:cstheme="minorHAnsi"/>
          <w:sz w:val="22"/>
          <w:szCs w:val="22"/>
        </w:rPr>
        <w:t>3</w:t>
      </w:r>
      <w:r w:rsidR="00EE2B40">
        <w:rPr>
          <w:rFonts w:asciiTheme="minorHAnsi" w:hAnsiTheme="minorHAnsi" w:cstheme="minorHAnsi"/>
          <w:sz w:val="22"/>
          <w:szCs w:val="22"/>
        </w:rPr>
        <w:t>1</w:t>
      </w:r>
      <w:r w:rsidR="00B62FE3">
        <w:rPr>
          <w:rFonts w:asciiTheme="minorHAnsi" w:hAnsiTheme="minorHAnsi" w:cstheme="minorHAnsi"/>
          <w:sz w:val="22"/>
          <w:szCs w:val="22"/>
        </w:rPr>
        <w:t>,4</w:t>
      </w:r>
      <w:r w:rsidR="00032570">
        <w:rPr>
          <w:rFonts w:asciiTheme="minorHAnsi" w:hAnsiTheme="minorHAnsi" w:cstheme="minorHAnsi"/>
          <w:sz w:val="22"/>
          <w:szCs w:val="22"/>
        </w:rPr>
        <w:t xml:space="preserve"> </w:t>
      </w:r>
      <w:r w:rsidRPr="00AE0FBD">
        <w:rPr>
          <w:rFonts w:asciiTheme="minorHAnsi" w:hAnsiTheme="minorHAnsi" w:cstheme="minorHAnsi"/>
          <w:sz w:val="22"/>
          <w:szCs w:val="22"/>
        </w:rPr>
        <w:t>%</w:t>
      </w:r>
      <w:r w:rsidRPr="002B2D7D">
        <w:rPr>
          <w:rFonts w:asciiTheme="minorHAnsi" w:hAnsiTheme="minorHAnsi" w:cstheme="minorHAnsi"/>
          <w:sz w:val="22"/>
          <w:szCs w:val="22"/>
        </w:rPr>
        <w:t xml:space="preserve"> z úrovne bežných príjmov </w:t>
      </w:r>
      <w:r>
        <w:rPr>
          <w:rFonts w:asciiTheme="minorHAnsi" w:hAnsiTheme="minorHAnsi" w:cstheme="minorHAnsi"/>
          <w:sz w:val="22"/>
          <w:szCs w:val="22"/>
        </w:rPr>
        <w:t>predchádzajúceho</w:t>
      </w:r>
      <w:r w:rsidRPr="002B2D7D">
        <w:rPr>
          <w:rFonts w:asciiTheme="minorHAnsi" w:hAnsiTheme="minorHAnsi" w:cstheme="minorHAnsi"/>
          <w:sz w:val="22"/>
          <w:szCs w:val="22"/>
        </w:rPr>
        <w:t xml:space="preserve"> finančného roka.</w:t>
      </w:r>
      <w:r>
        <w:rPr>
          <w:rFonts w:asciiTheme="minorHAnsi" w:hAnsiTheme="minorHAnsi" w:cstheme="minorHAnsi"/>
          <w:sz w:val="22"/>
          <w:szCs w:val="22"/>
        </w:rPr>
        <w:t xml:space="preserve"> </w:t>
      </w:r>
      <w:r w:rsidR="00693E97">
        <w:rPr>
          <w:rFonts w:asciiTheme="minorHAnsi" w:hAnsiTheme="minorHAnsi" w:cstheme="minorHAnsi"/>
          <w:sz w:val="22"/>
          <w:szCs w:val="22"/>
        </w:rPr>
        <w:t>V relatívnom vyjadrení ide</w:t>
      </w:r>
      <w:r w:rsidR="00DE11D7">
        <w:rPr>
          <w:rFonts w:asciiTheme="minorHAnsi" w:hAnsiTheme="minorHAnsi" w:cstheme="minorHAnsi"/>
          <w:sz w:val="22"/>
          <w:szCs w:val="22"/>
        </w:rPr>
        <w:t xml:space="preserve"> o významný</w:t>
      </w:r>
      <w:r w:rsidR="00693E97">
        <w:rPr>
          <w:rFonts w:asciiTheme="minorHAnsi" w:hAnsiTheme="minorHAnsi" w:cstheme="minorHAnsi"/>
          <w:sz w:val="22"/>
          <w:szCs w:val="22"/>
        </w:rPr>
        <w:t xml:space="preserve"> pokles zadlženosti BSK</w:t>
      </w:r>
      <w:r w:rsidR="000F18BE">
        <w:rPr>
          <w:rFonts w:asciiTheme="minorHAnsi" w:hAnsiTheme="minorHAnsi" w:cstheme="minorHAnsi"/>
          <w:sz w:val="22"/>
          <w:szCs w:val="22"/>
        </w:rPr>
        <w:t xml:space="preserve"> – a to najmä z dôvodu odpustenia splácania návratnej finančnej výpomoci z MF SR vo výške 5,6 mil. EUR</w:t>
      </w:r>
      <w:r w:rsidR="00AB7B02">
        <w:rPr>
          <w:rFonts w:asciiTheme="minorHAnsi" w:hAnsiTheme="minorHAnsi" w:cstheme="minorHAnsi"/>
          <w:sz w:val="22"/>
          <w:szCs w:val="22"/>
        </w:rPr>
        <w:t xml:space="preserve">, nárastu </w:t>
      </w:r>
      <w:r w:rsidR="00AB7B02">
        <w:rPr>
          <w:rFonts w:asciiTheme="minorHAnsi" w:hAnsiTheme="minorHAnsi" w:cstheme="minorHAnsi"/>
          <w:sz w:val="22"/>
          <w:szCs w:val="22"/>
        </w:rPr>
        <w:lastRenderedPageBreak/>
        <w:t>bežných príjmov a</w:t>
      </w:r>
      <w:r w:rsidR="005345EC">
        <w:rPr>
          <w:rFonts w:asciiTheme="minorHAnsi" w:hAnsiTheme="minorHAnsi" w:cstheme="minorHAnsi"/>
          <w:sz w:val="22"/>
          <w:szCs w:val="22"/>
        </w:rPr>
        <w:t> nečerpania nového úveru v roku 2024</w:t>
      </w:r>
      <w:r w:rsidR="00263131">
        <w:rPr>
          <w:rFonts w:asciiTheme="minorHAnsi" w:hAnsiTheme="minorHAnsi" w:cstheme="minorHAnsi"/>
          <w:sz w:val="22"/>
          <w:szCs w:val="22"/>
        </w:rPr>
        <w:t>. BSK čerpal v</w:t>
      </w:r>
      <w:r w:rsidR="001B3BD9">
        <w:rPr>
          <w:rFonts w:asciiTheme="minorHAnsi" w:hAnsiTheme="minorHAnsi" w:cstheme="minorHAnsi"/>
          <w:sz w:val="22"/>
          <w:szCs w:val="22"/>
        </w:rPr>
        <w:t> </w:t>
      </w:r>
      <w:r w:rsidR="00263131">
        <w:rPr>
          <w:rFonts w:asciiTheme="minorHAnsi" w:hAnsiTheme="minorHAnsi" w:cstheme="minorHAnsi"/>
          <w:sz w:val="22"/>
          <w:szCs w:val="22"/>
        </w:rPr>
        <w:t>rok</w:t>
      </w:r>
      <w:r w:rsidR="001B3BD9">
        <w:rPr>
          <w:rFonts w:asciiTheme="minorHAnsi" w:hAnsiTheme="minorHAnsi" w:cstheme="minorHAnsi"/>
          <w:sz w:val="22"/>
          <w:szCs w:val="22"/>
        </w:rPr>
        <w:t xml:space="preserve">u 2023 úver z National </w:t>
      </w:r>
      <w:proofErr w:type="spellStart"/>
      <w:r w:rsidR="001B3BD9">
        <w:rPr>
          <w:rFonts w:asciiTheme="minorHAnsi" w:hAnsiTheme="minorHAnsi" w:cstheme="minorHAnsi"/>
          <w:sz w:val="22"/>
          <w:szCs w:val="22"/>
        </w:rPr>
        <w:t>Development</w:t>
      </w:r>
      <w:proofErr w:type="spellEnd"/>
      <w:r w:rsidR="001B3BD9">
        <w:rPr>
          <w:rFonts w:asciiTheme="minorHAnsi" w:hAnsiTheme="minorHAnsi" w:cstheme="minorHAnsi"/>
          <w:sz w:val="22"/>
          <w:szCs w:val="22"/>
        </w:rPr>
        <w:t xml:space="preserve"> </w:t>
      </w:r>
      <w:proofErr w:type="spellStart"/>
      <w:r w:rsidR="001B3BD9">
        <w:rPr>
          <w:rFonts w:asciiTheme="minorHAnsi" w:hAnsiTheme="minorHAnsi" w:cstheme="minorHAnsi"/>
          <w:sz w:val="22"/>
          <w:szCs w:val="22"/>
        </w:rPr>
        <w:t>Fund</w:t>
      </w:r>
      <w:proofErr w:type="spellEnd"/>
      <w:r w:rsidR="001B3BD9">
        <w:rPr>
          <w:rFonts w:asciiTheme="minorHAnsi" w:hAnsiTheme="minorHAnsi" w:cstheme="minorHAnsi"/>
          <w:sz w:val="22"/>
          <w:szCs w:val="22"/>
        </w:rPr>
        <w:t xml:space="preserve"> II. v</w:t>
      </w:r>
      <w:r w:rsidR="00D07D97">
        <w:rPr>
          <w:rFonts w:asciiTheme="minorHAnsi" w:hAnsiTheme="minorHAnsi" w:cstheme="minorHAnsi"/>
          <w:sz w:val="22"/>
          <w:szCs w:val="22"/>
        </w:rPr>
        <w:t xml:space="preserve"> celkovej výške </w:t>
      </w:r>
      <w:r w:rsidR="00853206">
        <w:rPr>
          <w:rFonts w:asciiTheme="minorHAnsi" w:hAnsiTheme="minorHAnsi" w:cstheme="minorHAnsi"/>
          <w:sz w:val="22"/>
          <w:szCs w:val="22"/>
        </w:rPr>
        <w:t>26,6</w:t>
      </w:r>
      <w:r w:rsidR="00D07D97">
        <w:rPr>
          <w:rFonts w:asciiTheme="minorHAnsi" w:hAnsiTheme="minorHAnsi" w:cstheme="minorHAnsi"/>
          <w:sz w:val="22"/>
          <w:szCs w:val="22"/>
        </w:rPr>
        <w:t xml:space="preserve"> mil. EUR</w:t>
      </w:r>
      <w:r w:rsidR="00CA268C">
        <w:rPr>
          <w:rFonts w:asciiTheme="minorHAnsi" w:hAnsiTheme="minorHAnsi" w:cstheme="minorHAnsi"/>
          <w:sz w:val="22"/>
          <w:szCs w:val="22"/>
        </w:rPr>
        <w:t>, ktorý sa však neráta do celkového zadlženia BSK</w:t>
      </w:r>
      <w:r w:rsidR="006E58F7">
        <w:rPr>
          <w:rFonts w:asciiTheme="minorHAnsi" w:hAnsiTheme="minorHAnsi" w:cstheme="minorHAnsi"/>
          <w:sz w:val="22"/>
          <w:szCs w:val="22"/>
        </w:rPr>
        <w:t xml:space="preserve"> (</w:t>
      </w:r>
      <w:r w:rsidR="00D66CE6">
        <w:rPr>
          <w:rFonts w:asciiTheme="minorHAnsi" w:hAnsiTheme="minorHAnsi" w:cstheme="minorHAnsi"/>
          <w:sz w:val="22"/>
          <w:szCs w:val="22"/>
        </w:rPr>
        <w:t>r</w:t>
      </w:r>
      <w:r w:rsidR="006E58F7">
        <w:rPr>
          <w:rFonts w:asciiTheme="minorHAnsi" w:hAnsiTheme="minorHAnsi" w:cstheme="minorHAnsi"/>
          <w:sz w:val="22"/>
          <w:szCs w:val="22"/>
        </w:rPr>
        <w:t>očné splátky vo výške 1,7 mil. EUR sú však rátané do dlhovej služby)</w:t>
      </w:r>
      <w:r w:rsidR="00CA268C">
        <w:rPr>
          <w:rFonts w:asciiTheme="minorHAnsi" w:hAnsiTheme="minorHAnsi" w:cstheme="minorHAnsi"/>
          <w:sz w:val="22"/>
          <w:szCs w:val="22"/>
        </w:rPr>
        <w:t>.</w:t>
      </w:r>
    </w:p>
    <w:p w14:paraId="780517D3" w14:textId="5FD485AF" w:rsidR="00541398" w:rsidRPr="002B2D7D" w:rsidRDefault="008C75FD" w:rsidP="00541398">
      <w:pPr>
        <w:pStyle w:val="Odsekzoznamu"/>
        <w:tabs>
          <w:tab w:val="left" w:pos="426"/>
        </w:tabs>
        <w:spacing w:after="120"/>
        <w:jc w:val="center"/>
        <w:rPr>
          <w:rFonts w:asciiTheme="minorHAnsi" w:hAnsiTheme="minorHAnsi" w:cstheme="minorHAnsi"/>
          <w:sz w:val="22"/>
          <w:szCs w:val="22"/>
        </w:rPr>
      </w:pPr>
      <w:r w:rsidRPr="008C75FD">
        <w:rPr>
          <w:rFonts w:asciiTheme="minorHAnsi" w:hAnsiTheme="minorHAnsi" w:cstheme="minorHAnsi"/>
          <w:noProof/>
          <w:sz w:val="22"/>
          <w:szCs w:val="22"/>
        </w:rPr>
        <w:drawing>
          <wp:inline distT="0" distB="0" distL="0" distR="0" wp14:anchorId="1E5B2225" wp14:editId="2046E174">
            <wp:extent cx="6645910" cy="1352550"/>
            <wp:effectExtent l="0" t="0" r="2540" b="0"/>
            <wp:docPr id="965351413"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910" cy="1352550"/>
                    </a:xfrm>
                    <a:prstGeom prst="rect">
                      <a:avLst/>
                    </a:prstGeom>
                    <a:noFill/>
                    <a:ln>
                      <a:noFill/>
                    </a:ln>
                  </pic:spPr>
                </pic:pic>
              </a:graphicData>
            </a:graphic>
          </wp:inline>
        </w:drawing>
      </w:r>
    </w:p>
    <w:p w14:paraId="766FEFA9" w14:textId="6D1B1AB4" w:rsidR="00541398" w:rsidRPr="004B17C4" w:rsidRDefault="00541398"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Nárast relatívneho zadlženia v rokoch 2021 a 2022 súvisí s prijatím dvoch bezúročných návratných finančných výpomocí z Ministerstva financií SR. Pri rokovaniach o týchto výpomociach MF SR sľúbilo, že sa bude snažiť preklopiť tieto výpomoci alebo ich časť do formy grantu a teda následne nebudú súčasťou dlhu BSK. </w:t>
      </w:r>
      <w:r w:rsidR="00CA268C">
        <w:rPr>
          <w:rFonts w:asciiTheme="minorHAnsi" w:hAnsiTheme="minorHAnsi" w:cstheme="minorHAnsi"/>
          <w:sz w:val="22"/>
          <w:szCs w:val="22"/>
        </w:rPr>
        <w:t>Toto bolo splnené v druhej polovici roku 2023, kedy jedna z týchto návratných finančných výpomocí (vo výške 5,6 mil. EUR) bola odpustená</w:t>
      </w:r>
      <w:r>
        <w:rPr>
          <w:rFonts w:asciiTheme="minorHAnsi" w:hAnsiTheme="minorHAnsi" w:cstheme="minorHAnsi"/>
          <w:sz w:val="22"/>
          <w:szCs w:val="22"/>
        </w:rPr>
        <w:t xml:space="preserve">. </w:t>
      </w:r>
      <w:r w:rsidR="00A427D7">
        <w:rPr>
          <w:rFonts w:asciiTheme="minorHAnsi" w:hAnsiTheme="minorHAnsi" w:cstheme="minorHAnsi"/>
          <w:sz w:val="22"/>
          <w:szCs w:val="22"/>
        </w:rPr>
        <w:t xml:space="preserve">V roku 2024 schválila vláda </w:t>
      </w:r>
      <w:r w:rsidR="005D41E9">
        <w:rPr>
          <w:rFonts w:asciiTheme="minorHAnsi" w:hAnsiTheme="minorHAnsi" w:cstheme="minorHAnsi"/>
          <w:sz w:val="22"/>
          <w:szCs w:val="22"/>
        </w:rPr>
        <w:t xml:space="preserve">aj </w:t>
      </w:r>
      <w:r w:rsidR="00A427D7">
        <w:rPr>
          <w:rFonts w:asciiTheme="minorHAnsi" w:hAnsiTheme="minorHAnsi" w:cstheme="minorHAnsi"/>
          <w:sz w:val="22"/>
          <w:szCs w:val="22"/>
        </w:rPr>
        <w:t>odpustenie</w:t>
      </w:r>
      <w:r w:rsidR="00B3792C">
        <w:rPr>
          <w:rFonts w:asciiTheme="minorHAnsi" w:hAnsiTheme="minorHAnsi" w:cstheme="minorHAnsi"/>
          <w:sz w:val="22"/>
          <w:szCs w:val="22"/>
        </w:rPr>
        <w:t xml:space="preserve"> ča</w:t>
      </w:r>
      <w:r w:rsidR="005D41E9">
        <w:rPr>
          <w:rFonts w:asciiTheme="minorHAnsi" w:hAnsiTheme="minorHAnsi" w:cstheme="minorHAnsi"/>
          <w:sz w:val="22"/>
          <w:szCs w:val="22"/>
        </w:rPr>
        <w:t>sti z druhej návratnej finančnej v</w:t>
      </w:r>
      <w:r w:rsidR="0020040F">
        <w:rPr>
          <w:rFonts w:asciiTheme="minorHAnsi" w:hAnsiTheme="minorHAnsi" w:cstheme="minorHAnsi"/>
          <w:sz w:val="22"/>
          <w:szCs w:val="22"/>
        </w:rPr>
        <w:t xml:space="preserve">ýpomoci vo výške 2,5 mil. EUR. </w:t>
      </w:r>
      <w:r>
        <w:rPr>
          <w:rFonts w:asciiTheme="minorHAnsi" w:hAnsiTheme="minorHAnsi" w:cstheme="minorHAnsi"/>
          <w:sz w:val="22"/>
          <w:szCs w:val="22"/>
        </w:rPr>
        <w:t xml:space="preserve">Z dlhodobého pohľadu sa </w:t>
      </w:r>
      <w:r w:rsidRPr="004B17C4">
        <w:rPr>
          <w:rFonts w:asciiTheme="minorHAnsi" w:hAnsiTheme="minorHAnsi" w:cstheme="minorHAnsi"/>
          <w:sz w:val="22"/>
          <w:szCs w:val="22"/>
        </w:rPr>
        <w:t xml:space="preserve">BSK </w:t>
      </w:r>
      <w:r w:rsidR="0020040F">
        <w:rPr>
          <w:rFonts w:asciiTheme="minorHAnsi" w:hAnsiTheme="minorHAnsi" w:cstheme="minorHAnsi"/>
          <w:sz w:val="22"/>
          <w:szCs w:val="22"/>
        </w:rPr>
        <w:t>snaží o rozumné</w:t>
      </w:r>
      <w:r w:rsidRPr="004B17C4">
        <w:rPr>
          <w:rFonts w:asciiTheme="minorHAnsi" w:hAnsiTheme="minorHAnsi" w:cstheme="minorHAnsi"/>
          <w:sz w:val="22"/>
          <w:szCs w:val="22"/>
        </w:rPr>
        <w:t xml:space="preserve"> prijímanie nových úverov, aby bola zachovaná bezpečná hranica zadlženosti</w:t>
      </w:r>
      <w:r>
        <w:rPr>
          <w:rFonts w:asciiTheme="minorHAnsi" w:hAnsiTheme="minorHAnsi" w:cstheme="minorHAnsi"/>
          <w:sz w:val="22"/>
          <w:szCs w:val="22"/>
        </w:rPr>
        <w:t>, čo je úroveň 50% z bežných príjmov predchádzajúceho roka</w:t>
      </w:r>
      <w:r w:rsidRPr="004B17C4">
        <w:rPr>
          <w:rFonts w:asciiTheme="minorHAnsi" w:hAnsiTheme="minorHAnsi" w:cstheme="minorHAnsi"/>
          <w:sz w:val="22"/>
          <w:szCs w:val="22"/>
        </w:rPr>
        <w:t>.</w:t>
      </w:r>
    </w:p>
    <w:p w14:paraId="6A1E421E" w14:textId="77777777" w:rsidR="000F0EF3" w:rsidRDefault="00541398" w:rsidP="00B35CCE">
      <w:pPr>
        <w:pStyle w:val="Odsekzoznamu"/>
        <w:tabs>
          <w:tab w:val="left" w:pos="426"/>
        </w:tabs>
        <w:spacing w:after="120"/>
        <w:jc w:val="both"/>
        <w:rPr>
          <w:rFonts w:asciiTheme="minorHAnsi" w:hAnsiTheme="minorHAnsi" w:cstheme="minorHAnsi"/>
          <w:sz w:val="22"/>
          <w:szCs w:val="22"/>
        </w:rPr>
      </w:pPr>
      <w:r w:rsidRPr="004B17C4">
        <w:rPr>
          <w:rFonts w:asciiTheme="minorHAnsi" w:hAnsiTheme="minorHAnsi" w:cstheme="minorHAnsi"/>
          <w:sz w:val="22"/>
          <w:szCs w:val="22"/>
        </w:rPr>
        <w:t>V návrhu rozpočtu na rok 202</w:t>
      </w:r>
      <w:r w:rsidR="00DA0AED">
        <w:rPr>
          <w:rFonts w:asciiTheme="minorHAnsi" w:hAnsiTheme="minorHAnsi" w:cstheme="minorHAnsi"/>
          <w:sz w:val="22"/>
          <w:szCs w:val="22"/>
        </w:rPr>
        <w:t>5</w:t>
      </w:r>
      <w:r w:rsidR="006766AC">
        <w:rPr>
          <w:rFonts w:asciiTheme="minorHAnsi" w:hAnsiTheme="minorHAnsi" w:cstheme="minorHAnsi"/>
          <w:sz w:val="22"/>
          <w:szCs w:val="22"/>
        </w:rPr>
        <w:t xml:space="preserve"> predpokladáme čerpanie nového úveru</w:t>
      </w:r>
      <w:r w:rsidR="00DA0AED">
        <w:rPr>
          <w:rFonts w:asciiTheme="minorHAnsi" w:hAnsiTheme="minorHAnsi" w:cstheme="minorHAnsi"/>
          <w:sz w:val="22"/>
          <w:szCs w:val="22"/>
        </w:rPr>
        <w:t xml:space="preserve"> vo výške </w:t>
      </w:r>
      <w:r w:rsidR="0004468B">
        <w:rPr>
          <w:rFonts w:asciiTheme="minorHAnsi" w:hAnsiTheme="minorHAnsi" w:cstheme="minorHAnsi"/>
          <w:sz w:val="22"/>
          <w:szCs w:val="22"/>
        </w:rPr>
        <w:t>15 mil. EUR</w:t>
      </w:r>
      <w:r w:rsidR="006766AC">
        <w:rPr>
          <w:rFonts w:asciiTheme="minorHAnsi" w:hAnsiTheme="minorHAnsi" w:cstheme="minorHAnsi"/>
          <w:sz w:val="22"/>
          <w:szCs w:val="22"/>
        </w:rPr>
        <w:t xml:space="preserve">; v </w:t>
      </w:r>
      <w:r w:rsidRPr="004B17C4">
        <w:rPr>
          <w:rFonts w:asciiTheme="minorHAnsi" w:hAnsiTheme="minorHAnsi" w:cstheme="minorHAnsi"/>
          <w:sz w:val="22"/>
          <w:szCs w:val="22"/>
        </w:rPr>
        <w:t>predpoklad</w:t>
      </w:r>
      <w:r>
        <w:rPr>
          <w:rFonts w:asciiTheme="minorHAnsi" w:hAnsiTheme="minorHAnsi" w:cstheme="minorHAnsi"/>
          <w:sz w:val="22"/>
          <w:szCs w:val="22"/>
        </w:rPr>
        <w:t>e</w:t>
      </w:r>
      <w:r w:rsidRPr="004B17C4">
        <w:rPr>
          <w:rFonts w:asciiTheme="minorHAnsi" w:hAnsiTheme="minorHAnsi" w:cstheme="minorHAnsi"/>
          <w:sz w:val="22"/>
          <w:szCs w:val="22"/>
        </w:rPr>
        <w:t xml:space="preserve"> na rok</w:t>
      </w:r>
      <w:r w:rsidR="00B35CCE">
        <w:rPr>
          <w:rFonts w:asciiTheme="minorHAnsi" w:hAnsiTheme="minorHAnsi" w:cstheme="minorHAnsi"/>
          <w:sz w:val="22"/>
          <w:szCs w:val="22"/>
        </w:rPr>
        <w:t>y</w:t>
      </w:r>
      <w:r w:rsidRPr="004B17C4">
        <w:rPr>
          <w:rFonts w:asciiTheme="minorHAnsi" w:hAnsiTheme="minorHAnsi" w:cstheme="minorHAnsi"/>
          <w:sz w:val="22"/>
          <w:szCs w:val="22"/>
        </w:rPr>
        <w:t xml:space="preserve"> 202</w:t>
      </w:r>
      <w:r w:rsidR="00472DA9">
        <w:rPr>
          <w:rFonts w:asciiTheme="minorHAnsi" w:hAnsiTheme="minorHAnsi" w:cstheme="minorHAnsi"/>
          <w:sz w:val="22"/>
          <w:szCs w:val="22"/>
        </w:rPr>
        <w:t>6</w:t>
      </w:r>
      <w:r w:rsidR="00B35CCE">
        <w:rPr>
          <w:rFonts w:asciiTheme="minorHAnsi" w:hAnsiTheme="minorHAnsi" w:cstheme="minorHAnsi"/>
          <w:sz w:val="22"/>
          <w:szCs w:val="22"/>
        </w:rPr>
        <w:t xml:space="preserve"> a</w:t>
      </w:r>
      <w:r w:rsidR="00472DA9">
        <w:rPr>
          <w:rFonts w:asciiTheme="minorHAnsi" w:hAnsiTheme="minorHAnsi" w:cstheme="minorHAnsi"/>
          <w:sz w:val="22"/>
          <w:szCs w:val="22"/>
        </w:rPr>
        <w:t> </w:t>
      </w:r>
      <w:r w:rsidR="00B35CCE">
        <w:rPr>
          <w:rFonts w:asciiTheme="minorHAnsi" w:hAnsiTheme="minorHAnsi" w:cstheme="minorHAnsi"/>
          <w:sz w:val="22"/>
          <w:szCs w:val="22"/>
        </w:rPr>
        <w:t>202</w:t>
      </w:r>
      <w:r w:rsidR="00472DA9">
        <w:rPr>
          <w:rFonts w:asciiTheme="minorHAnsi" w:hAnsiTheme="minorHAnsi" w:cstheme="minorHAnsi"/>
          <w:sz w:val="22"/>
          <w:szCs w:val="22"/>
        </w:rPr>
        <w:t xml:space="preserve">7 je takisto naplánovanie nových úverov. Prijaté úvery slúžia ako časť zdrojov na pokrytie financovania investičných výdavkov. </w:t>
      </w:r>
    </w:p>
    <w:p w14:paraId="3FF6B50D" w14:textId="7815318A" w:rsidR="00541398" w:rsidRPr="004B17C4" w:rsidRDefault="00472DA9" w:rsidP="00B35CCE">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V</w:t>
      </w:r>
      <w:r w:rsidR="00964586">
        <w:rPr>
          <w:rFonts w:asciiTheme="minorHAnsi" w:hAnsiTheme="minorHAnsi" w:cstheme="minorHAnsi"/>
          <w:sz w:val="22"/>
          <w:szCs w:val="22"/>
        </w:rPr>
        <w:t> </w:t>
      </w:r>
      <w:r>
        <w:rPr>
          <w:rFonts w:asciiTheme="minorHAnsi" w:hAnsiTheme="minorHAnsi" w:cstheme="minorHAnsi"/>
          <w:sz w:val="22"/>
          <w:szCs w:val="22"/>
        </w:rPr>
        <w:t>roku</w:t>
      </w:r>
      <w:r w:rsidR="00964586">
        <w:rPr>
          <w:rFonts w:asciiTheme="minorHAnsi" w:hAnsiTheme="minorHAnsi" w:cstheme="minorHAnsi"/>
          <w:sz w:val="22"/>
          <w:szCs w:val="22"/>
        </w:rPr>
        <w:t xml:space="preserve"> 2025 je naplánované aj prijatie preklenovacieho úveru vo výške 4 mil. EUR, ktorý by slúžil na </w:t>
      </w:r>
      <w:proofErr w:type="spellStart"/>
      <w:r w:rsidR="00964586">
        <w:rPr>
          <w:rFonts w:asciiTheme="minorHAnsi" w:hAnsiTheme="minorHAnsi" w:cstheme="minorHAnsi"/>
          <w:sz w:val="22"/>
          <w:szCs w:val="22"/>
        </w:rPr>
        <w:t>predfinancovanie</w:t>
      </w:r>
      <w:proofErr w:type="spellEnd"/>
      <w:r w:rsidR="00964586">
        <w:rPr>
          <w:rFonts w:asciiTheme="minorHAnsi" w:hAnsiTheme="minorHAnsi" w:cstheme="minorHAnsi"/>
          <w:sz w:val="22"/>
          <w:szCs w:val="22"/>
        </w:rPr>
        <w:t xml:space="preserve"> projektov spolufinancovaných z EÚ</w:t>
      </w:r>
      <w:r w:rsidR="00B35CCE">
        <w:rPr>
          <w:rFonts w:asciiTheme="minorHAnsi" w:hAnsiTheme="minorHAnsi" w:cstheme="minorHAnsi"/>
          <w:sz w:val="22"/>
          <w:szCs w:val="22"/>
        </w:rPr>
        <w:t>.</w:t>
      </w:r>
      <w:r w:rsidR="000F0EF3">
        <w:rPr>
          <w:rFonts w:asciiTheme="minorHAnsi" w:hAnsiTheme="minorHAnsi" w:cstheme="minorHAnsi"/>
          <w:sz w:val="22"/>
          <w:szCs w:val="22"/>
        </w:rPr>
        <w:t xml:space="preserve"> V prípade skutočného prijatia tohto úveru je naplánované jeho okamžité splatenie v roku 2026</w:t>
      </w:r>
      <w:r w:rsidR="00A50052">
        <w:rPr>
          <w:rFonts w:asciiTheme="minorHAnsi" w:hAnsiTheme="minorHAnsi" w:cstheme="minorHAnsi"/>
          <w:sz w:val="22"/>
          <w:szCs w:val="22"/>
        </w:rPr>
        <w:t>. Takýto typ úveru sa neráta do zadlženia BSK.</w:t>
      </w:r>
      <w:r w:rsidR="00541398">
        <w:rPr>
          <w:rFonts w:asciiTheme="minorHAnsi" w:hAnsiTheme="minorHAnsi" w:cstheme="minorHAnsi"/>
          <w:sz w:val="22"/>
          <w:szCs w:val="22"/>
        </w:rPr>
        <w:t xml:space="preserve"> </w:t>
      </w:r>
    </w:p>
    <w:p w14:paraId="48EC6E34" w14:textId="77777777" w:rsidR="00541398" w:rsidRPr="00DB7017" w:rsidRDefault="00541398" w:rsidP="00794A14">
      <w:pPr>
        <w:pStyle w:val="Odsekzoznamu"/>
        <w:numPr>
          <w:ilvl w:val="0"/>
          <w:numId w:val="11"/>
        </w:numPr>
        <w:tabs>
          <w:tab w:val="left" w:pos="426"/>
        </w:tabs>
        <w:spacing w:after="120"/>
        <w:ind w:hanging="720"/>
        <w:jc w:val="both"/>
        <w:rPr>
          <w:rFonts w:asciiTheme="minorHAnsi" w:hAnsiTheme="minorHAnsi" w:cstheme="minorHAnsi"/>
          <w:b/>
          <w:bCs/>
          <w:color w:val="2F5496" w:themeColor="accent1" w:themeShade="BF"/>
        </w:rPr>
      </w:pPr>
      <w:r w:rsidRPr="00DB7017">
        <w:rPr>
          <w:rFonts w:asciiTheme="minorHAnsi" w:hAnsiTheme="minorHAnsi" w:cstheme="minorHAnsi"/>
          <w:b/>
          <w:bCs/>
          <w:color w:val="2F5496" w:themeColor="accent1" w:themeShade="BF"/>
        </w:rPr>
        <w:t>Výdavky a výdavkové finančné operácie</w:t>
      </w:r>
    </w:p>
    <w:p w14:paraId="314C8CDE" w14:textId="77777777" w:rsidR="00541398" w:rsidRPr="002B2D7D" w:rsidRDefault="00541398" w:rsidP="00794A14">
      <w:pPr>
        <w:pStyle w:val="Odsekzoznamu"/>
        <w:numPr>
          <w:ilvl w:val="0"/>
          <w:numId w:val="9"/>
        </w:numPr>
        <w:tabs>
          <w:tab w:val="left" w:pos="426"/>
        </w:tabs>
        <w:spacing w:before="0" w:beforeAutospacing="0" w:after="120" w:afterAutospacing="0" w:line="276" w:lineRule="auto"/>
        <w:ind w:hanging="1080"/>
        <w:jc w:val="both"/>
        <w:rPr>
          <w:rFonts w:asciiTheme="minorHAnsi" w:hAnsiTheme="minorHAnsi" w:cstheme="minorHAnsi"/>
          <w:b/>
          <w:szCs w:val="22"/>
        </w:rPr>
      </w:pPr>
      <w:r w:rsidRPr="002B2D7D">
        <w:rPr>
          <w:rFonts w:asciiTheme="minorHAnsi" w:hAnsiTheme="minorHAnsi" w:cstheme="minorHAnsi"/>
          <w:b/>
          <w:szCs w:val="22"/>
        </w:rPr>
        <w:t xml:space="preserve">Bežné a kapitálové výdavky rozpočtu </w:t>
      </w:r>
    </w:p>
    <w:p w14:paraId="60C50187" w14:textId="77777777" w:rsidR="00541398" w:rsidRPr="002B2D7D" w:rsidRDefault="00541398" w:rsidP="00541398">
      <w:pPr>
        <w:pStyle w:val="Odsekzoznamu"/>
        <w:tabs>
          <w:tab w:val="left" w:pos="426"/>
        </w:tabs>
        <w:spacing w:after="120"/>
        <w:jc w:val="both"/>
        <w:rPr>
          <w:rFonts w:asciiTheme="minorHAnsi" w:hAnsiTheme="minorHAnsi" w:cstheme="minorHAnsi"/>
          <w:sz w:val="22"/>
          <w:szCs w:val="22"/>
        </w:rPr>
      </w:pPr>
      <w:r w:rsidRPr="002B2D7D">
        <w:rPr>
          <w:rFonts w:asciiTheme="minorHAnsi" w:hAnsiTheme="minorHAnsi" w:cstheme="minorHAnsi"/>
          <w:sz w:val="22"/>
          <w:szCs w:val="22"/>
        </w:rPr>
        <w:t>Výdavky rozpočtu BSK vychádzajú z reálne nastavených potrieb v nadväznosti na plnenie svojich originálnych, ale aj prenesených kompetencií a sú plne v súlade so všeobecne záväznými právnymi predpismi.</w:t>
      </w:r>
    </w:p>
    <w:p w14:paraId="00D892EE" w14:textId="45072BC9" w:rsidR="00541398" w:rsidRPr="002B2D7D" w:rsidRDefault="00541398" w:rsidP="00541398">
      <w:pPr>
        <w:pStyle w:val="Odsekzoznamu"/>
        <w:tabs>
          <w:tab w:val="left" w:pos="426"/>
        </w:tabs>
        <w:spacing w:after="120"/>
        <w:jc w:val="both"/>
        <w:rPr>
          <w:rFonts w:asciiTheme="minorHAnsi" w:hAnsiTheme="minorHAnsi" w:cstheme="minorHAnsi"/>
          <w:sz w:val="22"/>
          <w:szCs w:val="22"/>
        </w:rPr>
      </w:pPr>
      <w:r w:rsidRPr="002B2D7D">
        <w:rPr>
          <w:rFonts w:asciiTheme="minorHAnsi" w:hAnsiTheme="minorHAnsi" w:cstheme="minorHAnsi"/>
          <w:b/>
          <w:sz w:val="22"/>
          <w:szCs w:val="22"/>
        </w:rPr>
        <w:t>Bežné výdavky</w:t>
      </w:r>
      <w:r w:rsidRPr="002B2D7D">
        <w:rPr>
          <w:rFonts w:asciiTheme="minorHAnsi" w:hAnsiTheme="minorHAnsi" w:cstheme="minorHAnsi"/>
          <w:sz w:val="22"/>
          <w:szCs w:val="22"/>
        </w:rPr>
        <w:t xml:space="preserve"> rozpočtu v roku 20</w:t>
      </w:r>
      <w:r>
        <w:rPr>
          <w:rFonts w:asciiTheme="minorHAnsi" w:hAnsiTheme="minorHAnsi" w:cstheme="minorHAnsi"/>
          <w:sz w:val="22"/>
          <w:szCs w:val="22"/>
        </w:rPr>
        <w:t>2</w:t>
      </w:r>
      <w:r w:rsidR="005F60A2">
        <w:rPr>
          <w:rFonts w:asciiTheme="minorHAnsi" w:hAnsiTheme="minorHAnsi" w:cstheme="minorHAnsi"/>
          <w:sz w:val="22"/>
          <w:szCs w:val="22"/>
        </w:rPr>
        <w:t>5</w:t>
      </w:r>
      <w:r w:rsidRPr="002B2D7D">
        <w:rPr>
          <w:rFonts w:asciiTheme="minorHAnsi" w:hAnsiTheme="minorHAnsi" w:cstheme="minorHAnsi"/>
          <w:sz w:val="22"/>
          <w:szCs w:val="22"/>
        </w:rPr>
        <w:t xml:space="preserve"> (ich výška a zatriedenie do programov) sú ovplyvnené nasledovnými faktormi:</w:t>
      </w:r>
    </w:p>
    <w:p w14:paraId="0F8963BE" w14:textId="4FDF92EF" w:rsidR="00541398" w:rsidRPr="008E28BF" w:rsidRDefault="00541398" w:rsidP="00794A14">
      <w:pPr>
        <w:pStyle w:val="Odsekzoznamu"/>
        <w:numPr>
          <w:ilvl w:val="1"/>
          <w:numId w:val="9"/>
        </w:numPr>
        <w:tabs>
          <w:tab w:val="left" w:pos="426"/>
        </w:tabs>
        <w:spacing w:before="0" w:beforeAutospacing="0" w:after="60" w:afterAutospacing="0"/>
        <w:ind w:left="714" w:hanging="357"/>
        <w:jc w:val="both"/>
        <w:rPr>
          <w:rFonts w:asciiTheme="minorHAnsi" w:hAnsiTheme="minorHAnsi" w:cstheme="minorHAnsi"/>
          <w:bCs/>
          <w:sz w:val="22"/>
          <w:szCs w:val="22"/>
        </w:rPr>
      </w:pPr>
      <w:r>
        <w:rPr>
          <w:rFonts w:asciiTheme="minorHAnsi" w:hAnsiTheme="minorHAnsi" w:cstheme="minorHAnsi"/>
          <w:b/>
          <w:sz w:val="22"/>
          <w:szCs w:val="22"/>
        </w:rPr>
        <w:t xml:space="preserve">Výška daňových príjmov vychádzajúca z prognózy </w:t>
      </w:r>
      <w:r w:rsidR="002749C1">
        <w:rPr>
          <w:rFonts w:asciiTheme="minorHAnsi" w:hAnsiTheme="minorHAnsi" w:cstheme="minorHAnsi"/>
          <w:b/>
          <w:sz w:val="22"/>
          <w:szCs w:val="22"/>
        </w:rPr>
        <w:t>MF SR</w:t>
      </w:r>
      <w:r>
        <w:rPr>
          <w:rFonts w:asciiTheme="minorHAnsi" w:hAnsiTheme="minorHAnsi" w:cstheme="minorHAnsi"/>
          <w:b/>
          <w:sz w:val="22"/>
          <w:szCs w:val="22"/>
        </w:rPr>
        <w:t xml:space="preserve"> na roky 202</w:t>
      </w:r>
      <w:r w:rsidR="002749C1">
        <w:rPr>
          <w:rFonts w:asciiTheme="minorHAnsi" w:hAnsiTheme="minorHAnsi" w:cstheme="minorHAnsi"/>
          <w:b/>
          <w:sz w:val="22"/>
          <w:szCs w:val="22"/>
        </w:rPr>
        <w:t>5</w:t>
      </w:r>
      <w:r>
        <w:rPr>
          <w:rFonts w:asciiTheme="minorHAnsi" w:hAnsiTheme="minorHAnsi" w:cstheme="minorHAnsi"/>
          <w:b/>
          <w:sz w:val="22"/>
          <w:szCs w:val="22"/>
        </w:rPr>
        <w:t xml:space="preserve"> až 202</w:t>
      </w:r>
      <w:r w:rsidR="002749C1">
        <w:rPr>
          <w:rFonts w:asciiTheme="minorHAnsi" w:hAnsiTheme="minorHAnsi" w:cstheme="minorHAnsi"/>
          <w:b/>
          <w:sz w:val="22"/>
          <w:szCs w:val="22"/>
        </w:rPr>
        <w:t>7</w:t>
      </w:r>
      <w:r w:rsidR="00F454AD">
        <w:rPr>
          <w:rFonts w:asciiTheme="minorHAnsi" w:hAnsiTheme="minorHAnsi" w:cstheme="minorHAnsi"/>
          <w:b/>
          <w:sz w:val="22"/>
          <w:szCs w:val="22"/>
        </w:rPr>
        <w:t xml:space="preserve">, </w:t>
      </w:r>
      <w:r w:rsidR="00F454AD" w:rsidRPr="005142A2">
        <w:rPr>
          <w:rFonts w:asciiTheme="minorHAnsi" w:hAnsiTheme="minorHAnsi" w:cstheme="minorHAnsi"/>
          <w:bCs/>
          <w:sz w:val="22"/>
          <w:szCs w:val="22"/>
        </w:rPr>
        <w:t xml:space="preserve">ktorá už zahŕňala dopad „konsolidačného balíčka“ </w:t>
      </w:r>
      <w:r w:rsidR="005142A2" w:rsidRPr="005142A2">
        <w:rPr>
          <w:rFonts w:asciiTheme="minorHAnsi" w:hAnsiTheme="minorHAnsi" w:cstheme="minorHAnsi"/>
          <w:bCs/>
          <w:sz w:val="22"/>
          <w:szCs w:val="22"/>
        </w:rPr>
        <w:t>Vlády SR;</w:t>
      </w:r>
    </w:p>
    <w:p w14:paraId="24C43B1B" w14:textId="254C80A5" w:rsidR="00541398" w:rsidRDefault="007B3D3A" w:rsidP="00794A14">
      <w:pPr>
        <w:pStyle w:val="Odsekzoznamu"/>
        <w:numPr>
          <w:ilvl w:val="1"/>
          <w:numId w:val="9"/>
        </w:numPr>
        <w:tabs>
          <w:tab w:val="left" w:pos="426"/>
        </w:tabs>
        <w:spacing w:before="0" w:beforeAutospacing="0" w:after="60" w:afterAutospacing="0"/>
        <w:ind w:left="714" w:hanging="357"/>
        <w:jc w:val="both"/>
        <w:rPr>
          <w:rFonts w:asciiTheme="minorHAnsi" w:hAnsiTheme="minorHAnsi" w:cstheme="minorHAnsi"/>
          <w:sz w:val="22"/>
          <w:szCs w:val="22"/>
        </w:rPr>
      </w:pPr>
      <w:r>
        <w:rPr>
          <w:rFonts w:asciiTheme="minorHAnsi" w:hAnsiTheme="minorHAnsi" w:cstheme="minorHAnsi"/>
          <w:b/>
          <w:sz w:val="22"/>
          <w:szCs w:val="22"/>
        </w:rPr>
        <w:t>S</w:t>
      </w:r>
      <w:r w:rsidR="00541398">
        <w:rPr>
          <w:rFonts w:asciiTheme="minorHAnsi" w:hAnsiTheme="minorHAnsi" w:cstheme="minorHAnsi"/>
          <w:b/>
          <w:sz w:val="22"/>
          <w:szCs w:val="22"/>
        </w:rPr>
        <w:t xml:space="preserve">naha o zabezpečenie komfortu zamestnancov v zariadeniach župy </w:t>
      </w:r>
      <w:r w:rsidR="00541398" w:rsidRPr="002C7613">
        <w:rPr>
          <w:rFonts w:asciiTheme="minorHAnsi" w:hAnsiTheme="minorHAnsi" w:cstheme="minorHAnsi"/>
          <w:sz w:val="22"/>
          <w:szCs w:val="22"/>
        </w:rPr>
        <w:t xml:space="preserve">– </w:t>
      </w:r>
      <w:r w:rsidR="00541398">
        <w:rPr>
          <w:rFonts w:asciiTheme="minorHAnsi" w:hAnsiTheme="minorHAnsi" w:cstheme="minorHAnsi"/>
          <w:sz w:val="22"/>
          <w:szCs w:val="22"/>
        </w:rPr>
        <w:t xml:space="preserve">napriek nejasnej situácii </w:t>
      </w:r>
      <w:r w:rsidR="009F77E9">
        <w:rPr>
          <w:rFonts w:asciiTheme="minorHAnsi" w:hAnsiTheme="minorHAnsi" w:cstheme="minorHAnsi"/>
          <w:sz w:val="22"/>
          <w:szCs w:val="22"/>
        </w:rPr>
        <w:t>vyplývajúcej najmä z implementácie „konsolidačného balíčka“ Vlády SR</w:t>
      </w:r>
      <w:r w:rsidR="00541398">
        <w:rPr>
          <w:rFonts w:asciiTheme="minorHAnsi" w:hAnsiTheme="minorHAnsi" w:cstheme="minorHAnsi"/>
          <w:sz w:val="22"/>
          <w:szCs w:val="22"/>
        </w:rPr>
        <w:t>, je rozpočet zostavený tak, aby zamestnanci vo všetkých zariadeniach pociťovali tento nejasný stav čo najmenej; v návrhu rozpočtu na rok 202</w:t>
      </w:r>
      <w:r w:rsidR="00A7640B">
        <w:rPr>
          <w:rFonts w:asciiTheme="minorHAnsi" w:hAnsiTheme="minorHAnsi" w:cstheme="minorHAnsi"/>
          <w:sz w:val="22"/>
          <w:szCs w:val="22"/>
        </w:rPr>
        <w:t>5</w:t>
      </w:r>
      <w:r w:rsidR="00541398">
        <w:rPr>
          <w:rFonts w:asciiTheme="minorHAnsi" w:hAnsiTheme="minorHAnsi" w:cstheme="minorHAnsi"/>
          <w:sz w:val="22"/>
          <w:szCs w:val="22"/>
        </w:rPr>
        <w:t xml:space="preserve"> je zahrnuté udržanie zamestnanosti a</w:t>
      </w:r>
      <w:r w:rsidR="00A7640B">
        <w:rPr>
          <w:rFonts w:asciiTheme="minorHAnsi" w:hAnsiTheme="minorHAnsi" w:cstheme="minorHAnsi"/>
          <w:sz w:val="22"/>
          <w:szCs w:val="22"/>
        </w:rPr>
        <w:t> finančné rezervy pre každú oblasť</w:t>
      </w:r>
      <w:r w:rsidR="00541398">
        <w:rPr>
          <w:rFonts w:asciiTheme="minorHAnsi" w:hAnsiTheme="minorHAnsi" w:cstheme="minorHAnsi"/>
          <w:sz w:val="22"/>
          <w:szCs w:val="22"/>
        </w:rPr>
        <w:t>);</w:t>
      </w:r>
    </w:p>
    <w:p w14:paraId="171C39F0" w14:textId="43D4DE59" w:rsidR="00541398" w:rsidRPr="005D5781" w:rsidRDefault="007B3D3A" w:rsidP="00794A14">
      <w:pPr>
        <w:pStyle w:val="Odsekzoznamu"/>
        <w:numPr>
          <w:ilvl w:val="1"/>
          <w:numId w:val="9"/>
        </w:numPr>
        <w:tabs>
          <w:tab w:val="left" w:pos="426"/>
        </w:tabs>
        <w:spacing w:before="0" w:beforeAutospacing="0" w:after="60" w:afterAutospacing="0"/>
        <w:ind w:left="714" w:hanging="357"/>
        <w:jc w:val="both"/>
        <w:rPr>
          <w:rFonts w:asciiTheme="minorHAnsi" w:hAnsiTheme="minorHAnsi" w:cstheme="minorHAnsi"/>
          <w:bCs/>
          <w:sz w:val="22"/>
          <w:szCs w:val="22"/>
        </w:rPr>
      </w:pPr>
      <w:r>
        <w:rPr>
          <w:rFonts w:asciiTheme="minorHAnsi" w:hAnsiTheme="minorHAnsi" w:cstheme="minorHAnsi"/>
          <w:b/>
          <w:sz w:val="22"/>
          <w:szCs w:val="22"/>
        </w:rPr>
        <w:t>F</w:t>
      </w:r>
      <w:r w:rsidR="00541398">
        <w:rPr>
          <w:rFonts w:asciiTheme="minorHAnsi" w:hAnsiTheme="minorHAnsi" w:cstheme="minorHAnsi"/>
          <w:b/>
          <w:sz w:val="22"/>
          <w:szCs w:val="22"/>
        </w:rPr>
        <w:t xml:space="preserve">inančná </w:t>
      </w:r>
      <w:proofErr w:type="spellStart"/>
      <w:r w:rsidR="00541398">
        <w:rPr>
          <w:rFonts w:asciiTheme="minorHAnsi" w:hAnsiTheme="minorHAnsi" w:cstheme="minorHAnsi"/>
          <w:b/>
          <w:sz w:val="22"/>
          <w:szCs w:val="22"/>
        </w:rPr>
        <w:t>prioritizácia</w:t>
      </w:r>
      <w:proofErr w:type="spellEnd"/>
      <w:r w:rsidR="00541398">
        <w:rPr>
          <w:rFonts w:asciiTheme="minorHAnsi" w:hAnsiTheme="minorHAnsi" w:cstheme="minorHAnsi"/>
          <w:b/>
          <w:sz w:val="22"/>
          <w:szCs w:val="22"/>
        </w:rPr>
        <w:t xml:space="preserve"> hlavných kompetencií župy – </w:t>
      </w:r>
      <w:r w:rsidR="00541398" w:rsidRPr="00D002C1">
        <w:rPr>
          <w:rFonts w:asciiTheme="minorHAnsi" w:hAnsiTheme="minorHAnsi" w:cstheme="minorHAnsi"/>
          <w:bCs/>
          <w:sz w:val="22"/>
          <w:szCs w:val="22"/>
        </w:rPr>
        <w:t xml:space="preserve">aj napriek </w:t>
      </w:r>
      <w:r w:rsidR="008747D8">
        <w:rPr>
          <w:rFonts w:asciiTheme="minorHAnsi" w:hAnsiTheme="minorHAnsi" w:cstheme="minorHAnsi"/>
          <w:bCs/>
          <w:sz w:val="22"/>
          <w:szCs w:val="22"/>
        </w:rPr>
        <w:t>okresaným</w:t>
      </w:r>
      <w:r w:rsidR="00541398" w:rsidRPr="00D002C1">
        <w:rPr>
          <w:rFonts w:asciiTheme="minorHAnsi" w:hAnsiTheme="minorHAnsi" w:cstheme="minorHAnsi"/>
          <w:bCs/>
          <w:sz w:val="22"/>
          <w:szCs w:val="22"/>
        </w:rPr>
        <w:t xml:space="preserve"> príjmom župy a zároveň značným nárastom cien tovarov a služieb bude smerovať do najdôležitejších oblastí župy (vzdelávanie, sociálne služby, doprava, cesty II. a III. triedy a kultúra) viac finančných prostriedkov ako v predchádzajúcom roku</w:t>
      </w:r>
      <w:r w:rsidR="009F4D00">
        <w:rPr>
          <w:rFonts w:asciiTheme="minorHAnsi" w:hAnsiTheme="minorHAnsi" w:cstheme="minorHAnsi"/>
          <w:bCs/>
          <w:sz w:val="22"/>
          <w:szCs w:val="22"/>
        </w:rPr>
        <w:t xml:space="preserve">, čo bolo dosiahnuté </w:t>
      </w:r>
      <w:r w:rsidR="00FA3696">
        <w:rPr>
          <w:rFonts w:asciiTheme="minorHAnsi" w:hAnsiTheme="minorHAnsi" w:cstheme="minorHAnsi"/>
          <w:bCs/>
          <w:sz w:val="22"/>
          <w:szCs w:val="22"/>
        </w:rPr>
        <w:t>konzervatívnym prístupom k</w:t>
      </w:r>
      <w:r w:rsidR="009F4D00">
        <w:rPr>
          <w:rFonts w:asciiTheme="minorHAnsi" w:hAnsiTheme="minorHAnsi" w:cstheme="minorHAnsi"/>
          <w:bCs/>
          <w:sz w:val="22"/>
          <w:szCs w:val="22"/>
        </w:rPr>
        <w:t> nastaven</w:t>
      </w:r>
      <w:r w:rsidR="00BE6111">
        <w:rPr>
          <w:rFonts w:asciiTheme="minorHAnsi" w:hAnsiTheme="minorHAnsi" w:cstheme="minorHAnsi"/>
          <w:bCs/>
          <w:sz w:val="22"/>
          <w:szCs w:val="22"/>
        </w:rPr>
        <w:t>iu</w:t>
      </w:r>
      <w:r w:rsidR="009F4D00">
        <w:rPr>
          <w:rFonts w:asciiTheme="minorHAnsi" w:hAnsiTheme="minorHAnsi" w:cstheme="minorHAnsi"/>
          <w:bCs/>
          <w:sz w:val="22"/>
          <w:szCs w:val="22"/>
        </w:rPr>
        <w:t xml:space="preserve"> rozpočtu </w:t>
      </w:r>
      <w:r w:rsidR="00BE6111">
        <w:rPr>
          <w:rFonts w:asciiTheme="minorHAnsi" w:hAnsiTheme="minorHAnsi" w:cstheme="minorHAnsi"/>
          <w:bCs/>
          <w:sz w:val="22"/>
          <w:szCs w:val="22"/>
        </w:rPr>
        <w:t>v</w:t>
      </w:r>
      <w:r w:rsidR="009F4D00">
        <w:rPr>
          <w:rFonts w:asciiTheme="minorHAnsi" w:hAnsiTheme="minorHAnsi" w:cstheme="minorHAnsi"/>
          <w:bCs/>
          <w:sz w:val="22"/>
          <w:szCs w:val="22"/>
        </w:rPr>
        <w:t xml:space="preserve"> predchádzajúcich rokoch</w:t>
      </w:r>
      <w:r w:rsidR="00541398" w:rsidRPr="005D5781">
        <w:rPr>
          <w:rFonts w:asciiTheme="minorHAnsi" w:hAnsiTheme="minorHAnsi" w:cstheme="minorHAnsi"/>
          <w:bCs/>
          <w:sz w:val="22"/>
          <w:szCs w:val="22"/>
        </w:rPr>
        <w:t>;</w:t>
      </w:r>
    </w:p>
    <w:p w14:paraId="30E77415" w14:textId="78DDD125" w:rsidR="00541398" w:rsidRDefault="007B3D3A" w:rsidP="00794A14">
      <w:pPr>
        <w:pStyle w:val="Odsekzoznamu"/>
        <w:numPr>
          <w:ilvl w:val="1"/>
          <w:numId w:val="9"/>
        </w:numPr>
        <w:tabs>
          <w:tab w:val="left" w:pos="426"/>
        </w:tabs>
        <w:spacing w:before="0" w:beforeAutospacing="0" w:after="60" w:afterAutospacing="0"/>
        <w:ind w:left="714" w:hanging="357"/>
        <w:jc w:val="both"/>
        <w:rPr>
          <w:rFonts w:asciiTheme="minorHAnsi" w:hAnsiTheme="minorHAnsi" w:cstheme="minorHAnsi"/>
          <w:sz w:val="22"/>
          <w:szCs w:val="22"/>
        </w:rPr>
      </w:pPr>
      <w:r>
        <w:rPr>
          <w:rFonts w:asciiTheme="minorHAnsi" w:hAnsiTheme="minorHAnsi" w:cstheme="minorHAnsi"/>
          <w:b/>
          <w:sz w:val="22"/>
          <w:szCs w:val="22"/>
        </w:rPr>
        <w:t>V</w:t>
      </w:r>
      <w:r w:rsidR="00541398">
        <w:rPr>
          <w:rFonts w:asciiTheme="minorHAnsi" w:hAnsiTheme="minorHAnsi" w:cstheme="minorHAnsi"/>
          <w:b/>
          <w:sz w:val="22"/>
          <w:szCs w:val="22"/>
        </w:rPr>
        <w:t xml:space="preserve">ytvorenie dostatočných rezerv na zvýšené energetické nároky </w:t>
      </w:r>
      <w:r w:rsidR="00541398">
        <w:rPr>
          <w:rFonts w:asciiTheme="minorHAnsi" w:hAnsiTheme="minorHAnsi" w:cstheme="minorHAnsi"/>
          <w:bCs/>
          <w:sz w:val="22"/>
          <w:szCs w:val="22"/>
        </w:rPr>
        <w:t xml:space="preserve"> - pre všetky zariadenia v zriaďovateľskej pôsobnosti boli vytvorené finančné rezervy na túto oblasť. Časť finančných prostriedkov bude zaradená priamo v rozpočte a prípadnú </w:t>
      </w:r>
      <w:r w:rsidR="008D5CB3">
        <w:rPr>
          <w:rFonts w:asciiTheme="minorHAnsi" w:hAnsiTheme="minorHAnsi" w:cstheme="minorHAnsi"/>
          <w:bCs/>
          <w:sz w:val="22"/>
          <w:szCs w:val="22"/>
        </w:rPr>
        <w:t>ď</w:t>
      </w:r>
      <w:r w:rsidR="00541398">
        <w:rPr>
          <w:rFonts w:asciiTheme="minorHAnsi" w:hAnsiTheme="minorHAnsi" w:cstheme="minorHAnsi"/>
          <w:bCs/>
          <w:sz w:val="22"/>
          <w:szCs w:val="22"/>
        </w:rPr>
        <w:t>alšiu potrebu kryjú prostriedky Rezervného fondu nezaradeného v rozpočte.</w:t>
      </w:r>
      <w:r w:rsidR="00541398" w:rsidRPr="00185080">
        <w:rPr>
          <w:rFonts w:asciiTheme="minorHAnsi" w:hAnsiTheme="minorHAnsi" w:cstheme="minorHAnsi"/>
          <w:sz w:val="22"/>
          <w:szCs w:val="22"/>
        </w:rPr>
        <w:t xml:space="preserve"> </w:t>
      </w:r>
    </w:p>
    <w:p w14:paraId="3A5D1B30" w14:textId="77777777" w:rsidR="00541398" w:rsidRDefault="00541398" w:rsidP="00541398">
      <w:pPr>
        <w:tabs>
          <w:tab w:val="left" w:pos="426"/>
        </w:tabs>
        <w:spacing w:after="60"/>
        <w:ind w:left="357"/>
        <w:jc w:val="both"/>
        <w:rPr>
          <w:rFonts w:cstheme="minorHAnsi"/>
          <w:b/>
        </w:rPr>
      </w:pPr>
    </w:p>
    <w:p w14:paraId="73ECCACF" w14:textId="77777777" w:rsidR="007A1FD6" w:rsidRDefault="007A1FD6" w:rsidP="00541398">
      <w:pPr>
        <w:tabs>
          <w:tab w:val="left" w:pos="426"/>
        </w:tabs>
        <w:spacing w:after="60"/>
        <w:ind w:left="357"/>
        <w:jc w:val="both"/>
        <w:rPr>
          <w:rFonts w:cstheme="minorHAnsi"/>
          <w:b/>
        </w:rPr>
      </w:pPr>
    </w:p>
    <w:p w14:paraId="0C9EEDBA" w14:textId="77777777" w:rsidR="00AB3849" w:rsidRDefault="00AB3849" w:rsidP="00541398">
      <w:pPr>
        <w:tabs>
          <w:tab w:val="left" w:pos="426"/>
        </w:tabs>
        <w:spacing w:after="60"/>
        <w:ind w:left="357"/>
        <w:jc w:val="both"/>
        <w:rPr>
          <w:rFonts w:cstheme="minorHAnsi"/>
          <w:b/>
        </w:rPr>
      </w:pPr>
    </w:p>
    <w:p w14:paraId="20E8E28F" w14:textId="0739BFF4" w:rsidR="00541398" w:rsidRPr="003154BF" w:rsidRDefault="00541398" w:rsidP="00541398">
      <w:pPr>
        <w:tabs>
          <w:tab w:val="left" w:pos="426"/>
        </w:tabs>
        <w:spacing w:after="60"/>
        <w:ind w:left="357"/>
        <w:jc w:val="both"/>
        <w:rPr>
          <w:rFonts w:cstheme="minorHAnsi"/>
        </w:rPr>
      </w:pPr>
      <w:r w:rsidRPr="003154BF">
        <w:rPr>
          <w:rFonts w:cstheme="minorHAnsi"/>
          <w:b/>
        </w:rPr>
        <w:lastRenderedPageBreak/>
        <w:t>Kapitálové výdavky</w:t>
      </w:r>
      <w:r w:rsidRPr="003154BF">
        <w:rPr>
          <w:rFonts w:cstheme="minorHAnsi"/>
        </w:rPr>
        <w:t xml:space="preserve"> rozpočtu v roku 202</w:t>
      </w:r>
      <w:r w:rsidR="00C243E6">
        <w:rPr>
          <w:rFonts w:cstheme="minorHAnsi"/>
        </w:rPr>
        <w:t>5</w:t>
      </w:r>
      <w:r w:rsidRPr="003154BF">
        <w:rPr>
          <w:rFonts w:cstheme="minorHAnsi"/>
        </w:rPr>
        <w:t xml:space="preserve"> (ich výška a financovanie) sú výrazne ovplyvnené nasledovnými faktormi:</w:t>
      </w:r>
    </w:p>
    <w:p w14:paraId="21484924" w14:textId="0F771350" w:rsidR="00541398" w:rsidRPr="00987506" w:rsidRDefault="00541398" w:rsidP="00794A14">
      <w:pPr>
        <w:pStyle w:val="Odsekzoznamu"/>
        <w:numPr>
          <w:ilvl w:val="2"/>
          <w:numId w:val="9"/>
        </w:numPr>
        <w:tabs>
          <w:tab w:val="left" w:pos="426"/>
        </w:tabs>
        <w:spacing w:after="120" w:afterAutospacing="0"/>
        <w:ind w:left="806" w:hanging="446"/>
        <w:jc w:val="both"/>
        <w:rPr>
          <w:rFonts w:asciiTheme="minorHAnsi" w:eastAsiaTheme="minorHAnsi" w:hAnsiTheme="minorHAnsi" w:cstheme="minorHAnsi"/>
          <w:sz w:val="22"/>
          <w:szCs w:val="22"/>
          <w:lang w:eastAsia="en-US"/>
        </w:rPr>
      </w:pPr>
      <w:r w:rsidRPr="00987506">
        <w:rPr>
          <w:rFonts w:asciiTheme="minorHAnsi" w:eastAsiaTheme="minorHAnsi" w:hAnsiTheme="minorHAnsi" w:cstheme="minorHAnsi"/>
          <w:sz w:val="22"/>
          <w:szCs w:val="22"/>
          <w:lang w:eastAsia="en-US"/>
        </w:rPr>
        <w:t>tak ako každý rok, aj v roku 202</w:t>
      </w:r>
      <w:r w:rsidR="009014EB">
        <w:rPr>
          <w:rFonts w:asciiTheme="minorHAnsi" w:eastAsiaTheme="minorHAnsi" w:hAnsiTheme="minorHAnsi" w:cstheme="minorHAnsi"/>
          <w:sz w:val="22"/>
          <w:szCs w:val="22"/>
          <w:lang w:eastAsia="en-US"/>
        </w:rPr>
        <w:t>5</w:t>
      </w:r>
      <w:r w:rsidRPr="00987506">
        <w:rPr>
          <w:rFonts w:asciiTheme="minorHAnsi" w:eastAsiaTheme="minorHAnsi" w:hAnsiTheme="minorHAnsi" w:cstheme="minorHAnsi"/>
          <w:sz w:val="22"/>
          <w:szCs w:val="22"/>
          <w:lang w:eastAsia="en-US"/>
        </w:rPr>
        <w:t xml:space="preserve"> tvoria časť kapitálových výdavkov </w:t>
      </w:r>
      <w:r w:rsidRPr="00987506">
        <w:rPr>
          <w:rFonts w:asciiTheme="minorHAnsi" w:eastAsiaTheme="minorHAnsi" w:hAnsiTheme="minorHAnsi" w:cstheme="minorHAnsi"/>
          <w:b/>
          <w:bCs/>
          <w:sz w:val="22"/>
          <w:szCs w:val="22"/>
          <w:lang w:eastAsia="en-US"/>
        </w:rPr>
        <w:t>dobiehajúce projekty</w:t>
      </w:r>
      <w:r w:rsidRPr="00987506">
        <w:rPr>
          <w:rFonts w:asciiTheme="minorHAnsi" w:eastAsiaTheme="minorHAnsi" w:hAnsiTheme="minorHAnsi" w:cstheme="minorHAnsi"/>
          <w:sz w:val="22"/>
          <w:szCs w:val="22"/>
          <w:lang w:eastAsia="en-US"/>
        </w:rPr>
        <w:t xml:space="preserve"> začaté  v predchádzajúcich rokoch, ale ešte nedokončené a neodovzdané;</w:t>
      </w:r>
    </w:p>
    <w:p w14:paraId="6D2A9E9A" w14:textId="6C445FC0" w:rsidR="004C7CD4" w:rsidRPr="00987506" w:rsidRDefault="00541398" w:rsidP="00794A14">
      <w:pPr>
        <w:pStyle w:val="Odsekzoznamu"/>
        <w:numPr>
          <w:ilvl w:val="2"/>
          <w:numId w:val="9"/>
        </w:numPr>
        <w:tabs>
          <w:tab w:val="left" w:pos="426"/>
        </w:tabs>
        <w:spacing w:after="120" w:afterAutospacing="0"/>
        <w:ind w:left="806" w:hanging="446"/>
        <w:jc w:val="both"/>
        <w:rPr>
          <w:rFonts w:asciiTheme="minorHAnsi" w:eastAsiaTheme="minorHAnsi" w:hAnsiTheme="minorHAnsi" w:cstheme="minorHAnsi"/>
          <w:sz w:val="22"/>
          <w:szCs w:val="22"/>
          <w:lang w:eastAsia="en-US"/>
        </w:rPr>
      </w:pPr>
      <w:r w:rsidRPr="00987506">
        <w:rPr>
          <w:rFonts w:asciiTheme="minorHAnsi" w:eastAsiaTheme="minorHAnsi" w:hAnsiTheme="minorHAnsi" w:cstheme="minorHAnsi"/>
          <w:sz w:val="22"/>
          <w:szCs w:val="22"/>
          <w:lang w:eastAsia="en-US"/>
        </w:rPr>
        <w:t>v roku 202</w:t>
      </w:r>
      <w:r w:rsidR="009014EB">
        <w:rPr>
          <w:rFonts w:asciiTheme="minorHAnsi" w:eastAsiaTheme="minorHAnsi" w:hAnsiTheme="minorHAnsi" w:cstheme="minorHAnsi"/>
          <w:sz w:val="22"/>
          <w:szCs w:val="22"/>
          <w:lang w:eastAsia="en-US"/>
        </w:rPr>
        <w:t>5</w:t>
      </w:r>
      <w:r w:rsidR="009E4AAB" w:rsidRPr="00987506">
        <w:rPr>
          <w:rFonts w:asciiTheme="minorHAnsi" w:eastAsiaTheme="minorHAnsi" w:hAnsiTheme="minorHAnsi" w:cstheme="minorHAnsi"/>
          <w:sz w:val="22"/>
          <w:szCs w:val="22"/>
          <w:lang w:eastAsia="en-US"/>
        </w:rPr>
        <w:t xml:space="preserve"> budú najväčšiu časť kapitálových výdavkov predstavovať </w:t>
      </w:r>
      <w:r w:rsidR="00AC4E8F">
        <w:rPr>
          <w:rFonts w:asciiTheme="minorHAnsi" w:eastAsiaTheme="minorHAnsi" w:hAnsiTheme="minorHAnsi" w:cstheme="minorHAnsi"/>
          <w:sz w:val="22"/>
          <w:szCs w:val="22"/>
          <w:lang w:eastAsia="en-US"/>
        </w:rPr>
        <w:t xml:space="preserve">zostávajúce </w:t>
      </w:r>
      <w:r w:rsidR="009E4AAB" w:rsidRPr="00987506">
        <w:rPr>
          <w:rFonts w:asciiTheme="minorHAnsi" w:eastAsiaTheme="minorHAnsi" w:hAnsiTheme="minorHAnsi" w:cstheme="minorHAnsi"/>
          <w:b/>
          <w:bCs/>
          <w:sz w:val="22"/>
          <w:szCs w:val="22"/>
          <w:lang w:eastAsia="en-US"/>
        </w:rPr>
        <w:t>modernizácie ciest II. a III. triedy</w:t>
      </w:r>
      <w:r w:rsidR="009E4AAB" w:rsidRPr="00987506">
        <w:rPr>
          <w:rFonts w:asciiTheme="minorHAnsi" w:eastAsiaTheme="minorHAnsi" w:hAnsiTheme="minorHAnsi" w:cstheme="minorHAnsi"/>
          <w:sz w:val="22"/>
          <w:szCs w:val="22"/>
          <w:lang w:eastAsia="en-US"/>
        </w:rPr>
        <w:t xml:space="preserve"> financované prostredníctvom úveru z National </w:t>
      </w:r>
      <w:proofErr w:type="spellStart"/>
      <w:r w:rsidR="009E4AAB" w:rsidRPr="00987506">
        <w:rPr>
          <w:rFonts w:asciiTheme="minorHAnsi" w:eastAsiaTheme="minorHAnsi" w:hAnsiTheme="minorHAnsi" w:cstheme="minorHAnsi"/>
          <w:sz w:val="22"/>
          <w:szCs w:val="22"/>
          <w:lang w:eastAsia="en-US"/>
        </w:rPr>
        <w:t>Development</w:t>
      </w:r>
      <w:proofErr w:type="spellEnd"/>
      <w:r w:rsidR="009E4AAB" w:rsidRPr="00987506">
        <w:rPr>
          <w:rFonts w:asciiTheme="minorHAnsi" w:eastAsiaTheme="minorHAnsi" w:hAnsiTheme="minorHAnsi" w:cstheme="minorHAnsi"/>
          <w:sz w:val="22"/>
          <w:szCs w:val="22"/>
          <w:lang w:eastAsia="en-US"/>
        </w:rPr>
        <w:t xml:space="preserve"> </w:t>
      </w:r>
      <w:proofErr w:type="spellStart"/>
      <w:r w:rsidR="009E4AAB" w:rsidRPr="00987506">
        <w:rPr>
          <w:rFonts w:asciiTheme="minorHAnsi" w:eastAsiaTheme="minorHAnsi" w:hAnsiTheme="minorHAnsi" w:cstheme="minorHAnsi"/>
          <w:sz w:val="22"/>
          <w:szCs w:val="22"/>
          <w:lang w:eastAsia="en-US"/>
        </w:rPr>
        <w:t>Fund</w:t>
      </w:r>
      <w:proofErr w:type="spellEnd"/>
      <w:r w:rsidR="009E4AAB" w:rsidRPr="00987506">
        <w:rPr>
          <w:rFonts w:asciiTheme="minorHAnsi" w:eastAsiaTheme="minorHAnsi" w:hAnsiTheme="minorHAnsi" w:cstheme="minorHAnsi"/>
          <w:sz w:val="22"/>
          <w:szCs w:val="22"/>
          <w:lang w:eastAsia="en-US"/>
        </w:rPr>
        <w:t xml:space="preserve"> II.</w:t>
      </w:r>
      <w:r w:rsidR="00987506" w:rsidRPr="00987506">
        <w:rPr>
          <w:rFonts w:asciiTheme="minorHAnsi" w:eastAsiaTheme="minorHAnsi" w:hAnsiTheme="minorHAnsi" w:cstheme="minorHAnsi"/>
          <w:sz w:val="22"/>
          <w:szCs w:val="22"/>
          <w:lang w:eastAsia="en-US"/>
        </w:rPr>
        <w:t>,</w:t>
      </w:r>
      <w:r w:rsidR="009E4AAB" w:rsidRPr="00987506">
        <w:rPr>
          <w:rFonts w:asciiTheme="minorHAnsi" w:eastAsiaTheme="minorHAnsi" w:hAnsiTheme="minorHAnsi" w:cstheme="minorHAnsi"/>
          <w:sz w:val="22"/>
          <w:szCs w:val="22"/>
          <w:lang w:eastAsia="en-US"/>
        </w:rPr>
        <w:t xml:space="preserve"> a. s.</w:t>
      </w:r>
      <w:r w:rsidR="00AC4E8F">
        <w:rPr>
          <w:rFonts w:asciiTheme="minorHAnsi" w:eastAsiaTheme="minorHAnsi" w:hAnsiTheme="minorHAnsi" w:cstheme="minorHAnsi"/>
          <w:sz w:val="22"/>
          <w:szCs w:val="22"/>
          <w:lang w:eastAsia="en-US"/>
        </w:rPr>
        <w:t xml:space="preserve"> a zvyšovanie energetickej efektívnosti budov v oblasti vzdelávania a sociálnych služieb</w:t>
      </w:r>
    </w:p>
    <w:p w14:paraId="5D67E1D5" w14:textId="0AEA1125" w:rsidR="00541398" w:rsidRPr="00987506" w:rsidRDefault="00541398" w:rsidP="00794A14">
      <w:pPr>
        <w:pStyle w:val="Odsekzoznamu"/>
        <w:numPr>
          <w:ilvl w:val="2"/>
          <w:numId w:val="9"/>
        </w:numPr>
        <w:tabs>
          <w:tab w:val="left" w:pos="426"/>
        </w:tabs>
        <w:spacing w:after="120" w:afterAutospacing="0"/>
        <w:ind w:left="806" w:hanging="446"/>
        <w:jc w:val="both"/>
        <w:rPr>
          <w:rFonts w:asciiTheme="minorHAnsi" w:eastAsiaTheme="minorHAnsi" w:hAnsiTheme="minorHAnsi" w:cstheme="minorHAnsi"/>
          <w:sz w:val="22"/>
          <w:szCs w:val="22"/>
          <w:lang w:eastAsia="en-US"/>
        </w:rPr>
      </w:pPr>
      <w:r w:rsidRPr="00987506">
        <w:rPr>
          <w:rFonts w:asciiTheme="minorHAnsi" w:eastAsiaTheme="minorHAnsi" w:hAnsiTheme="minorHAnsi" w:cstheme="minorHAnsi"/>
          <w:sz w:val="22"/>
          <w:szCs w:val="22"/>
          <w:lang w:eastAsia="en-US"/>
        </w:rPr>
        <w:t>Celkový investičný plán na rok 202</w:t>
      </w:r>
      <w:r w:rsidR="009014EB">
        <w:rPr>
          <w:rFonts w:asciiTheme="minorHAnsi" w:eastAsiaTheme="minorHAnsi" w:hAnsiTheme="minorHAnsi" w:cstheme="minorHAnsi"/>
          <w:sz w:val="22"/>
          <w:szCs w:val="22"/>
          <w:lang w:eastAsia="en-US"/>
        </w:rPr>
        <w:t>5</w:t>
      </w:r>
      <w:r w:rsidRPr="00987506">
        <w:rPr>
          <w:rFonts w:asciiTheme="minorHAnsi" w:eastAsiaTheme="minorHAnsi" w:hAnsiTheme="minorHAnsi" w:cstheme="minorHAnsi"/>
          <w:sz w:val="22"/>
          <w:szCs w:val="22"/>
          <w:lang w:eastAsia="en-US"/>
        </w:rPr>
        <w:t xml:space="preserve"> je opäť mimoriadne ambiciózny. Celkový návrh rozpočtu na rok 202</w:t>
      </w:r>
      <w:r w:rsidR="00751F73">
        <w:rPr>
          <w:rFonts w:asciiTheme="minorHAnsi" w:eastAsiaTheme="minorHAnsi" w:hAnsiTheme="minorHAnsi" w:cstheme="minorHAnsi"/>
          <w:sz w:val="22"/>
          <w:szCs w:val="22"/>
          <w:lang w:eastAsia="en-US"/>
        </w:rPr>
        <w:t>4</w:t>
      </w:r>
      <w:r w:rsidRPr="00987506">
        <w:rPr>
          <w:rFonts w:asciiTheme="minorHAnsi" w:eastAsiaTheme="minorHAnsi" w:hAnsiTheme="minorHAnsi" w:cstheme="minorHAnsi"/>
          <w:sz w:val="22"/>
          <w:szCs w:val="22"/>
          <w:lang w:eastAsia="en-US"/>
        </w:rPr>
        <w:t xml:space="preserve"> v oblasti kapitálových výdavkov </w:t>
      </w:r>
      <w:r w:rsidRPr="00987506">
        <w:rPr>
          <w:rFonts w:asciiTheme="minorHAnsi" w:eastAsiaTheme="minorHAnsi" w:hAnsiTheme="minorHAnsi" w:cstheme="minorHAnsi"/>
          <w:b/>
          <w:bCs/>
          <w:sz w:val="22"/>
          <w:szCs w:val="22"/>
          <w:lang w:eastAsia="en-US"/>
        </w:rPr>
        <w:t xml:space="preserve">je na úrovni </w:t>
      </w:r>
      <w:r w:rsidR="009014EB">
        <w:rPr>
          <w:rFonts w:asciiTheme="minorHAnsi" w:eastAsiaTheme="minorHAnsi" w:hAnsiTheme="minorHAnsi" w:cstheme="minorHAnsi"/>
          <w:b/>
          <w:bCs/>
          <w:sz w:val="22"/>
          <w:szCs w:val="22"/>
          <w:lang w:eastAsia="en-US"/>
        </w:rPr>
        <w:t>73</w:t>
      </w:r>
      <w:r w:rsidRPr="00987506">
        <w:rPr>
          <w:rFonts w:asciiTheme="minorHAnsi" w:eastAsiaTheme="minorHAnsi" w:hAnsiTheme="minorHAnsi" w:cstheme="minorHAnsi"/>
          <w:b/>
          <w:bCs/>
          <w:sz w:val="22"/>
          <w:szCs w:val="22"/>
          <w:lang w:eastAsia="en-US"/>
        </w:rPr>
        <w:t xml:space="preserve"> mil. EUR</w:t>
      </w:r>
      <w:r w:rsidRPr="00987506">
        <w:rPr>
          <w:rFonts w:asciiTheme="minorHAnsi" w:eastAsiaTheme="minorHAnsi" w:hAnsiTheme="minorHAnsi" w:cstheme="minorHAnsi"/>
          <w:sz w:val="22"/>
          <w:szCs w:val="22"/>
          <w:lang w:eastAsia="en-US"/>
        </w:rPr>
        <w:t xml:space="preserve">, čo je </w:t>
      </w:r>
      <w:r w:rsidR="004C7CD4" w:rsidRPr="00987506">
        <w:rPr>
          <w:rFonts w:asciiTheme="minorHAnsi" w:eastAsiaTheme="minorHAnsi" w:hAnsiTheme="minorHAnsi" w:cstheme="minorHAnsi"/>
          <w:sz w:val="22"/>
          <w:szCs w:val="22"/>
          <w:lang w:eastAsia="en-US"/>
        </w:rPr>
        <w:t>historicky najvyššie číslo</w:t>
      </w:r>
      <w:r w:rsidRPr="00987506">
        <w:rPr>
          <w:rFonts w:asciiTheme="minorHAnsi" w:eastAsiaTheme="minorHAnsi" w:hAnsiTheme="minorHAnsi" w:cstheme="minorHAnsi"/>
          <w:sz w:val="22"/>
          <w:szCs w:val="22"/>
          <w:lang w:eastAsia="en-US"/>
        </w:rPr>
        <w:t>.</w:t>
      </w:r>
    </w:p>
    <w:p w14:paraId="754FA236" w14:textId="77777777" w:rsidR="00541398" w:rsidRPr="002B2D7D" w:rsidRDefault="00541398" w:rsidP="00541398">
      <w:pPr>
        <w:pStyle w:val="Odsekzoznamu"/>
        <w:tabs>
          <w:tab w:val="left" w:pos="426"/>
        </w:tabs>
        <w:spacing w:before="0" w:beforeAutospacing="0" w:after="120" w:afterAutospacing="0"/>
        <w:ind w:left="720"/>
        <w:jc w:val="both"/>
        <w:rPr>
          <w:rFonts w:asciiTheme="minorHAnsi" w:hAnsiTheme="minorHAnsi" w:cstheme="minorHAnsi"/>
          <w:sz w:val="22"/>
          <w:szCs w:val="22"/>
        </w:rPr>
      </w:pPr>
    </w:p>
    <w:p w14:paraId="0B0ED8CC" w14:textId="743A0D3B" w:rsidR="00541398" w:rsidRDefault="00002803" w:rsidP="00541398">
      <w:pPr>
        <w:tabs>
          <w:tab w:val="left" w:pos="426"/>
        </w:tabs>
        <w:spacing w:after="120" w:line="240" w:lineRule="auto"/>
        <w:jc w:val="center"/>
        <w:rPr>
          <w:rFonts w:cstheme="minorHAnsi"/>
        </w:rPr>
      </w:pPr>
      <w:r w:rsidRPr="00002803">
        <w:rPr>
          <w:rFonts w:cstheme="minorHAnsi"/>
          <w:noProof/>
        </w:rPr>
        <w:drawing>
          <wp:inline distT="0" distB="0" distL="0" distR="0" wp14:anchorId="0646B919" wp14:editId="18D419B2">
            <wp:extent cx="6645910" cy="778510"/>
            <wp:effectExtent l="0" t="0" r="2540" b="2540"/>
            <wp:docPr id="161308458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5910" cy="778510"/>
                    </a:xfrm>
                    <a:prstGeom prst="rect">
                      <a:avLst/>
                    </a:prstGeom>
                    <a:noFill/>
                    <a:ln>
                      <a:noFill/>
                    </a:ln>
                  </pic:spPr>
                </pic:pic>
              </a:graphicData>
            </a:graphic>
          </wp:inline>
        </w:drawing>
      </w:r>
    </w:p>
    <w:p w14:paraId="0C49E11A" w14:textId="77777777" w:rsidR="007A1FD6" w:rsidRPr="002B2D7D" w:rsidRDefault="007A1FD6" w:rsidP="00541398">
      <w:pPr>
        <w:tabs>
          <w:tab w:val="left" w:pos="426"/>
        </w:tabs>
        <w:spacing w:after="120" w:line="240" w:lineRule="auto"/>
        <w:jc w:val="center"/>
        <w:rPr>
          <w:rFonts w:cstheme="minorHAnsi"/>
        </w:rPr>
      </w:pPr>
    </w:p>
    <w:p w14:paraId="539FC23B" w14:textId="6E6586E8" w:rsidR="00541398" w:rsidRDefault="001276C0" w:rsidP="00815911">
      <w:pPr>
        <w:pStyle w:val="Odsekzoznamu"/>
        <w:tabs>
          <w:tab w:val="left" w:pos="426"/>
        </w:tabs>
        <w:jc w:val="center"/>
        <w:rPr>
          <w:rFonts w:asciiTheme="minorHAnsi" w:hAnsiTheme="minorHAnsi" w:cstheme="minorHAnsi"/>
          <w:sz w:val="22"/>
          <w:szCs w:val="22"/>
        </w:rPr>
      </w:pPr>
      <w:r w:rsidRPr="001276C0">
        <w:rPr>
          <w:rFonts w:asciiTheme="minorHAnsi" w:hAnsiTheme="minorHAnsi" w:cstheme="minorHAnsi"/>
          <w:noProof/>
          <w:sz w:val="22"/>
          <w:szCs w:val="22"/>
        </w:rPr>
        <w:drawing>
          <wp:inline distT="0" distB="0" distL="0" distR="0" wp14:anchorId="09290E4C" wp14:editId="2E54DDB6">
            <wp:extent cx="6645910" cy="2030095"/>
            <wp:effectExtent l="0" t="0" r="2540" b="8255"/>
            <wp:docPr id="169328183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5910" cy="2030095"/>
                    </a:xfrm>
                    <a:prstGeom prst="rect">
                      <a:avLst/>
                    </a:prstGeom>
                    <a:noFill/>
                    <a:ln>
                      <a:noFill/>
                    </a:ln>
                  </pic:spPr>
                </pic:pic>
              </a:graphicData>
            </a:graphic>
          </wp:inline>
        </w:drawing>
      </w:r>
    </w:p>
    <w:p w14:paraId="75060600" w14:textId="77777777" w:rsidR="007A1FD6" w:rsidRDefault="007A1FD6" w:rsidP="00815911">
      <w:pPr>
        <w:pStyle w:val="Odsekzoznamu"/>
        <w:tabs>
          <w:tab w:val="left" w:pos="426"/>
        </w:tabs>
        <w:jc w:val="center"/>
        <w:rPr>
          <w:rFonts w:asciiTheme="minorHAnsi" w:hAnsiTheme="minorHAnsi" w:cstheme="minorHAnsi"/>
          <w:sz w:val="22"/>
          <w:szCs w:val="22"/>
        </w:rPr>
      </w:pPr>
    </w:p>
    <w:p w14:paraId="032FCADF" w14:textId="77777777" w:rsidR="00541398" w:rsidRDefault="00541398" w:rsidP="00794A14">
      <w:pPr>
        <w:pStyle w:val="Odsekzoznamu"/>
        <w:numPr>
          <w:ilvl w:val="0"/>
          <w:numId w:val="9"/>
        </w:numPr>
        <w:tabs>
          <w:tab w:val="left" w:pos="426"/>
        </w:tabs>
        <w:spacing w:before="0" w:beforeAutospacing="0" w:after="120" w:afterAutospacing="0" w:line="276" w:lineRule="auto"/>
        <w:ind w:left="0" w:firstLine="0"/>
        <w:jc w:val="both"/>
        <w:rPr>
          <w:rFonts w:asciiTheme="minorHAnsi" w:hAnsiTheme="minorHAnsi" w:cstheme="minorHAnsi"/>
          <w:b/>
          <w:szCs w:val="22"/>
        </w:rPr>
      </w:pPr>
      <w:r>
        <w:rPr>
          <w:rFonts w:asciiTheme="minorHAnsi" w:hAnsiTheme="minorHAnsi" w:cstheme="minorHAnsi"/>
          <w:b/>
          <w:szCs w:val="22"/>
        </w:rPr>
        <w:t>Výdavkové finančné operácie</w:t>
      </w:r>
    </w:p>
    <w:p w14:paraId="5B868C1A" w14:textId="16FCF9E0" w:rsidR="00541398" w:rsidRPr="00F23ED1" w:rsidRDefault="00541398" w:rsidP="00541398">
      <w:pPr>
        <w:jc w:val="both"/>
        <w:rPr>
          <w:rFonts w:cstheme="minorHAnsi"/>
          <w:bCs/>
        </w:rPr>
      </w:pPr>
      <w:r w:rsidRPr="00F23ED1">
        <w:rPr>
          <w:rFonts w:cstheme="minorHAnsi"/>
          <w:bCs/>
        </w:rPr>
        <w:t>Výdavkové finančné operácie sú platby zo splácania istiny úverov použitých v minulosti, nákupu majetkových účastí a ostatných výdavkových operácií finančných aktív a finančných pasív. Pre rok 202</w:t>
      </w:r>
      <w:r w:rsidR="00DC6DA7">
        <w:rPr>
          <w:rFonts w:cstheme="minorHAnsi"/>
          <w:bCs/>
        </w:rPr>
        <w:t>5</w:t>
      </w:r>
      <w:r w:rsidRPr="00F23ED1">
        <w:rPr>
          <w:rFonts w:cstheme="minorHAnsi"/>
          <w:bCs/>
        </w:rPr>
        <w:t xml:space="preserve"> ich rozpočtujeme v celkovej výške </w:t>
      </w:r>
      <w:r w:rsidR="002F0DD6">
        <w:rPr>
          <w:rFonts w:cstheme="minorHAnsi"/>
          <w:bCs/>
        </w:rPr>
        <w:t>6</w:t>
      </w:r>
      <w:r w:rsidR="006A1DB0">
        <w:rPr>
          <w:rFonts w:cstheme="minorHAnsi"/>
          <w:bCs/>
        </w:rPr>
        <w:t xml:space="preserve"> 097 991</w:t>
      </w:r>
      <w:r w:rsidR="00C66CC2">
        <w:rPr>
          <w:rFonts w:cstheme="minorHAnsi"/>
          <w:bCs/>
        </w:rPr>
        <w:t xml:space="preserve"> </w:t>
      </w:r>
      <w:r w:rsidR="006A1DB0">
        <w:rPr>
          <w:rFonts w:cstheme="minorHAnsi"/>
          <w:bCs/>
        </w:rPr>
        <w:t>EUR</w:t>
      </w:r>
      <w:r w:rsidRPr="00F23ED1">
        <w:rPr>
          <w:rFonts w:cstheme="minorHAnsi"/>
          <w:bCs/>
        </w:rPr>
        <w:t xml:space="preserve">. </w:t>
      </w:r>
      <w:r>
        <w:rPr>
          <w:rFonts w:cstheme="minorHAnsi"/>
          <w:bCs/>
        </w:rPr>
        <w:t>V podmienkach BSK ide prakticky výlučne o splátky istín. Nárast medzi rokmi 202</w:t>
      </w:r>
      <w:r w:rsidR="00C66CC2">
        <w:rPr>
          <w:rFonts w:cstheme="minorHAnsi"/>
          <w:bCs/>
        </w:rPr>
        <w:t>4</w:t>
      </w:r>
      <w:r>
        <w:rPr>
          <w:rFonts w:cstheme="minorHAnsi"/>
          <w:bCs/>
        </w:rPr>
        <w:t xml:space="preserve"> a 202</w:t>
      </w:r>
      <w:r w:rsidR="00C66CC2">
        <w:rPr>
          <w:rFonts w:cstheme="minorHAnsi"/>
          <w:bCs/>
        </w:rPr>
        <w:t>3</w:t>
      </w:r>
      <w:r>
        <w:rPr>
          <w:rFonts w:cstheme="minorHAnsi"/>
          <w:bCs/>
        </w:rPr>
        <w:t xml:space="preserve"> je spôsobený prvou splátkou </w:t>
      </w:r>
      <w:r w:rsidR="005D0FBF">
        <w:rPr>
          <w:rFonts w:cstheme="minorHAnsi"/>
          <w:bCs/>
        </w:rPr>
        <w:t>úveru prijatého zo SLSP v rokoch 2022 a 2023</w:t>
      </w:r>
      <w:r>
        <w:rPr>
          <w:rFonts w:cstheme="minorHAnsi"/>
          <w:bCs/>
        </w:rPr>
        <w:t>. V roku 202</w:t>
      </w:r>
      <w:r w:rsidR="005D0FBF">
        <w:rPr>
          <w:rFonts w:cstheme="minorHAnsi"/>
          <w:bCs/>
        </w:rPr>
        <w:t>5</w:t>
      </w:r>
      <w:r>
        <w:rPr>
          <w:rFonts w:cstheme="minorHAnsi"/>
          <w:bCs/>
        </w:rPr>
        <w:t xml:space="preserve"> pribudne prvá splátka z</w:t>
      </w:r>
      <w:r w:rsidR="00A23366">
        <w:rPr>
          <w:rFonts w:cstheme="minorHAnsi"/>
          <w:bCs/>
        </w:rPr>
        <w:t xml:space="preserve"> úveru od National </w:t>
      </w:r>
      <w:proofErr w:type="spellStart"/>
      <w:r w:rsidR="00A23366">
        <w:rPr>
          <w:rFonts w:cstheme="minorHAnsi"/>
          <w:bCs/>
        </w:rPr>
        <w:t>Development</w:t>
      </w:r>
      <w:proofErr w:type="spellEnd"/>
      <w:r w:rsidR="00A23366">
        <w:rPr>
          <w:rFonts w:cstheme="minorHAnsi"/>
          <w:bCs/>
        </w:rPr>
        <w:t xml:space="preserve"> </w:t>
      </w:r>
      <w:proofErr w:type="spellStart"/>
      <w:r w:rsidR="00A23366">
        <w:rPr>
          <w:rFonts w:cstheme="minorHAnsi"/>
          <w:bCs/>
        </w:rPr>
        <w:t>Fund</w:t>
      </w:r>
      <w:proofErr w:type="spellEnd"/>
      <w:r w:rsidR="00A23366">
        <w:rPr>
          <w:rFonts w:cstheme="minorHAnsi"/>
          <w:bCs/>
        </w:rPr>
        <w:t xml:space="preserve"> II.</w:t>
      </w:r>
      <w:r w:rsidR="0081673A">
        <w:rPr>
          <w:rFonts w:cstheme="minorHAnsi"/>
          <w:bCs/>
        </w:rPr>
        <w:t>, ale zároveň bola odpustená splát</w:t>
      </w:r>
      <w:r w:rsidR="0024546D">
        <w:rPr>
          <w:rFonts w:cstheme="minorHAnsi"/>
          <w:bCs/>
        </w:rPr>
        <w:t>ka návratnej finančnej výpomoci</w:t>
      </w:r>
      <w:r w:rsidR="00977BB8">
        <w:rPr>
          <w:rFonts w:cstheme="minorHAnsi"/>
          <w:bCs/>
        </w:rPr>
        <w:t xml:space="preserve"> vo výške 1,7 mil. EUR</w:t>
      </w:r>
      <w:r>
        <w:rPr>
          <w:rFonts w:cstheme="minorHAnsi"/>
          <w:bCs/>
        </w:rPr>
        <w:t>.</w:t>
      </w:r>
      <w:r w:rsidRPr="00F23ED1">
        <w:rPr>
          <w:rFonts w:cstheme="minorHAnsi"/>
          <w:bCs/>
        </w:rPr>
        <w:t xml:space="preserve"> </w:t>
      </w:r>
      <w:r w:rsidR="009927CF">
        <w:rPr>
          <w:rFonts w:cstheme="minorHAnsi"/>
          <w:bCs/>
        </w:rPr>
        <w:t>Nárast v roku 2026 je spôsobený potencionálnym prijatím preklenovacieho úveru</w:t>
      </w:r>
      <w:r w:rsidR="0024790C">
        <w:rPr>
          <w:rFonts w:cstheme="minorHAnsi"/>
          <w:bCs/>
        </w:rPr>
        <w:t xml:space="preserve"> vo výške 4 mil. EUR a jeho splateným</w:t>
      </w:r>
      <w:r w:rsidR="007A1FD6">
        <w:rPr>
          <w:rFonts w:cstheme="minorHAnsi"/>
          <w:bCs/>
        </w:rPr>
        <w:t xml:space="preserve"> v roku 2026.</w:t>
      </w:r>
    </w:p>
    <w:p w14:paraId="53B9990A" w14:textId="03938533" w:rsidR="00541398" w:rsidRDefault="00ED6B49" w:rsidP="00541398">
      <w:pPr>
        <w:pStyle w:val="Odsekzoznamu"/>
        <w:tabs>
          <w:tab w:val="left" w:pos="426"/>
        </w:tabs>
        <w:spacing w:before="0" w:beforeAutospacing="0" w:after="120" w:afterAutospacing="0" w:line="276" w:lineRule="auto"/>
        <w:jc w:val="both"/>
        <w:rPr>
          <w:rFonts w:asciiTheme="minorHAnsi" w:hAnsiTheme="minorHAnsi" w:cstheme="minorHAnsi"/>
          <w:b/>
          <w:szCs w:val="22"/>
        </w:rPr>
      </w:pPr>
      <w:r w:rsidRPr="00ED6B49">
        <w:rPr>
          <w:rFonts w:asciiTheme="minorHAnsi" w:hAnsiTheme="minorHAnsi" w:cstheme="minorHAnsi"/>
          <w:b/>
          <w:noProof/>
          <w:szCs w:val="22"/>
        </w:rPr>
        <w:drawing>
          <wp:inline distT="0" distB="0" distL="0" distR="0" wp14:anchorId="570C9590" wp14:editId="0D5359F4">
            <wp:extent cx="6645910" cy="294005"/>
            <wp:effectExtent l="0" t="0" r="2540" b="0"/>
            <wp:docPr id="34874706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5910" cy="294005"/>
                    </a:xfrm>
                    <a:prstGeom prst="rect">
                      <a:avLst/>
                    </a:prstGeom>
                    <a:noFill/>
                    <a:ln>
                      <a:noFill/>
                    </a:ln>
                  </pic:spPr>
                </pic:pic>
              </a:graphicData>
            </a:graphic>
          </wp:inline>
        </w:drawing>
      </w:r>
    </w:p>
    <w:p w14:paraId="1230EC14" w14:textId="77777777" w:rsidR="00541398" w:rsidRDefault="00541398" w:rsidP="00541398">
      <w:pPr>
        <w:pStyle w:val="Odsekzoznamu"/>
        <w:tabs>
          <w:tab w:val="left" w:pos="426"/>
        </w:tabs>
        <w:spacing w:before="0" w:beforeAutospacing="0" w:after="120" w:afterAutospacing="0" w:line="276" w:lineRule="auto"/>
        <w:jc w:val="both"/>
        <w:rPr>
          <w:rFonts w:asciiTheme="minorHAnsi" w:hAnsiTheme="minorHAnsi" w:cstheme="minorHAnsi"/>
          <w:b/>
          <w:szCs w:val="22"/>
        </w:rPr>
      </w:pPr>
    </w:p>
    <w:p w14:paraId="2A8BF780" w14:textId="77777777" w:rsidR="007A1FD6" w:rsidRDefault="007A1FD6" w:rsidP="00541398">
      <w:pPr>
        <w:pStyle w:val="Odsekzoznamu"/>
        <w:tabs>
          <w:tab w:val="left" w:pos="426"/>
        </w:tabs>
        <w:spacing w:before="0" w:beforeAutospacing="0" w:after="120" w:afterAutospacing="0" w:line="276" w:lineRule="auto"/>
        <w:jc w:val="both"/>
        <w:rPr>
          <w:rFonts w:asciiTheme="minorHAnsi" w:hAnsiTheme="minorHAnsi" w:cstheme="minorHAnsi"/>
          <w:b/>
          <w:szCs w:val="22"/>
        </w:rPr>
      </w:pPr>
    </w:p>
    <w:p w14:paraId="394D15E6" w14:textId="77777777" w:rsidR="007A1FD6" w:rsidRDefault="007A1FD6" w:rsidP="00541398">
      <w:pPr>
        <w:pStyle w:val="Odsekzoznamu"/>
        <w:tabs>
          <w:tab w:val="left" w:pos="426"/>
        </w:tabs>
        <w:spacing w:before="0" w:beforeAutospacing="0" w:after="120" w:afterAutospacing="0" w:line="276" w:lineRule="auto"/>
        <w:jc w:val="both"/>
        <w:rPr>
          <w:rFonts w:asciiTheme="minorHAnsi" w:hAnsiTheme="minorHAnsi" w:cstheme="minorHAnsi"/>
          <w:b/>
          <w:szCs w:val="22"/>
        </w:rPr>
      </w:pPr>
    </w:p>
    <w:p w14:paraId="1144EAC8" w14:textId="77777777" w:rsidR="007A1FD6" w:rsidRDefault="007A1FD6" w:rsidP="00541398">
      <w:pPr>
        <w:pStyle w:val="Odsekzoznamu"/>
        <w:tabs>
          <w:tab w:val="left" w:pos="426"/>
        </w:tabs>
        <w:spacing w:before="0" w:beforeAutospacing="0" w:after="120" w:afterAutospacing="0" w:line="276" w:lineRule="auto"/>
        <w:jc w:val="both"/>
        <w:rPr>
          <w:rFonts w:asciiTheme="minorHAnsi" w:hAnsiTheme="minorHAnsi" w:cstheme="minorHAnsi"/>
          <w:b/>
          <w:szCs w:val="22"/>
        </w:rPr>
      </w:pPr>
    </w:p>
    <w:p w14:paraId="56B2CC1B" w14:textId="77777777" w:rsidR="007A1FD6" w:rsidRDefault="007A1FD6" w:rsidP="00541398">
      <w:pPr>
        <w:pStyle w:val="Odsekzoznamu"/>
        <w:tabs>
          <w:tab w:val="left" w:pos="426"/>
        </w:tabs>
        <w:spacing w:before="0" w:beforeAutospacing="0" w:after="120" w:afterAutospacing="0" w:line="276" w:lineRule="auto"/>
        <w:jc w:val="both"/>
        <w:rPr>
          <w:rFonts w:asciiTheme="minorHAnsi" w:hAnsiTheme="minorHAnsi" w:cstheme="minorHAnsi"/>
          <w:b/>
          <w:szCs w:val="22"/>
        </w:rPr>
      </w:pPr>
    </w:p>
    <w:p w14:paraId="79DD6DC4" w14:textId="77777777" w:rsidR="00541398" w:rsidRDefault="00541398" w:rsidP="00794A14">
      <w:pPr>
        <w:pStyle w:val="Odsekzoznamu"/>
        <w:numPr>
          <w:ilvl w:val="0"/>
          <w:numId w:val="11"/>
        </w:numPr>
        <w:tabs>
          <w:tab w:val="left" w:pos="426"/>
        </w:tabs>
        <w:spacing w:after="120"/>
        <w:ind w:hanging="720"/>
        <w:jc w:val="both"/>
        <w:rPr>
          <w:rFonts w:asciiTheme="minorHAnsi" w:hAnsiTheme="minorHAnsi" w:cstheme="minorHAnsi"/>
          <w:b/>
          <w:bCs/>
          <w:color w:val="2F5496" w:themeColor="accent1" w:themeShade="BF"/>
        </w:rPr>
      </w:pPr>
      <w:r w:rsidRPr="009D6FCC">
        <w:rPr>
          <w:rFonts w:asciiTheme="minorHAnsi" w:hAnsiTheme="minorHAnsi" w:cstheme="minorHAnsi"/>
          <w:b/>
          <w:bCs/>
          <w:color w:val="2F5496" w:themeColor="accent1" w:themeShade="BF"/>
        </w:rPr>
        <w:lastRenderedPageBreak/>
        <w:t>Záverečné hodnotenie návrhu rozpočtu</w:t>
      </w:r>
    </w:p>
    <w:p w14:paraId="3EC8E260" w14:textId="48C16213" w:rsidR="00541398" w:rsidRDefault="00541398" w:rsidP="00541398">
      <w:pPr>
        <w:pStyle w:val="Odsekzoznamu"/>
        <w:tabs>
          <w:tab w:val="left" w:pos="426"/>
        </w:tabs>
        <w:spacing w:after="120"/>
        <w:jc w:val="both"/>
        <w:rPr>
          <w:rFonts w:asciiTheme="minorHAnsi" w:hAnsiTheme="minorHAnsi" w:cstheme="minorHAnsi"/>
          <w:sz w:val="22"/>
          <w:szCs w:val="22"/>
        </w:rPr>
      </w:pPr>
      <w:r w:rsidRPr="00BF7CEC">
        <w:rPr>
          <w:rFonts w:asciiTheme="minorHAnsi" w:hAnsiTheme="minorHAnsi" w:cstheme="minorHAnsi"/>
          <w:sz w:val="22"/>
          <w:szCs w:val="22"/>
        </w:rPr>
        <w:t>Celková bilancia Návrhu rozpočtu BSK na roky 202</w:t>
      </w:r>
      <w:r w:rsidR="007A1FD6">
        <w:rPr>
          <w:rFonts w:asciiTheme="minorHAnsi" w:hAnsiTheme="minorHAnsi" w:cstheme="minorHAnsi"/>
          <w:sz w:val="22"/>
          <w:szCs w:val="22"/>
        </w:rPr>
        <w:t>5</w:t>
      </w:r>
      <w:r w:rsidRPr="00BF7CEC">
        <w:rPr>
          <w:rFonts w:asciiTheme="minorHAnsi" w:hAnsiTheme="minorHAnsi" w:cstheme="minorHAnsi"/>
          <w:sz w:val="22"/>
          <w:szCs w:val="22"/>
        </w:rPr>
        <w:t xml:space="preserve"> až 202</w:t>
      </w:r>
      <w:r w:rsidR="007A1FD6">
        <w:rPr>
          <w:rFonts w:asciiTheme="minorHAnsi" w:hAnsiTheme="minorHAnsi" w:cstheme="minorHAnsi"/>
          <w:sz w:val="22"/>
          <w:szCs w:val="22"/>
        </w:rPr>
        <w:t>7</w:t>
      </w:r>
      <w:r w:rsidRPr="00BF7CEC">
        <w:rPr>
          <w:rFonts w:asciiTheme="minorHAnsi" w:hAnsiTheme="minorHAnsi" w:cstheme="minorHAnsi"/>
          <w:sz w:val="22"/>
          <w:szCs w:val="22"/>
        </w:rPr>
        <w:t xml:space="preserve"> je nasledovná:</w:t>
      </w:r>
    </w:p>
    <w:p w14:paraId="3BA1658D" w14:textId="163CA8E2" w:rsidR="00541398" w:rsidRPr="00BF7CEC" w:rsidRDefault="00011378" w:rsidP="00541398">
      <w:pPr>
        <w:pStyle w:val="Odsekzoznamu"/>
        <w:tabs>
          <w:tab w:val="left" w:pos="426"/>
        </w:tabs>
        <w:spacing w:after="120"/>
        <w:jc w:val="both"/>
        <w:rPr>
          <w:rFonts w:asciiTheme="minorHAnsi" w:hAnsiTheme="minorHAnsi" w:cstheme="minorHAnsi"/>
          <w:sz w:val="22"/>
          <w:szCs w:val="22"/>
        </w:rPr>
      </w:pPr>
      <w:r w:rsidRPr="00011378">
        <w:rPr>
          <w:rFonts w:asciiTheme="minorHAnsi" w:hAnsiTheme="minorHAnsi" w:cstheme="minorHAnsi"/>
          <w:noProof/>
          <w:sz w:val="22"/>
          <w:szCs w:val="22"/>
        </w:rPr>
        <w:drawing>
          <wp:inline distT="0" distB="0" distL="0" distR="0" wp14:anchorId="798501A9" wp14:editId="48C295C1">
            <wp:extent cx="6645910" cy="1999615"/>
            <wp:effectExtent l="0" t="0" r="2540" b="635"/>
            <wp:docPr id="1704188070"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5910" cy="1999615"/>
                    </a:xfrm>
                    <a:prstGeom prst="rect">
                      <a:avLst/>
                    </a:prstGeom>
                    <a:noFill/>
                    <a:ln>
                      <a:noFill/>
                    </a:ln>
                  </pic:spPr>
                </pic:pic>
              </a:graphicData>
            </a:graphic>
          </wp:inline>
        </w:drawing>
      </w:r>
    </w:p>
    <w:p w14:paraId="39C1A28C" w14:textId="45C6C68B" w:rsidR="00541398" w:rsidRDefault="00541398" w:rsidP="00541398">
      <w:pPr>
        <w:pStyle w:val="Odsekzoznamu"/>
        <w:tabs>
          <w:tab w:val="left" w:pos="426"/>
        </w:tabs>
        <w:spacing w:after="120"/>
        <w:jc w:val="both"/>
        <w:rPr>
          <w:rFonts w:asciiTheme="minorHAnsi" w:hAnsiTheme="minorHAnsi" w:cstheme="minorHAnsi"/>
          <w:sz w:val="22"/>
          <w:szCs w:val="22"/>
        </w:rPr>
      </w:pPr>
      <w:r w:rsidRPr="002B2D7D">
        <w:rPr>
          <w:rFonts w:asciiTheme="minorHAnsi" w:hAnsiTheme="minorHAnsi" w:cstheme="minorHAnsi"/>
          <w:sz w:val="22"/>
          <w:szCs w:val="22"/>
        </w:rPr>
        <w:t>Predkl</w:t>
      </w:r>
      <w:r>
        <w:rPr>
          <w:rFonts w:asciiTheme="minorHAnsi" w:hAnsiTheme="minorHAnsi" w:cstheme="minorHAnsi"/>
          <w:sz w:val="22"/>
          <w:szCs w:val="22"/>
        </w:rPr>
        <w:t>adaný návrh rozpočtu na rok 202</w:t>
      </w:r>
      <w:r w:rsidR="00647B00">
        <w:rPr>
          <w:rFonts w:asciiTheme="minorHAnsi" w:hAnsiTheme="minorHAnsi" w:cstheme="minorHAnsi"/>
          <w:sz w:val="22"/>
          <w:szCs w:val="22"/>
        </w:rPr>
        <w:t>5</w:t>
      </w:r>
      <w:r>
        <w:rPr>
          <w:rFonts w:asciiTheme="minorHAnsi" w:hAnsiTheme="minorHAnsi" w:cstheme="minorHAnsi"/>
          <w:sz w:val="22"/>
          <w:szCs w:val="22"/>
        </w:rPr>
        <w:t xml:space="preserve"> je </w:t>
      </w:r>
      <w:r w:rsidR="00EF3CEE">
        <w:rPr>
          <w:rFonts w:asciiTheme="minorHAnsi" w:hAnsiTheme="minorHAnsi" w:cstheme="minorHAnsi"/>
          <w:sz w:val="22"/>
          <w:szCs w:val="22"/>
        </w:rPr>
        <w:t>významne</w:t>
      </w:r>
      <w:r>
        <w:rPr>
          <w:rFonts w:asciiTheme="minorHAnsi" w:hAnsiTheme="minorHAnsi" w:cstheme="minorHAnsi"/>
          <w:sz w:val="22"/>
          <w:szCs w:val="22"/>
        </w:rPr>
        <w:t xml:space="preserve"> ovplyvnený najmä </w:t>
      </w:r>
      <w:r w:rsidR="005119B2">
        <w:rPr>
          <w:rFonts w:asciiTheme="minorHAnsi" w:hAnsiTheme="minorHAnsi" w:cstheme="minorHAnsi"/>
          <w:sz w:val="22"/>
          <w:szCs w:val="22"/>
        </w:rPr>
        <w:t>zavedením „konsolidačného balíčka„ Vlády SR, ktorý obsahuje okrem iného aj krátenie</w:t>
      </w:r>
      <w:r>
        <w:rPr>
          <w:rFonts w:asciiTheme="minorHAnsi" w:hAnsiTheme="minorHAnsi" w:cstheme="minorHAnsi"/>
          <w:sz w:val="22"/>
          <w:szCs w:val="22"/>
        </w:rPr>
        <w:t xml:space="preserve"> daňových príjmov </w:t>
      </w:r>
      <w:r w:rsidR="007B7668">
        <w:rPr>
          <w:rFonts w:asciiTheme="minorHAnsi" w:hAnsiTheme="minorHAnsi" w:cstheme="minorHAnsi"/>
          <w:sz w:val="22"/>
          <w:szCs w:val="22"/>
        </w:rPr>
        <w:t>BSK</w:t>
      </w:r>
      <w:r>
        <w:rPr>
          <w:rFonts w:asciiTheme="minorHAnsi" w:hAnsiTheme="minorHAnsi" w:cstheme="minorHAnsi"/>
          <w:sz w:val="22"/>
          <w:szCs w:val="22"/>
        </w:rPr>
        <w:t xml:space="preserve">. </w:t>
      </w:r>
      <w:r w:rsidR="00754206">
        <w:rPr>
          <w:rFonts w:asciiTheme="minorHAnsi" w:hAnsiTheme="minorHAnsi" w:cstheme="minorHAnsi"/>
          <w:sz w:val="22"/>
          <w:szCs w:val="22"/>
        </w:rPr>
        <w:t>Ďalším významným faktorom</w:t>
      </w:r>
      <w:r w:rsidR="0059212E">
        <w:rPr>
          <w:rFonts w:asciiTheme="minorHAnsi" w:hAnsiTheme="minorHAnsi" w:cstheme="minorHAnsi"/>
          <w:sz w:val="22"/>
          <w:szCs w:val="22"/>
        </w:rPr>
        <w:t xml:space="preserve">, najmä pri plánovaní kapitálových výdavkov, je postupné nabiehanie realizačných fáz </w:t>
      </w:r>
      <w:r w:rsidR="008C081B">
        <w:rPr>
          <w:rFonts w:asciiTheme="minorHAnsi" w:hAnsiTheme="minorHAnsi" w:cstheme="minorHAnsi"/>
          <w:sz w:val="22"/>
          <w:szCs w:val="22"/>
        </w:rPr>
        <w:t>dlhodobých</w:t>
      </w:r>
      <w:r w:rsidR="0059212E">
        <w:rPr>
          <w:rFonts w:asciiTheme="minorHAnsi" w:hAnsiTheme="minorHAnsi" w:cstheme="minorHAnsi"/>
          <w:sz w:val="22"/>
          <w:szCs w:val="22"/>
        </w:rPr>
        <w:t xml:space="preserve"> strategických projektov</w:t>
      </w:r>
      <w:r w:rsidR="0011362A">
        <w:rPr>
          <w:rFonts w:asciiTheme="minorHAnsi" w:hAnsiTheme="minorHAnsi" w:cstheme="minorHAnsi"/>
          <w:sz w:val="22"/>
          <w:szCs w:val="22"/>
        </w:rPr>
        <w:t>, ktoré sú finančne náročnejšie (</w:t>
      </w:r>
      <w:proofErr w:type="spellStart"/>
      <w:r w:rsidR="0011362A">
        <w:rPr>
          <w:rFonts w:asciiTheme="minorHAnsi" w:hAnsiTheme="minorHAnsi" w:cstheme="minorHAnsi"/>
          <w:sz w:val="22"/>
          <w:szCs w:val="22"/>
        </w:rPr>
        <w:t>kempusy</w:t>
      </w:r>
      <w:proofErr w:type="spellEnd"/>
      <w:r w:rsidR="0011362A">
        <w:rPr>
          <w:rFonts w:asciiTheme="minorHAnsi" w:hAnsiTheme="minorHAnsi" w:cstheme="minorHAnsi"/>
          <w:sz w:val="22"/>
          <w:szCs w:val="22"/>
        </w:rPr>
        <w:t>, COVP a ďalšie)</w:t>
      </w:r>
      <w:r w:rsidR="008C081B">
        <w:rPr>
          <w:rFonts w:asciiTheme="minorHAnsi" w:hAnsiTheme="minorHAnsi" w:cstheme="minorHAnsi"/>
          <w:sz w:val="22"/>
          <w:szCs w:val="22"/>
        </w:rPr>
        <w:t>. Po</w:t>
      </w:r>
      <w:r>
        <w:rPr>
          <w:rFonts w:asciiTheme="minorHAnsi" w:hAnsiTheme="minorHAnsi" w:cstheme="minorHAnsi"/>
          <w:sz w:val="22"/>
          <w:szCs w:val="22"/>
        </w:rPr>
        <w:t xml:space="preserve"> viacerých opatreniach</w:t>
      </w:r>
      <w:r w:rsidR="00C41960">
        <w:rPr>
          <w:rFonts w:asciiTheme="minorHAnsi" w:hAnsiTheme="minorHAnsi" w:cstheme="minorHAnsi"/>
          <w:sz w:val="22"/>
          <w:szCs w:val="22"/>
        </w:rPr>
        <w:t xml:space="preserve"> v rokoch 2022 a</w:t>
      </w:r>
      <w:r w:rsidR="00754206">
        <w:rPr>
          <w:rFonts w:asciiTheme="minorHAnsi" w:hAnsiTheme="minorHAnsi" w:cstheme="minorHAnsi"/>
          <w:sz w:val="22"/>
          <w:szCs w:val="22"/>
        </w:rPr>
        <w:t>ž</w:t>
      </w:r>
      <w:r w:rsidR="00C41960">
        <w:rPr>
          <w:rFonts w:asciiTheme="minorHAnsi" w:hAnsiTheme="minorHAnsi" w:cstheme="minorHAnsi"/>
          <w:sz w:val="22"/>
          <w:szCs w:val="22"/>
        </w:rPr>
        <w:t xml:space="preserve"> 202</w:t>
      </w:r>
      <w:r w:rsidR="000D2804">
        <w:rPr>
          <w:rFonts w:asciiTheme="minorHAnsi" w:hAnsiTheme="minorHAnsi" w:cstheme="minorHAnsi"/>
          <w:sz w:val="22"/>
          <w:szCs w:val="22"/>
        </w:rPr>
        <w:t>4</w:t>
      </w:r>
      <w:r>
        <w:rPr>
          <w:rFonts w:asciiTheme="minorHAnsi" w:hAnsiTheme="minorHAnsi" w:cstheme="minorHAnsi"/>
          <w:sz w:val="22"/>
          <w:szCs w:val="22"/>
        </w:rPr>
        <w:t xml:space="preserve"> (racionalizácia chodu Úradu BSK, </w:t>
      </w:r>
      <w:proofErr w:type="spellStart"/>
      <w:r>
        <w:rPr>
          <w:rFonts w:asciiTheme="minorHAnsi" w:hAnsiTheme="minorHAnsi" w:cstheme="minorHAnsi"/>
          <w:sz w:val="22"/>
          <w:szCs w:val="22"/>
        </w:rPr>
        <w:t>prioritizácia</w:t>
      </w:r>
      <w:proofErr w:type="spellEnd"/>
      <w:r>
        <w:rPr>
          <w:rFonts w:asciiTheme="minorHAnsi" w:hAnsiTheme="minorHAnsi" w:cstheme="minorHAnsi"/>
          <w:sz w:val="22"/>
          <w:szCs w:val="22"/>
        </w:rPr>
        <w:t xml:space="preserve"> najdôležitejších oblastí, opatrenia v oblasti príjmov) sa </w:t>
      </w:r>
      <w:r w:rsidR="00D5096F">
        <w:rPr>
          <w:rFonts w:asciiTheme="minorHAnsi" w:hAnsiTheme="minorHAnsi" w:cstheme="minorHAnsi"/>
          <w:sz w:val="22"/>
          <w:szCs w:val="22"/>
        </w:rPr>
        <w:t xml:space="preserve">opäť </w:t>
      </w:r>
      <w:r>
        <w:rPr>
          <w:rFonts w:asciiTheme="minorHAnsi" w:hAnsiTheme="minorHAnsi" w:cstheme="minorHAnsi"/>
          <w:sz w:val="22"/>
          <w:szCs w:val="22"/>
        </w:rPr>
        <w:t>podarilo zostaviť bežný rozpočet tak, že bežné príjmy pokrývajú nielen bežné výdavky a splátky istín (výdavkové finančné operácie), ale časť z nich je možné použiť aj na kapitálové výdavky.</w:t>
      </w:r>
    </w:p>
    <w:p w14:paraId="5485A3E8" w14:textId="12DDA346" w:rsidR="00541398" w:rsidRDefault="00541398"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 xml:space="preserve">V rámci kapitálového rozpočtu je vidieť stúpajúci trend schopnosti BSK úspešne implementovať stále väčšiu časť naplánovaných projektov (v roku 2020 to boli projekty vo výške 10 mil. EUR, v roku 2021 takmer 21 mil. EUR a v roku 2022 </w:t>
      </w:r>
      <w:r w:rsidR="0054116A">
        <w:rPr>
          <w:rFonts w:asciiTheme="minorHAnsi" w:hAnsiTheme="minorHAnsi" w:cstheme="minorHAnsi"/>
          <w:sz w:val="22"/>
          <w:szCs w:val="22"/>
        </w:rPr>
        <w:t xml:space="preserve">išlo o </w:t>
      </w:r>
      <w:r>
        <w:rPr>
          <w:rFonts w:asciiTheme="minorHAnsi" w:hAnsiTheme="minorHAnsi" w:cstheme="minorHAnsi"/>
          <w:sz w:val="22"/>
          <w:szCs w:val="22"/>
        </w:rPr>
        <w:t>4</w:t>
      </w:r>
      <w:r w:rsidR="0054116A">
        <w:rPr>
          <w:rFonts w:asciiTheme="minorHAnsi" w:hAnsiTheme="minorHAnsi" w:cstheme="minorHAnsi"/>
          <w:sz w:val="22"/>
          <w:szCs w:val="22"/>
        </w:rPr>
        <w:t>9</w:t>
      </w:r>
      <w:r>
        <w:rPr>
          <w:rFonts w:asciiTheme="minorHAnsi" w:hAnsiTheme="minorHAnsi" w:cstheme="minorHAnsi"/>
          <w:sz w:val="22"/>
          <w:szCs w:val="22"/>
        </w:rPr>
        <w:t xml:space="preserve"> mil. EUR</w:t>
      </w:r>
      <w:r w:rsidR="0054116A">
        <w:rPr>
          <w:rFonts w:asciiTheme="minorHAnsi" w:hAnsiTheme="minorHAnsi" w:cstheme="minorHAnsi"/>
          <w:sz w:val="22"/>
          <w:szCs w:val="22"/>
        </w:rPr>
        <w:t xml:space="preserve">, v roku 2023 </w:t>
      </w:r>
      <w:r w:rsidR="00605173">
        <w:rPr>
          <w:rFonts w:asciiTheme="minorHAnsi" w:hAnsiTheme="minorHAnsi" w:cstheme="minorHAnsi"/>
          <w:sz w:val="22"/>
          <w:szCs w:val="22"/>
        </w:rPr>
        <w:t>5</w:t>
      </w:r>
      <w:r w:rsidR="00E12A51">
        <w:rPr>
          <w:rFonts w:asciiTheme="minorHAnsi" w:hAnsiTheme="minorHAnsi" w:cstheme="minorHAnsi"/>
          <w:sz w:val="22"/>
          <w:szCs w:val="22"/>
        </w:rPr>
        <w:t>2</w:t>
      </w:r>
      <w:r w:rsidR="00605173">
        <w:rPr>
          <w:rFonts w:asciiTheme="minorHAnsi" w:hAnsiTheme="minorHAnsi" w:cstheme="minorHAnsi"/>
          <w:sz w:val="22"/>
          <w:szCs w:val="22"/>
        </w:rPr>
        <w:t xml:space="preserve"> mil. EUR</w:t>
      </w:r>
      <w:r w:rsidR="00E12A51">
        <w:rPr>
          <w:rFonts w:asciiTheme="minorHAnsi" w:hAnsiTheme="minorHAnsi" w:cstheme="minorHAnsi"/>
          <w:sz w:val="22"/>
          <w:szCs w:val="22"/>
        </w:rPr>
        <w:t>. V roku 2024</w:t>
      </w:r>
      <w:r w:rsidR="00125B3D">
        <w:rPr>
          <w:rFonts w:asciiTheme="minorHAnsi" w:hAnsiTheme="minorHAnsi" w:cstheme="minorHAnsi"/>
          <w:sz w:val="22"/>
          <w:szCs w:val="22"/>
        </w:rPr>
        <w:t xml:space="preserve"> príde k miernemu poklesu z dôvodu nižšieho čerpania úveru z NDF II. než bolo plánované a</w:t>
      </w:r>
      <w:r w:rsidR="002A5DFB">
        <w:rPr>
          <w:rFonts w:asciiTheme="minorHAnsi" w:hAnsiTheme="minorHAnsi" w:cstheme="minorHAnsi"/>
          <w:sz w:val="22"/>
          <w:szCs w:val="22"/>
        </w:rPr>
        <w:t> predĺženiu prípravných projektov spolufinancovaných z EÚ</w:t>
      </w:r>
      <w:r>
        <w:rPr>
          <w:rFonts w:asciiTheme="minorHAnsi" w:hAnsiTheme="minorHAnsi" w:cstheme="minorHAnsi"/>
          <w:sz w:val="22"/>
          <w:szCs w:val="22"/>
        </w:rPr>
        <w:t>).</w:t>
      </w:r>
      <w:r w:rsidR="005A6D23">
        <w:rPr>
          <w:rFonts w:asciiTheme="minorHAnsi" w:hAnsiTheme="minorHAnsi" w:cstheme="minorHAnsi"/>
          <w:sz w:val="22"/>
          <w:szCs w:val="22"/>
        </w:rPr>
        <w:t xml:space="preserve"> </w:t>
      </w:r>
      <w:r>
        <w:rPr>
          <w:rFonts w:asciiTheme="minorHAnsi" w:hAnsiTheme="minorHAnsi" w:cstheme="minorHAnsi"/>
          <w:sz w:val="22"/>
          <w:szCs w:val="22"/>
        </w:rPr>
        <w:t>Jednotlivé priority</w:t>
      </w:r>
      <w:r w:rsidR="00A1573D">
        <w:rPr>
          <w:rFonts w:asciiTheme="minorHAnsi" w:hAnsiTheme="minorHAnsi" w:cstheme="minorHAnsi"/>
          <w:sz w:val="22"/>
          <w:szCs w:val="22"/>
        </w:rPr>
        <w:t xml:space="preserve"> kapitálového rozpočtu na rok 2025</w:t>
      </w:r>
      <w:r>
        <w:rPr>
          <w:rFonts w:asciiTheme="minorHAnsi" w:hAnsiTheme="minorHAnsi" w:cstheme="minorHAnsi"/>
          <w:sz w:val="22"/>
          <w:szCs w:val="22"/>
        </w:rPr>
        <w:t xml:space="preserve"> sú popísané v jednotlivých kapitolách programového rozpočtu, resp. sú súčasťou investičných plánov, uvedených na konci materiálu v prílohách. Ďalšie informácie obsahuje Akčný plán BSK.</w:t>
      </w:r>
    </w:p>
    <w:p w14:paraId="33B64E2A" w14:textId="77777777" w:rsidR="00541398" w:rsidRDefault="00541398"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Za najvýznamnejšie riziká považujeme najmä</w:t>
      </w:r>
    </w:p>
    <w:p w14:paraId="73E15FE5" w14:textId="13D0550A" w:rsidR="00541398" w:rsidRPr="00B6188A" w:rsidRDefault="00541398" w:rsidP="00541398">
      <w:pPr>
        <w:pStyle w:val="Odsekzoznamu"/>
        <w:tabs>
          <w:tab w:val="left" w:pos="426"/>
        </w:tabs>
        <w:spacing w:before="0" w:beforeAutospacing="0" w:after="0" w:afterAutospacing="0"/>
        <w:jc w:val="both"/>
        <w:rPr>
          <w:rFonts w:asciiTheme="minorHAnsi" w:hAnsiTheme="minorHAnsi" w:cstheme="minorHAnsi"/>
          <w:sz w:val="22"/>
          <w:szCs w:val="22"/>
        </w:rPr>
      </w:pPr>
      <w:r w:rsidRPr="00B6188A">
        <w:rPr>
          <w:rFonts w:asciiTheme="minorHAnsi" w:hAnsiTheme="minorHAnsi" w:cstheme="minorHAnsi"/>
          <w:sz w:val="22"/>
          <w:szCs w:val="22"/>
        </w:rPr>
        <w:t>•</w:t>
      </w:r>
      <w:r w:rsidRPr="00B6188A">
        <w:rPr>
          <w:rFonts w:asciiTheme="minorHAnsi" w:hAnsiTheme="minorHAnsi" w:cstheme="minorHAnsi"/>
          <w:sz w:val="22"/>
          <w:szCs w:val="22"/>
        </w:rPr>
        <w:tab/>
      </w:r>
      <w:r w:rsidR="00EF4FA3">
        <w:rPr>
          <w:rFonts w:asciiTheme="minorHAnsi" w:hAnsiTheme="minorHAnsi" w:cstheme="minorHAnsi"/>
          <w:sz w:val="22"/>
          <w:szCs w:val="22"/>
        </w:rPr>
        <w:t>nestabilita</w:t>
      </w:r>
      <w:r w:rsidRPr="00B6188A">
        <w:rPr>
          <w:rFonts w:asciiTheme="minorHAnsi" w:hAnsiTheme="minorHAnsi" w:cstheme="minorHAnsi"/>
          <w:sz w:val="22"/>
          <w:szCs w:val="22"/>
        </w:rPr>
        <w:t xml:space="preserve"> výnosu </w:t>
      </w:r>
      <w:r>
        <w:rPr>
          <w:rFonts w:asciiTheme="minorHAnsi" w:hAnsiTheme="minorHAnsi" w:cstheme="minorHAnsi"/>
          <w:sz w:val="22"/>
          <w:szCs w:val="22"/>
        </w:rPr>
        <w:t>daňových príjmov z dôvodu ďalších úprav legislatívy</w:t>
      </w:r>
      <w:r w:rsidRPr="00B6188A">
        <w:rPr>
          <w:rFonts w:asciiTheme="minorHAnsi" w:hAnsiTheme="minorHAnsi" w:cstheme="minorHAnsi"/>
          <w:sz w:val="22"/>
          <w:szCs w:val="22"/>
        </w:rPr>
        <w:t>,</w:t>
      </w:r>
    </w:p>
    <w:p w14:paraId="2828CEB3" w14:textId="77777777" w:rsidR="00541398" w:rsidRPr="00B6188A" w:rsidRDefault="00541398" w:rsidP="00541398">
      <w:pPr>
        <w:pStyle w:val="Odsekzoznamu"/>
        <w:tabs>
          <w:tab w:val="left" w:pos="426"/>
        </w:tabs>
        <w:spacing w:before="0" w:beforeAutospacing="0" w:after="0" w:afterAutospacing="0"/>
        <w:jc w:val="both"/>
        <w:rPr>
          <w:rFonts w:asciiTheme="minorHAnsi" w:hAnsiTheme="minorHAnsi" w:cstheme="minorHAnsi"/>
          <w:sz w:val="22"/>
          <w:szCs w:val="22"/>
        </w:rPr>
      </w:pPr>
      <w:r w:rsidRPr="00B6188A">
        <w:rPr>
          <w:rFonts w:asciiTheme="minorHAnsi" w:hAnsiTheme="minorHAnsi" w:cstheme="minorHAnsi"/>
          <w:sz w:val="22"/>
          <w:szCs w:val="22"/>
        </w:rPr>
        <w:t>•</w:t>
      </w:r>
      <w:r w:rsidRPr="00B6188A">
        <w:rPr>
          <w:rFonts w:asciiTheme="minorHAnsi" w:hAnsiTheme="minorHAnsi" w:cstheme="minorHAnsi"/>
          <w:sz w:val="22"/>
          <w:szCs w:val="22"/>
        </w:rPr>
        <w:tab/>
        <w:t>výpadky vlastných príjmov, napr. z prenájmov, z nerealizovaného predaja prebytočného majetku BSK a pod.,</w:t>
      </w:r>
    </w:p>
    <w:p w14:paraId="408E8244" w14:textId="77777777" w:rsidR="00541398" w:rsidRPr="00B6188A" w:rsidRDefault="00541398" w:rsidP="00541398">
      <w:pPr>
        <w:pStyle w:val="Odsekzoznamu"/>
        <w:tabs>
          <w:tab w:val="left" w:pos="426"/>
        </w:tabs>
        <w:spacing w:before="0" w:beforeAutospacing="0" w:after="0" w:afterAutospacing="0"/>
        <w:jc w:val="both"/>
        <w:rPr>
          <w:rFonts w:asciiTheme="minorHAnsi" w:hAnsiTheme="minorHAnsi" w:cstheme="minorHAnsi"/>
          <w:sz w:val="22"/>
          <w:szCs w:val="22"/>
        </w:rPr>
      </w:pPr>
      <w:r w:rsidRPr="00B6188A">
        <w:rPr>
          <w:rFonts w:asciiTheme="minorHAnsi" w:hAnsiTheme="minorHAnsi" w:cstheme="minorHAnsi"/>
          <w:sz w:val="22"/>
          <w:szCs w:val="22"/>
        </w:rPr>
        <w:t>•</w:t>
      </w:r>
      <w:r w:rsidRPr="00B6188A">
        <w:rPr>
          <w:rFonts w:asciiTheme="minorHAnsi" w:hAnsiTheme="minorHAnsi" w:cstheme="minorHAnsi"/>
          <w:sz w:val="22"/>
          <w:szCs w:val="22"/>
        </w:rPr>
        <w:tab/>
        <w:t>krytie mimoriadnych, neočakávaných, či havarijných udalostí,</w:t>
      </w:r>
    </w:p>
    <w:p w14:paraId="3628515B" w14:textId="77777777" w:rsidR="00541398" w:rsidRDefault="00541398" w:rsidP="00541398">
      <w:pPr>
        <w:pStyle w:val="Odsekzoznamu"/>
        <w:tabs>
          <w:tab w:val="left" w:pos="426"/>
        </w:tabs>
        <w:spacing w:before="0" w:beforeAutospacing="0" w:after="0" w:afterAutospacing="0"/>
        <w:jc w:val="both"/>
        <w:rPr>
          <w:rFonts w:asciiTheme="minorHAnsi" w:hAnsiTheme="minorHAnsi" w:cstheme="minorHAnsi"/>
          <w:sz w:val="22"/>
          <w:szCs w:val="22"/>
        </w:rPr>
      </w:pPr>
      <w:r w:rsidRPr="00B6188A">
        <w:rPr>
          <w:rFonts w:asciiTheme="minorHAnsi" w:hAnsiTheme="minorHAnsi" w:cstheme="minorHAnsi"/>
          <w:sz w:val="22"/>
          <w:szCs w:val="22"/>
        </w:rPr>
        <w:t>•</w:t>
      </w:r>
      <w:r w:rsidRPr="00B6188A">
        <w:rPr>
          <w:rFonts w:asciiTheme="minorHAnsi" w:hAnsiTheme="minorHAnsi" w:cstheme="minorHAnsi"/>
          <w:sz w:val="22"/>
          <w:szCs w:val="22"/>
        </w:rPr>
        <w:tab/>
        <w:t xml:space="preserve">prijatá legislatíva s nepriaznivým dopadom na rozpočet samospráv, </w:t>
      </w:r>
    </w:p>
    <w:p w14:paraId="43C5E40E" w14:textId="77777777" w:rsidR="00541398" w:rsidRDefault="00541398" w:rsidP="00541398">
      <w:pPr>
        <w:pStyle w:val="Odsekzoznamu"/>
        <w:tabs>
          <w:tab w:val="left" w:pos="426"/>
        </w:tabs>
        <w:spacing w:before="0" w:beforeAutospacing="0" w:after="0" w:afterAutospacing="0"/>
        <w:jc w:val="both"/>
        <w:rPr>
          <w:rFonts w:asciiTheme="minorHAnsi" w:hAnsiTheme="minorHAnsi" w:cstheme="minorHAnsi"/>
          <w:sz w:val="22"/>
          <w:szCs w:val="22"/>
        </w:rPr>
      </w:pPr>
      <w:r w:rsidRPr="00B6188A">
        <w:rPr>
          <w:rFonts w:asciiTheme="minorHAnsi" w:hAnsiTheme="minorHAnsi" w:cstheme="minorHAnsi"/>
          <w:sz w:val="22"/>
          <w:szCs w:val="22"/>
        </w:rPr>
        <w:t>•</w:t>
      </w:r>
      <w:r w:rsidRPr="00B6188A">
        <w:rPr>
          <w:rFonts w:asciiTheme="minorHAnsi" w:hAnsiTheme="minorHAnsi" w:cstheme="minorHAnsi"/>
          <w:sz w:val="22"/>
          <w:szCs w:val="22"/>
        </w:rPr>
        <w:tab/>
      </w:r>
      <w:r>
        <w:rPr>
          <w:rFonts w:asciiTheme="minorHAnsi" w:hAnsiTheme="minorHAnsi" w:cstheme="minorHAnsi"/>
          <w:sz w:val="22"/>
          <w:szCs w:val="22"/>
        </w:rPr>
        <w:t>nedostatočné financovanie preneseného výkonu štátnej správy,</w:t>
      </w:r>
      <w:r w:rsidRPr="00B6188A">
        <w:rPr>
          <w:rFonts w:asciiTheme="minorHAnsi" w:hAnsiTheme="minorHAnsi" w:cstheme="minorHAnsi"/>
          <w:sz w:val="22"/>
          <w:szCs w:val="22"/>
        </w:rPr>
        <w:t xml:space="preserve"> </w:t>
      </w:r>
    </w:p>
    <w:p w14:paraId="19CAB851" w14:textId="77777777" w:rsidR="00541398" w:rsidRDefault="00541398" w:rsidP="00541398">
      <w:pPr>
        <w:pStyle w:val="Odsekzoznamu"/>
        <w:tabs>
          <w:tab w:val="left" w:pos="426"/>
        </w:tabs>
        <w:spacing w:before="0" w:beforeAutospacing="0" w:after="0" w:afterAutospacing="0"/>
        <w:jc w:val="both"/>
        <w:rPr>
          <w:rFonts w:asciiTheme="minorHAnsi" w:hAnsiTheme="minorHAnsi" w:cstheme="minorHAnsi"/>
          <w:sz w:val="22"/>
          <w:szCs w:val="22"/>
        </w:rPr>
      </w:pPr>
      <w:r w:rsidRPr="00B6188A">
        <w:rPr>
          <w:rFonts w:asciiTheme="minorHAnsi" w:hAnsiTheme="minorHAnsi" w:cstheme="minorHAnsi"/>
          <w:sz w:val="22"/>
          <w:szCs w:val="22"/>
        </w:rPr>
        <w:t>•</w:t>
      </w:r>
      <w:r w:rsidRPr="00B6188A">
        <w:rPr>
          <w:rFonts w:asciiTheme="minorHAnsi" w:hAnsiTheme="minorHAnsi" w:cstheme="minorHAnsi"/>
          <w:sz w:val="22"/>
          <w:szCs w:val="22"/>
        </w:rPr>
        <w:tab/>
      </w:r>
      <w:r>
        <w:rPr>
          <w:rFonts w:asciiTheme="minorHAnsi" w:hAnsiTheme="minorHAnsi" w:cstheme="minorHAnsi"/>
          <w:sz w:val="22"/>
          <w:szCs w:val="22"/>
        </w:rPr>
        <w:t>ďalší rast cien energií</w:t>
      </w:r>
      <w:r w:rsidRPr="00B6188A">
        <w:rPr>
          <w:rFonts w:asciiTheme="minorHAnsi" w:hAnsiTheme="minorHAnsi" w:cstheme="minorHAnsi"/>
          <w:sz w:val="22"/>
          <w:szCs w:val="22"/>
        </w:rPr>
        <w:t xml:space="preserve">, </w:t>
      </w:r>
    </w:p>
    <w:p w14:paraId="110DBCFE" w14:textId="77777777" w:rsidR="00541398" w:rsidRDefault="00541398" w:rsidP="00541398">
      <w:pPr>
        <w:pStyle w:val="Odsekzoznamu"/>
        <w:tabs>
          <w:tab w:val="left" w:pos="426"/>
        </w:tabs>
        <w:spacing w:before="0" w:beforeAutospacing="0" w:after="0" w:afterAutospacing="0"/>
        <w:jc w:val="both"/>
        <w:rPr>
          <w:rFonts w:asciiTheme="minorHAnsi" w:hAnsiTheme="minorHAnsi" w:cstheme="minorHAnsi"/>
          <w:sz w:val="22"/>
          <w:szCs w:val="22"/>
        </w:rPr>
      </w:pPr>
      <w:r w:rsidRPr="00B6188A">
        <w:rPr>
          <w:rFonts w:asciiTheme="minorHAnsi" w:hAnsiTheme="minorHAnsi" w:cstheme="minorHAnsi"/>
          <w:sz w:val="22"/>
          <w:szCs w:val="22"/>
        </w:rPr>
        <w:t>•</w:t>
      </w:r>
      <w:r w:rsidRPr="00B6188A">
        <w:rPr>
          <w:rFonts w:asciiTheme="minorHAnsi" w:hAnsiTheme="minorHAnsi" w:cstheme="minorHAnsi"/>
          <w:sz w:val="22"/>
          <w:szCs w:val="22"/>
        </w:rPr>
        <w:tab/>
        <w:t>zásadné zmeny vo vývoji makroekonomických ukazovateľov, a pod.</w:t>
      </w:r>
    </w:p>
    <w:p w14:paraId="57180D47" w14:textId="77777777" w:rsidR="00541398" w:rsidRDefault="00541398"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Napriek vyššie spomenutým problémom a rizikám pri tvorbe rozpočtu sú v rozpočte kompletne vykryté všetky požiadavky vyplývajúce z legislatívy a potrieb úradu a zariadení BSK.</w:t>
      </w:r>
    </w:p>
    <w:p w14:paraId="50C22EB0" w14:textId="19D1C4F5" w:rsidR="00541398" w:rsidRDefault="00541398" w:rsidP="00541398">
      <w:pPr>
        <w:pStyle w:val="Odsekzoznamu"/>
        <w:tabs>
          <w:tab w:val="left" w:pos="426"/>
        </w:tabs>
        <w:spacing w:after="120"/>
        <w:jc w:val="both"/>
        <w:rPr>
          <w:rFonts w:asciiTheme="minorHAnsi" w:hAnsiTheme="minorHAnsi" w:cstheme="minorHAnsi"/>
          <w:sz w:val="22"/>
          <w:szCs w:val="22"/>
        </w:rPr>
      </w:pPr>
      <w:r>
        <w:rPr>
          <w:rFonts w:asciiTheme="minorHAnsi" w:hAnsiTheme="minorHAnsi" w:cstheme="minorHAnsi"/>
          <w:sz w:val="22"/>
          <w:szCs w:val="22"/>
        </w:rPr>
        <w:t>Návrh</w:t>
      </w:r>
      <w:r w:rsidRPr="002B2D7D">
        <w:rPr>
          <w:rFonts w:asciiTheme="minorHAnsi" w:hAnsiTheme="minorHAnsi" w:cstheme="minorHAnsi"/>
          <w:sz w:val="22"/>
          <w:szCs w:val="22"/>
        </w:rPr>
        <w:t xml:space="preserve"> rozpočtu na rok 20</w:t>
      </w:r>
      <w:r>
        <w:rPr>
          <w:rFonts w:asciiTheme="minorHAnsi" w:hAnsiTheme="minorHAnsi" w:cstheme="minorHAnsi"/>
          <w:sz w:val="22"/>
          <w:szCs w:val="22"/>
        </w:rPr>
        <w:t>2</w:t>
      </w:r>
      <w:r w:rsidR="00EF4FA3">
        <w:rPr>
          <w:rFonts w:asciiTheme="minorHAnsi" w:hAnsiTheme="minorHAnsi" w:cstheme="minorHAnsi"/>
          <w:sz w:val="22"/>
          <w:szCs w:val="22"/>
        </w:rPr>
        <w:t>5</w:t>
      </w:r>
      <w:r>
        <w:rPr>
          <w:rFonts w:asciiTheme="minorHAnsi" w:hAnsiTheme="minorHAnsi" w:cstheme="minorHAnsi"/>
          <w:sz w:val="22"/>
          <w:szCs w:val="22"/>
        </w:rPr>
        <w:t xml:space="preserve"> </w:t>
      </w:r>
      <w:r w:rsidRPr="002B2D7D">
        <w:rPr>
          <w:rFonts w:asciiTheme="minorHAnsi" w:hAnsiTheme="minorHAnsi" w:cstheme="minorHAnsi"/>
          <w:sz w:val="22"/>
          <w:szCs w:val="22"/>
        </w:rPr>
        <w:t>považuje</w:t>
      </w:r>
      <w:r>
        <w:rPr>
          <w:rFonts w:asciiTheme="minorHAnsi" w:hAnsiTheme="minorHAnsi" w:cstheme="minorHAnsi"/>
          <w:sz w:val="22"/>
          <w:szCs w:val="22"/>
        </w:rPr>
        <w:t xml:space="preserve"> Úrad BSK</w:t>
      </w:r>
      <w:r w:rsidRPr="002B2D7D">
        <w:rPr>
          <w:rFonts w:asciiTheme="minorHAnsi" w:hAnsiTheme="minorHAnsi" w:cstheme="minorHAnsi"/>
          <w:sz w:val="22"/>
          <w:szCs w:val="22"/>
        </w:rPr>
        <w:t xml:space="preserve"> za zodpovedne pripravený, okomentovaný a odôvodnený.  </w:t>
      </w:r>
      <w:r>
        <w:rPr>
          <w:rFonts w:asciiTheme="minorHAnsi" w:hAnsiTheme="minorHAnsi" w:cstheme="minorHAnsi"/>
          <w:sz w:val="22"/>
          <w:szCs w:val="22"/>
        </w:rPr>
        <w:t>BSK bude v roku 202</w:t>
      </w:r>
      <w:r w:rsidR="00FD1ABE">
        <w:rPr>
          <w:rFonts w:asciiTheme="minorHAnsi" w:hAnsiTheme="minorHAnsi" w:cstheme="minorHAnsi"/>
          <w:sz w:val="22"/>
          <w:szCs w:val="22"/>
        </w:rPr>
        <w:t>5</w:t>
      </w:r>
      <w:r w:rsidRPr="002B2D7D">
        <w:rPr>
          <w:rFonts w:asciiTheme="minorHAnsi" w:hAnsiTheme="minorHAnsi" w:cstheme="minorHAnsi"/>
          <w:sz w:val="22"/>
          <w:szCs w:val="22"/>
        </w:rPr>
        <w:t xml:space="preserve"> hospodáriť zodpovedne a efektívne vynakladať finančné prostriedky na projekty, ktorých efekt pocíti čo najväčší počet ľudí v Bratislavskom samosprávnom kraji.</w:t>
      </w:r>
    </w:p>
    <w:p w14:paraId="1147570A" w14:textId="4486043B" w:rsidR="00391029" w:rsidRDefault="00391029" w:rsidP="00541398">
      <w:pPr>
        <w:rPr>
          <w:rFonts w:cstheme="minorHAnsi"/>
        </w:rPr>
      </w:pPr>
    </w:p>
    <w:p w14:paraId="32DE3941" w14:textId="77777777" w:rsidR="00391029" w:rsidRDefault="00391029" w:rsidP="00C8280C">
      <w:pPr>
        <w:pStyle w:val="Odsekzoznamu"/>
        <w:tabs>
          <w:tab w:val="left" w:pos="426"/>
        </w:tabs>
        <w:spacing w:after="120"/>
        <w:jc w:val="both"/>
        <w:rPr>
          <w:rFonts w:asciiTheme="minorHAnsi" w:hAnsiTheme="minorHAnsi" w:cstheme="minorHAnsi"/>
          <w:sz w:val="22"/>
          <w:szCs w:val="22"/>
        </w:rPr>
      </w:pPr>
    </w:p>
    <w:p w14:paraId="722A000A" w14:textId="77777777" w:rsidR="000F5533" w:rsidRDefault="000F5533" w:rsidP="00C8280C">
      <w:pPr>
        <w:pStyle w:val="Odsekzoznamu"/>
        <w:tabs>
          <w:tab w:val="left" w:pos="426"/>
        </w:tabs>
        <w:spacing w:after="120"/>
        <w:jc w:val="both"/>
        <w:rPr>
          <w:rFonts w:asciiTheme="minorHAnsi" w:hAnsiTheme="minorHAnsi" w:cstheme="minorHAnsi"/>
          <w:sz w:val="22"/>
          <w:szCs w:val="22"/>
        </w:rPr>
      </w:pPr>
    </w:p>
    <w:p w14:paraId="383CE968" w14:textId="77777777" w:rsidR="000F5533" w:rsidRDefault="000F5533" w:rsidP="00C8280C">
      <w:pPr>
        <w:pStyle w:val="Odsekzoznamu"/>
        <w:tabs>
          <w:tab w:val="left" w:pos="426"/>
        </w:tabs>
        <w:spacing w:after="120"/>
        <w:jc w:val="both"/>
        <w:rPr>
          <w:rFonts w:asciiTheme="minorHAnsi" w:hAnsiTheme="minorHAnsi" w:cstheme="minorHAnsi"/>
          <w:sz w:val="22"/>
          <w:szCs w:val="22"/>
        </w:rPr>
      </w:pPr>
    </w:p>
    <w:p w14:paraId="48A098E5" w14:textId="77777777" w:rsidR="00C8280C" w:rsidRPr="00F0512B" w:rsidRDefault="00C8280C" w:rsidP="00C8280C">
      <w:pPr>
        <w:pStyle w:val="Odsekzoznamu"/>
        <w:numPr>
          <w:ilvl w:val="0"/>
          <w:numId w:val="3"/>
        </w:numPr>
        <w:tabs>
          <w:tab w:val="left" w:pos="426"/>
        </w:tabs>
        <w:spacing w:before="0" w:beforeAutospacing="0" w:after="120" w:afterAutospacing="0"/>
        <w:ind w:left="0" w:firstLine="0"/>
        <w:jc w:val="both"/>
        <w:rPr>
          <w:rFonts w:asciiTheme="minorHAnsi" w:hAnsiTheme="minorHAnsi" w:cstheme="minorHAnsi"/>
          <w:b/>
        </w:rPr>
      </w:pPr>
      <w:r w:rsidRPr="00F0512B">
        <w:rPr>
          <w:rFonts w:asciiTheme="minorHAnsi" w:hAnsiTheme="minorHAnsi" w:cstheme="minorHAnsi"/>
          <w:b/>
        </w:rPr>
        <w:lastRenderedPageBreak/>
        <w:t>Všeobecne záväzné právne predpisy</w:t>
      </w:r>
    </w:p>
    <w:p w14:paraId="541677C9" w14:textId="77777777" w:rsidR="00C8280C" w:rsidRPr="002B2D7D" w:rsidRDefault="00C8280C" w:rsidP="00C8280C">
      <w:pPr>
        <w:pStyle w:val="Odsekzoznamu"/>
        <w:tabs>
          <w:tab w:val="left" w:pos="426"/>
        </w:tabs>
        <w:spacing w:after="120"/>
        <w:jc w:val="both"/>
        <w:rPr>
          <w:rFonts w:asciiTheme="minorHAnsi" w:hAnsiTheme="minorHAnsi" w:cstheme="minorHAnsi"/>
          <w:sz w:val="22"/>
          <w:szCs w:val="22"/>
        </w:rPr>
      </w:pPr>
      <w:r w:rsidRPr="002B2D7D">
        <w:rPr>
          <w:rFonts w:asciiTheme="minorHAnsi" w:hAnsiTheme="minorHAnsi" w:cstheme="minorHAnsi"/>
          <w:sz w:val="22"/>
          <w:szCs w:val="22"/>
        </w:rPr>
        <w:t xml:space="preserve">Rozpočtový proces ovplyvňujú nasledovné </w:t>
      </w:r>
      <w:r w:rsidRPr="002B2D7D">
        <w:rPr>
          <w:rFonts w:asciiTheme="minorHAnsi" w:hAnsiTheme="minorHAnsi" w:cstheme="minorHAnsi"/>
          <w:b/>
          <w:sz w:val="22"/>
          <w:szCs w:val="22"/>
        </w:rPr>
        <w:t>všeobecne záväzné právne predpisy</w:t>
      </w:r>
      <w:r w:rsidRPr="002B2D7D">
        <w:rPr>
          <w:rFonts w:asciiTheme="minorHAnsi" w:hAnsiTheme="minorHAnsi" w:cstheme="minorHAnsi"/>
          <w:sz w:val="22"/>
          <w:szCs w:val="22"/>
        </w:rPr>
        <w:t>:</w:t>
      </w:r>
    </w:p>
    <w:p w14:paraId="7CFE37C0" w14:textId="77777777" w:rsidR="00C8280C" w:rsidRPr="002B2D7D" w:rsidRDefault="00C8280C" w:rsidP="00C8280C">
      <w:pPr>
        <w:keepNext/>
        <w:numPr>
          <w:ilvl w:val="0"/>
          <w:numId w:val="5"/>
        </w:numPr>
        <w:suppressAutoHyphens/>
        <w:spacing w:after="60" w:line="276" w:lineRule="auto"/>
        <w:jc w:val="both"/>
        <w:outlineLvl w:val="1"/>
        <w:rPr>
          <w:rFonts w:cstheme="minorHAnsi"/>
        </w:rPr>
      </w:pPr>
      <w:r w:rsidRPr="002B2D7D">
        <w:rPr>
          <w:rFonts w:cstheme="minorHAnsi"/>
        </w:rPr>
        <w:t>Zákon č. 302/2001 Z .z. o samospráve vyšších územných celkov (zákon o samosprávnych krajoch) v znení neskorších predpisov,</w:t>
      </w:r>
    </w:p>
    <w:p w14:paraId="3FADC9DE" w14:textId="77777777" w:rsidR="00C8280C" w:rsidRPr="002B2D7D" w:rsidRDefault="00C8280C" w:rsidP="00C8280C">
      <w:pPr>
        <w:numPr>
          <w:ilvl w:val="0"/>
          <w:numId w:val="5"/>
        </w:numPr>
        <w:spacing w:after="60" w:line="276" w:lineRule="auto"/>
        <w:jc w:val="both"/>
        <w:rPr>
          <w:rFonts w:cstheme="minorHAnsi"/>
        </w:rPr>
      </w:pPr>
      <w:r w:rsidRPr="002B2D7D">
        <w:rPr>
          <w:rFonts w:cstheme="minorHAnsi"/>
        </w:rPr>
        <w:t>Zákon č. 523/2004 Z. z. o rozpočtových pravidlách verejnej správy a o zmene a doplnení niektorých zákonov v znení neskorších predpisov,</w:t>
      </w:r>
    </w:p>
    <w:p w14:paraId="09263314" w14:textId="77777777" w:rsidR="00C8280C" w:rsidRPr="002B2D7D" w:rsidRDefault="00C8280C" w:rsidP="00C8280C">
      <w:pPr>
        <w:numPr>
          <w:ilvl w:val="0"/>
          <w:numId w:val="5"/>
        </w:numPr>
        <w:spacing w:after="60" w:line="276" w:lineRule="auto"/>
        <w:jc w:val="both"/>
        <w:rPr>
          <w:rFonts w:cstheme="minorHAnsi"/>
        </w:rPr>
      </w:pPr>
      <w:r w:rsidRPr="002B2D7D">
        <w:rPr>
          <w:rFonts w:cstheme="minorHAnsi"/>
        </w:rPr>
        <w:t>Zákon č. 583/2004 Z. z. o rozpočtových pravidlách územnej samosprávy v znení neskorších predpisov,</w:t>
      </w:r>
    </w:p>
    <w:p w14:paraId="1982292F" w14:textId="77777777" w:rsidR="00C8280C" w:rsidRPr="002B2D7D" w:rsidRDefault="00C8280C" w:rsidP="00C8280C">
      <w:pPr>
        <w:numPr>
          <w:ilvl w:val="0"/>
          <w:numId w:val="5"/>
        </w:numPr>
        <w:spacing w:after="60" w:line="276" w:lineRule="auto"/>
        <w:jc w:val="both"/>
        <w:rPr>
          <w:rFonts w:cstheme="minorHAnsi"/>
        </w:rPr>
      </w:pPr>
      <w:r w:rsidRPr="002B2D7D">
        <w:rPr>
          <w:rFonts w:cstheme="minorHAnsi"/>
        </w:rPr>
        <w:t>Zákon č. 564/2004  o rozpočtovom určení výnosu dane z príjmov územnej samospráve a o zmene a doplnení niektorých zákonov v znení neskorších predpisov,</w:t>
      </w:r>
    </w:p>
    <w:p w14:paraId="3172BC47" w14:textId="77777777" w:rsidR="00C8280C" w:rsidRPr="002B2D7D" w:rsidRDefault="00C8280C" w:rsidP="00C8280C">
      <w:pPr>
        <w:numPr>
          <w:ilvl w:val="0"/>
          <w:numId w:val="5"/>
        </w:numPr>
        <w:spacing w:after="60" w:line="276" w:lineRule="auto"/>
        <w:jc w:val="both"/>
        <w:rPr>
          <w:rFonts w:cstheme="minorHAnsi"/>
        </w:rPr>
      </w:pPr>
      <w:r w:rsidRPr="002B2D7D">
        <w:rPr>
          <w:rFonts w:cstheme="minorHAnsi"/>
        </w:rPr>
        <w:t>Zákon č. 582/2004 za komunálne odpady drobné stavebné odpady v znení neskorších predpisov,</w:t>
      </w:r>
    </w:p>
    <w:p w14:paraId="19ADBF38" w14:textId="77777777" w:rsidR="00C8280C" w:rsidRPr="002B2D7D" w:rsidRDefault="00C8280C" w:rsidP="00C8280C">
      <w:pPr>
        <w:numPr>
          <w:ilvl w:val="0"/>
          <w:numId w:val="5"/>
        </w:numPr>
        <w:spacing w:after="60" w:line="276" w:lineRule="auto"/>
        <w:jc w:val="both"/>
        <w:rPr>
          <w:rFonts w:cstheme="minorHAnsi"/>
        </w:rPr>
      </w:pPr>
      <w:r w:rsidRPr="002B2D7D">
        <w:rPr>
          <w:rFonts w:cstheme="minorHAnsi"/>
        </w:rPr>
        <w:t>Zákon č. 431/2002 Z. z. o účtovníctve v znení neskorších predpisov v znení neskorších predpisov,</w:t>
      </w:r>
    </w:p>
    <w:p w14:paraId="398D8F80" w14:textId="77777777" w:rsidR="00C8280C" w:rsidRPr="002B2D7D" w:rsidRDefault="00C8280C" w:rsidP="00C8280C">
      <w:pPr>
        <w:numPr>
          <w:ilvl w:val="0"/>
          <w:numId w:val="5"/>
        </w:numPr>
        <w:spacing w:after="60" w:line="276" w:lineRule="auto"/>
        <w:jc w:val="both"/>
        <w:rPr>
          <w:rFonts w:cstheme="minorHAnsi"/>
        </w:rPr>
      </w:pPr>
      <w:r w:rsidRPr="002B2D7D">
        <w:rPr>
          <w:rFonts w:cstheme="minorHAnsi"/>
        </w:rPr>
        <w:t>Zákon č. 291/2002 Z.Z. o Štátnej pokladnici a o zmene a doplnení niektorých zákonov v znení neskorších predpisov,</w:t>
      </w:r>
    </w:p>
    <w:p w14:paraId="06C6F845" w14:textId="77777777" w:rsidR="00C8280C" w:rsidRPr="002B2D7D" w:rsidRDefault="00C8280C" w:rsidP="00C8280C">
      <w:pPr>
        <w:numPr>
          <w:ilvl w:val="0"/>
          <w:numId w:val="5"/>
        </w:numPr>
        <w:spacing w:after="60" w:line="276" w:lineRule="auto"/>
        <w:jc w:val="both"/>
        <w:rPr>
          <w:rFonts w:cstheme="minorHAnsi"/>
        </w:rPr>
      </w:pPr>
      <w:r w:rsidRPr="002B2D7D">
        <w:rPr>
          <w:rFonts w:cstheme="minorHAnsi"/>
        </w:rPr>
        <w:t>Zákon č. 597/2003 o financovaní základných škôl, stredných škôl a školských zariadení v znení neskorších predpisov,</w:t>
      </w:r>
    </w:p>
    <w:p w14:paraId="1A2F2F95" w14:textId="77777777" w:rsidR="00C8280C" w:rsidRPr="002B2D7D" w:rsidRDefault="00C8280C" w:rsidP="00C8280C">
      <w:pPr>
        <w:numPr>
          <w:ilvl w:val="0"/>
          <w:numId w:val="5"/>
        </w:numPr>
        <w:spacing w:after="60" w:line="276" w:lineRule="auto"/>
        <w:jc w:val="both"/>
        <w:rPr>
          <w:rFonts w:cstheme="minorHAnsi"/>
        </w:rPr>
      </w:pPr>
      <w:r w:rsidRPr="002B2D7D">
        <w:rPr>
          <w:rFonts w:cstheme="minorHAnsi"/>
        </w:rPr>
        <w:t>Zákon č. 357/2015  Z. z. o finančnej kontrole a audite a o zmene a doplnení niektorých zákonov,</w:t>
      </w:r>
    </w:p>
    <w:p w14:paraId="1F4129AB" w14:textId="77777777" w:rsidR="00C8280C" w:rsidRPr="002B2D7D" w:rsidRDefault="00C8280C" w:rsidP="00C8280C">
      <w:pPr>
        <w:numPr>
          <w:ilvl w:val="0"/>
          <w:numId w:val="5"/>
        </w:numPr>
        <w:spacing w:after="60" w:line="276" w:lineRule="auto"/>
        <w:jc w:val="both"/>
        <w:rPr>
          <w:rFonts w:cstheme="minorHAnsi"/>
        </w:rPr>
      </w:pPr>
      <w:r w:rsidRPr="002B2D7D">
        <w:rPr>
          <w:rFonts w:cstheme="minorHAnsi"/>
        </w:rPr>
        <w:t>Zákon č. 343/2015 Z. z. o verejnom obstarávaní a o zmene a doplnení niektorých zákonov v znení neskorších predpisov,</w:t>
      </w:r>
    </w:p>
    <w:p w14:paraId="21E843FD" w14:textId="77777777" w:rsidR="00C8280C" w:rsidRPr="002B2D7D" w:rsidRDefault="00C8280C" w:rsidP="00C8280C">
      <w:pPr>
        <w:numPr>
          <w:ilvl w:val="0"/>
          <w:numId w:val="5"/>
        </w:numPr>
        <w:spacing w:after="60" w:line="276" w:lineRule="auto"/>
        <w:jc w:val="both"/>
        <w:rPr>
          <w:rFonts w:cstheme="minorHAnsi"/>
        </w:rPr>
      </w:pPr>
      <w:r w:rsidRPr="002B2D7D">
        <w:rPr>
          <w:rFonts w:cstheme="minorHAnsi"/>
        </w:rPr>
        <w:t>Zákon č. 539/2008 Z. z. o podpore regionálneho rozvoja v znení neskorších predpisov,</w:t>
      </w:r>
    </w:p>
    <w:p w14:paraId="66850398" w14:textId="77777777" w:rsidR="00C8280C" w:rsidRDefault="00C8280C" w:rsidP="00C8280C">
      <w:pPr>
        <w:numPr>
          <w:ilvl w:val="0"/>
          <w:numId w:val="5"/>
        </w:numPr>
        <w:spacing w:after="60" w:line="276" w:lineRule="auto"/>
        <w:jc w:val="both"/>
        <w:rPr>
          <w:rFonts w:cstheme="minorHAnsi"/>
        </w:rPr>
      </w:pPr>
      <w:r w:rsidRPr="002B2D7D">
        <w:rPr>
          <w:rFonts w:cstheme="minorHAnsi"/>
        </w:rPr>
        <w:t>Zákon č. 231/1999 Z. z. o štátnej pomoci v znení neskorších predpisov,</w:t>
      </w:r>
    </w:p>
    <w:p w14:paraId="17E7D163" w14:textId="77777777" w:rsidR="00C8280C" w:rsidRPr="00714C2C" w:rsidRDefault="00C8280C" w:rsidP="00C8280C">
      <w:pPr>
        <w:numPr>
          <w:ilvl w:val="0"/>
          <w:numId w:val="5"/>
        </w:numPr>
        <w:spacing w:after="60" w:line="276" w:lineRule="auto"/>
        <w:jc w:val="both"/>
        <w:rPr>
          <w:rFonts w:cstheme="minorHAnsi"/>
        </w:rPr>
      </w:pPr>
      <w:r w:rsidRPr="00714C2C">
        <w:rPr>
          <w:rFonts w:cstheme="minorHAnsi"/>
        </w:rPr>
        <w:t>Koncepcia systému finančného riadenia štrukturálnych fondov.</w:t>
      </w:r>
    </w:p>
    <w:p w14:paraId="33587D69" w14:textId="77777777" w:rsidR="00C8280C" w:rsidRDefault="00C8280C" w:rsidP="00C8280C">
      <w:pPr>
        <w:rPr>
          <w:rFonts w:cstheme="minorHAnsi"/>
          <w:b/>
          <w:sz w:val="32"/>
          <w:szCs w:val="32"/>
        </w:rPr>
      </w:pPr>
    </w:p>
    <w:p w14:paraId="64CFF2B2" w14:textId="3207105C" w:rsidR="00C8280C" w:rsidRDefault="00C8280C" w:rsidP="00C8280C">
      <w:pPr>
        <w:rPr>
          <w:rFonts w:eastAsia="Times New Roman" w:cstheme="minorHAnsi"/>
          <w:b/>
          <w:sz w:val="32"/>
          <w:szCs w:val="32"/>
          <w:lang w:eastAsia="sk-SK"/>
        </w:rPr>
      </w:pPr>
      <w:r>
        <w:rPr>
          <w:rFonts w:cstheme="minorHAnsi"/>
          <w:b/>
          <w:sz w:val="32"/>
          <w:szCs w:val="32"/>
        </w:rPr>
        <w:br w:type="page"/>
      </w:r>
    </w:p>
    <w:p w14:paraId="189E706E" w14:textId="2E35BAE5" w:rsidR="00C8280C" w:rsidRPr="006E424B" w:rsidRDefault="00C8280C" w:rsidP="00C8280C">
      <w:pPr>
        <w:pStyle w:val="Odsekzoznamu"/>
        <w:numPr>
          <w:ilvl w:val="0"/>
          <w:numId w:val="1"/>
        </w:numPr>
        <w:ind w:left="426" w:hanging="426"/>
        <w:rPr>
          <w:rFonts w:asciiTheme="minorHAnsi" w:hAnsiTheme="minorHAnsi" w:cstheme="minorHAnsi"/>
          <w:b/>
          <w:sz w:val="32"/>
          <w:szCs w:val="32"/>
        </w:rPr>
      </w:pPr>
      <w:r w:rsidRPr="006E424B">
        <w:rPr>
          <w:rFonts w:asciiTheme="minorHAnsi" w:hAnsiTheme="minorHAnsi" w:cstheme="minorHAnsi"/>
          <w:b/>
          <w:sz w:val="32"/>
          <w:szCs w:val="32"/>
        </w:rPr>
        <w:lastRenderedPageBreak/>
        <w:t>Rozpočet Bratislavského samosprávneho kraja na roky 202</w:t>
      </w:r>
      <w:r w:rsidR="006270CE">
        <w:rPr>
          <w:rFonts w:asciiTheme="minorHAnsi" w:hAnsiTheme="minorHAnsi" w:cstheme="minorHAnsi"/>
          <w:b/>
          <w:sz w:val="32"/>
          <w:szCs w:val="32"/>
        </w:rPr>
        <w:t>5</w:t>
      </w:r>
      <w:r w:rsidRPr="006E424B">
        <w:rPr>
          <w:rFonts w:asciiTheme="minorHAnsi" w:hAnsiTheme="minorHAnsi" w:cstheme="minorHAnsi"/>
          <w:b/>
          <w:sz w:val="32"/>
          <w:szCs w:val="32"/>
        </w:rPr>
        <w:t>-202</w:t>
      </w:r>
      <w:r w:rsidR="006270CE">
        <w:rPr>
          <w:rFonts w:asciiTheme="minorHAnsi" w:hAnsiTheme="minorHAnsi" w:cstheme="minorHAnsi"/>
          <w:b/>
          <w:sz w:val="32"/>
          <w:szCs w:val="32"/>
        </w:rPr>
        <w:t>7</w:t>
      </w:r>
    </w:p>
    <w:p w14:paraId="114BF6AB" w14:textId="77777777" w:rsidR="00C8280C" w:rsidRPr="005702D8" w:rsidRDefault="00C8280C" w:rsidP="002D39CB">
      <w:pPr>
        <w:spacing w:after="0" w:line="240" w:lineRule="auto"/>
        <w:jc w:val="both"/>
        <w:rPr>
          <w:rFonts w:cstheme="minorHAnsi"/>
          <w:sz w:val="24"/>
          <w:szCs w:val="24"/>
        </w:rPr>
      </w:pPr>
      <w:r w:rsidRPr="005702D8">
        <w:rPr>
          <w:rFonts w:cstheme="minorHAnsi"/>
          <w:sz w:val="24"/>
          <w:szCs w:val="24"/>
        </w:rPr>
        <w:t xml:space="preserve">Rozpočet je hlavným nástrojom pre hospodárenie a plnenie si jednotlivých kompetencií Bratislavského samosprávneho kraja. Úlohou rozpočtového procesu je rozpočtovanie a administratíva v súlade s platnou legislatívou tak, aby boli zachované základné princípy použitia prostriedkov, ako sú hospodárnosť, efektívnosť a účinnosť. </w:t>
      </w:r>
    </w:p>
    <w:p w14:paraId="2A42B545" w14:textId="77777777" w:rsidR="00C8280C" w:rsidRPr="005702D8" w:rsidRDefault="00C8280C" w:rsidP="002D39CB">
      <w:pPr>
        <w:spacing w:after="0" w:line="240" w:lineRule="auto"/>
        <w:ind w:firstLine="709"/>
        <w:jc w:val="both"/>
        <w:rPr>
          <w:rFonts w:cstheme="minorHAnsi"/>
          <w:sz w:val="24"/>
          <w:szCs w:val="24"/>
        </w:rPr>
      </w:pPr>
    </w:p>
    <w:p w14:paraId="5C30E5EA" w14:textId="77777777" w:rsidR="00C8280C" w:rsidRPr="005702D8" w:rsidRDefault="00C8280C" w:rsidP="002D39CB">
      <w:pPr>
        <w:spacing w:after="0" w:line="240" w:lineRule="auto"/>
        <w:jc w:val="both"/>
        <w:rPr>
          <w:rFonts w:cstheme="minorHAnsi"/>
          <w:sz w:val="24"/>
          <w:szCs w:val="24"/>
        </w:rPr>
      </w:pPr>
      <w:r w:rsidRPr="005702D8">
        <w:rPr>
          <w:rFonts w:cstheme="minorHAnsi"/>
          <w:sz w:val="24"/>
          <w:szCs w:val="24"/>
        </w:rPr>
        <w:t>Návrh rozpočtu sa zostavuje aj ako programový, čo znamená, že obsahuje údaje o zámeroch a cieľoch samosprávneho kraja. Tým sa zvyšuje jeho informačná hodnota a súčasne sa implementujú základy pre plánovanie výdavkov v strednodobom časovom horizonte s možnosťou konfrontovať plány samosprávneho kraja so skutočnosťou, t. j. prezentovať v rozpočtoch ciele (výkonnosť samosprávy) a monitorovať ich dosahovanie.</w:t>
      </w:r>
    </w:p>
    <w:p w14:paraId="5AF137A5" w14:textId="77777777" w:rsidR="00C8280C" w:rsidRDefault="00C8280C" w:rsidP="002D39CB">
      <w:pPr>
        <w:spacing w:after="0" w:line="240" w:lineRule="auto"/>
        <w:jc w:val="both"/>
        <w:rPr>
          <w:rFonts w:ascii="Montserrat" w:hAnsi="Montserrat"/>
          <w:color w:val="000000"/>
          <w:shd w:val="clear" w:color="auto" w:fill="FFFFFF"/>
        </w:rPr>
      </w:pPr>
    </w:p>
    <w:p w14:paraId="72F09585" w14:textId="7052FD66" w:rsidR="00C8280C" w:rsidRDefault="00C8280C" w:rsidP="002D39CB">
      <w:pPr>
        <w:spacing w:after="0" w:line="240" w:lineRule="auto"/>
        <w:jc w:val="both"/>
        <w:rPr>
          <w:rFonts w:cstheme="minorHAnsi"/>
          <w:sz w:val="24"/>
          <w:szCs w:val="24"/>
        </w:rPr>
      </w:pPr>
      <w:r w:rsidRPr="005702D8">
        <w:rPr>
          <w:rFonts w:cstheme="minorHAnsi"/>
          <w:sz w:val="24"/>
          <w:szCs w:val="24"/>
        </w:rPr>
        <w:t>Predpoklad vývoja príjmov  a výdavkov BSK v rokoch 20</w:t>
      </w:r>
      <w:r>
        <w:rPr>
          <w:rFonts w:cstheme="minorHAnsi"/>
          <w:sz w:val="24"/>
          <w:szCs w:val="24"/>
        </w:rPr>
        <w:t>2</w:t>
      </w:r>
      <w:r w:rsidR="006270CE">
        <w:rPr>
          <w:rFonts w:cstheme="minorHAnsi"/>
          <w:sz w:val="24"/>
          <w:szCs w:val="24"/>
        </w:rPr>
        <w:t>5</w:t>
      </w:r>
      <w:r w:rsidRPr="005702D8">
        <w:rPr>
          <w:rFonts w:cstheme="minorHAnsi"/>
          <w:sz w:val="24"/>
          <w:szCs w:val="24"/>
        </w:rPr>
        <w:t xml:space="preserve"> až 202</w:t>
      </w:r>
      <w:r w:rsidR="006270CE">
        <w:rPr>
          <w:rFonts w:cstheme="minorHAnsi"/>
          <w:sz w:val="24"/>
          <w:szCs w:val="24"/>
        </w:rPr>
        <w:t>7</w:t>
      </w:r>
      <w:r w:rsidRPr="005702D8">
        <w:rPr>
          <w:rFonts w:cstheme="minorHAnsi"/>
          <w:sz w:val="24"/>
          <w:szCs w:val="24"/>
        </w:rPr>
        <w:t xml:space="preserve"> v porovnaní s očakávanou skutočnosťou v roku 20</w:t>
      </w:r>
      <w:r>
        <w:rPr>
          <w:rFonts w:cstheme="minorHAnsi"/>
          <w:sz w:val="24"/>
          <w:szCs w:val="24"/>
        </w:rPr>
        <w:t>2</w:t>
      </w:r>
      <w:r w:rsidR="007063D8">
        <w:rPr>
          <w:rFonts w:cstheme="minorHAnsi"/>
          <w:sz w:val="24"/>
          <w:szCs w:val="24"/>
        </w:rPr>
        <w:t>4</w:t>
      </w:r>
      <w:r w:rsidRPr="005702D8">
        <w:rPr>
          <w:rFonts w:cstheme="minorHAnsi"/>
          <w:sz w:val="24"/>
          <w:szCs w:val="24"/>
        </w:rPr>
        <w:t xml:space="preserve"> a skutočnosťou za roky 20</w:t>
      </w:r>
      <w:r>
        <w:rPr>
          <w:rFonts w:cstheme="minorHAnsi"/>
          <w:sz w:val="24"/>
          <w:szCs w:val="24"/>
        </w:rPr>
        <w:t>2</w:t>
      </w:r>
      <w:r w:rsidR="007063D8">
        <w:rPr>
          <w:rFonts w:cstheme="minorHAnsi"/>
          <w:sz w:val="24"/>
          <w:szCs w:val="24"/>
        </w:rPr>
        <w:t>3</w:t>
      </w:r>
      <w:r w:rsidRPr="005702D8">
        <w:rPr>
          <w:rFonts w:cstheme="minorHAnsi"/>
          <w:sz w:val="24"/>
          <w:szCs w:val="24"/>
        </w:rPr>
        <w:t xml:space="preserve"> a 20</w:t>
      </w:r>
      <w:r w:rsidR="00FB1490">
        <w:rPr>
          <w:rFonts w:cstheme="minorHAnsi"/>
          <w:sz w:val="24"/>
          <w:szCs w:val="24"/>
        </w:rPr>
        <w:t>2</w:t>
      </w:r>
      <w:r w:rsidR="007063D8">
        <w:rPr>
          <w:rFonts w:cstheme="minorHAnsi"/>
          <w:sz w:val="24"/>
          <w:szCs w:val="24"/>
        </w:rPr>
        <w:t>2</w:t>
      </w:r>
      <w:r w:rsidRPr="005702D8">
        <w:rPr>
          <w:rFonts w:cstheme="minorHAnsi"/>
          <w:sz w:val="24"/>
          <w:szCs w:val="24"/>
        </w:rPr>
        <w:t xml:space="preserve"> je nasledovný: </w:t>
      </w:r>
    </w:p>
    <w:p w14:paraId="12A514B1" w14:textId="77777777" w:rsidR="00C8280C" w:rsidRPr="005702D8" w:rsidRDefault="00C8280C" w:rsidP="00C8280C">
      <w:pPr>
        <w:spacing w:after="0"/>
        <w:jc w:val="both"/>
        <w:rPr>
          <w:rFonts w:cstheme="minorHAnsi"/>
          <w:sz w:val="24"/>
          <w:szCs w:val="24"/>
        </w:rPr>
      </w:pPr>
    </w:p>
    <w:tbl>
      <w:tblPr>
        <w:tblW w:w="4871" w:type="pct"/>
        <w:tblCellMar>
          <w:left w:w="70" w:type="dxa"/>
          <w:right w:w="70" w:type="dxa"/>
        </w:tblCellMar>
        <w:tblLook w:val="04A0" w:firstRow="1" w:lastRow="0" w:firstColumn="1" w:lastColumn="0" w:noHBand="0" w:noVBand="1"/>
      </w:tblPr>
      <w:tblGrid>
        <w:gridCol w:w="1882"/>
        <w:gridCol w:w="1262"/>
        <w:gridCol w:w="1144"/>
        <w:gridCol w:w="1275"/>
        <w:gridCol w:w="1201"/>
        <w:gridCol w:w="1144"/>
        <w:gridCol w:w="1144"/>
        <w:gridCol w:w="1144"/>
      </w:tblGrid>
      <w:tr w:rsidR="00FB1490" w:rsidRPr="002B3035" w14:paraId="5FA2FD6B" w14:textId="77777777" w:rsidTr="00310F6E">
        <w:trPr>
          <w:trHeight w:val="315"/>
        </w:trPr>
        <w:tc>
          <w:tcPr>
            <w:tcW w:w="923" w:type="pct"/>
            <w:tcBorders>
              <w:top w:val="nil"/>
              <w:left w:val="nil"/>
              <w:bottom w:val="single" w:sz="8" w:space="0" w:color="DCE6F1"/>
              <w:right w:val="nil"/>
            </w:tcBorders>
            <w:shd w:val="clear" w:color="000000" w:fill="366092"/>
            <w:noWrap/>
            <w:vAlign w:val="center"/>
            <w:hideMark/>
          </w:tcPr>
          <w:p w14:paraId="62178A10" w14:textId="77777777" w:rsidR="00FB1490" w:rsidRPr="002B3035" w:rsidRDefault="00FB1490" w:rsidP="00AC24B5">
            <w:pPr>
              <w:spacing w:after="0" w:line="240" w:lineRule="auto"/>
              <w:rPr>
                <w:rFonts w:ascii="Calibri" w:eastAsia="Times New Roman" w:hAnsi="Calibri" w:cs="Calibri"/>
                <w:b/>
                <w:bCs/>
                <w:color w:val="FFFFFF"/>
                <w:sz w:val="20"/>
                <w:szCs w:val="20"/>
                <w:lang w:eastAsia="sk-SK"/>
              </w:rPr>
            </w:pPr>
            <w:r w:rsidRPr="002B3035">
              <w:rPr>
                <w:rFonts w:ascii="Calibri" w:eastAsia="Times New Roman" w:hAnsi="Calibri" w:cs="Calibri"/>
                <w:b/>
                <w:bCs/>
                <w:color w:val="FFFFFF"/>
                <w:sz w:val="20"/>
                <w:szCs w:val="20"/>
                <w:lang w:eastAsia="sk-SK"/>
              </w:rPr>
              <w:t>Ukazovateľ</w:t>
            </w:r>
          </w:p>
        </w:tc>
        <w:tc>
          <w:tcPr>
            <w:tcW w:w="619" w:type="pct"/>
            <w:tcBorders>
              <w:top w:val="nil"/>
              <w:left w:val="nil"/>
              <w:bottom w:val="single" w:sz="8" w:space="0" w:color="DCE6F1"/>
              <w:right w:val="nil"/>
            </w:tcBorders>
            <w:shd w:val="clear" w:color="000000" w:fill="366092"/>
            <w:vAlign w:val="center"/>
          </w:tcPr>
          <w:p w14:paraId="7C57DBAB" w14:textId="057615D2" w:rsidR="00FB1490" w:rsidRPr="002B3035" w:rsidRDefault="00FB1490" w:rsidP="00AC24B5">
            <w:pPr>
              <w:spacing w:after="0" w:line="240" w:lineRule="auto"/>
              <w:jc w:val="right"/>
              <w:rPr>
                <w:rFonts w:ascii="Calibri" w:eastAsia="Times New Roman" w:hAnsi="Calibri" w:cs="Calibri"/>
                <w:b/>
                <w:bCs/>
                <w:color w:val="FFFFFF"/>
                <w:sz w:val="20"/>
                <w:szCs w:val="20"/>
                <w:lang w:eastAsia="sk-SK"/>
              </w:rPr>
            </w:pPr>
            <w:r w:rsidRPr="002B3035">
              <w:rPr>
                <w:rFonts w:ascii="Calibri" w:eastAsia="Times New Roman" w:hAnsi="Calibri" w:cs="Calibri"/>
                <w:b/>
                <w:bCs/>
                <w:color w:val="FFFFFF"/>
                <w:sz w:val="20"/>
                <w:szCs w:val="20"/>
                <w:lang w:eastAsia="sk-SK"/>
              </w:rPr>
              <w:t>20</w:t>
            </w:r>
            <w:r>
              <w:rPr>
                <w:rFonts w:ascii="Calibri" w:eastAsia="Times New Roman" w:hAnsi="Calibri" w:cs="Calibri"/>
                <w:b/>
                <w:bCs/>
                <w:color w:val="FFFFFF"/>
                <w:sz w:val="20"/>
                <w:szCs w:val="20"/>
                <w:lang w:eastAsia="sk-SK"/>
              </w:rPr>
              <w:t>2</w:t>
            </w:r>
            <w:r w:rsidR="007063D8">
              <w:rPr>
                <w:rFonts w:ascii="Calibri" w:eastAsia="Times New Roman" w:hAnsi="Calibri" w:cs="Calibri"/>
                <w:b/>
                <w:bCs/>
                <w:color w:val="FFFFFF"/>
                <w:sz w:val="20"/>
                <w:szCs w:val="20"/>
                <w:lang w:eastAsia="sk-SK"/>
              </w:rPr>
              <w:t>2</w:t>
            </w:r>
            <w:r w:rsidRPr="002B3035">
              <w:rPr>
                <w:rFonts w:ascii="Calibri" w:eastAsia="Times New Roman" w:hAnsi="Calibri" w:cs="Calibri"/>
                <w:b/>
                <w:bCs/>
                <w:color w:val="FFFFFF"/>
                <w:sz w:val="20"/>
                <w:szCs w:val="20"/>
                <w:lang w:eastAsia="sk-SK"/>
              </w:rPr>
              <w:t xml:space="preserve"> S</w:t>
            </w:r>
          </w:p>
        </w:tc>
        <w:tc>
          <w:tcPr>
            <w:tcW w:w="561" w:type="pct"/>
            <w:tcBorders>
              <w:top w:val="nil"/>
              <w:left w:val="nil"/>
              <w:bottom w:val="single" w:sz="8" w:space="0" w:color="DCE6F1"/>
              <w:right w:val="nil"/>
            </w:tcBorders>
            <w:shd w:val="clear" w:color="000000" w:fill="366092"/>
            <w:noWrap/>
            <w:vAlign w:val="center"/>
            <w:hideMark/>
          </w:tcPr>
          <w:p w14:paraId="3C1877C2" w14:textId="6D3AA962" w:rsidR="00FB1490" w:rsidRPr="002B3035" w:rsidRDefault="00FB1490" w:rsidP="00AC24B5">
            <w:pPr>
              <w:spacing w:after="0" w:line="240" w:lineRule="auto"/>
              <w:jc w:val="right"/>
              <w:rPr>
                <w:rFonts w:ascii="Calibri" w:eastAsia="Times New Roman" w:hAnsi="Calibri" w:cs="Calibri"/>
                <w:b/>
                <w:bCs/>
                <w:color w:val="FFFFFF"/>
                <w:sz w:val="20"/>
                <w:szCs w:val="20"/>
                <w:lang w:eastAsia="sk-SK"/>
              </w:rPr>
            </w:pPr>
            <w:r w:rsidRPr="002B3035">
              <w:rPr>
                <w:rFonts w:ascii="Calibri" w:eastAsia="Times New Roman" w:hAnsi="Calibri" w:cs="Calibri"/>
                <w:b/>
                <w:bCs/>
                <w:color w:val="FFFFFF"/>
                <w:sz w:val="20"/>
                <w:szCs w:val="20"/>
                <w:lang w:eastAsia="sk-SK"/>
              </w:rPr>
              <w:t>20</w:t>
            </w:r>
            <w:r>
              <w:rPr>
                <w:rFonts w:ascii="Calibri" w:eastAsia="Times New Roman" w:hAnsi="Calibri" w:cs="Calibri"/>
                <w:b/>
                <w:bCs/>
                <w:color w:val="FFFFFF"/>
                <w:sz w:val="20"/>
                <w:szCs w:val="20"/>
                <w:lang w:eastAsia="sk-SK"/>
              </w:rPr>
              <w:t>2</w:t>
            </w:r>
            <w:r w:rsidR="004100BF">
              <w:rPr>
                <w:rFonts w:ascii="Calibri" w:eastAsia="Times New Roman" w:hAnsi="Calibri" w:cs="Calibri"/>
                <w:b/>
                <w:bCs/>
                <w:color w:val="FFFFFF"/>
                <w:sz w:val="20"/>
                <w:szCs w:val="20"/>
                <w:lang w:eastAsia="sk-SK"/>
              </w:rPr>
              <w:t>3</w:t>
            </w:r>
            <w:r w:rsidRPr="002B3035">
              <w:rPr>
                <w:rFonts w:ascii="Calibri" w:eastAsia="Times New Roman" w:hAnsi="Calibri" w:cs="Calibri"/>
                <w:b/>
                <w:bCs/>
                <w:color w:val="FFFFFF"/>
                <w:sz w:val="20"/>
                <w:szCs w:val="20"/>
                <w:lang w:eastAsia="sk-SK"/>
              </w:rPr>
              <w:t xml:space="preserve"> S</w:t>
            </w:r>
          </w:p>
        </w:tc>
        <w:tc>
          <w:tcPr>
            <w:tcW w:w="625" w:type="pct"/>
            <w:tcBorders>
              <w:top w:val="nil"/>
              <w:left w:val="nil"/>
              <w:bottom w:val="single" w:sz="8" w:space="0" w:color="DCE6F1"/>
              <w:right w:val="nil"/>
            </w:tcBorders>
            <w:shd w:val="clear" w:color="000000" w:fill="366092"/>
            <w:noWrap/>
            <w:vAlign w:val="center"/>
            <w:hideMark/>
          </w:tcPr>
          <w:p w14:paraId="36CE89BE" w14:textId="34116DBF" w:rsidR="00FB1490" w:rsidRPr="002B3035" w:rsidRDefault="00FB1490" w:rsidP="00AC24B5">
            <w:pPr>
              <w:spacing w:after="0" w:line="240" w:lineRule="auto"/>
              <w:jc w:val="right"/>
              <w:rPr>
                <w:rFonts w:ascii="Calibri" w:eastAsia="Times New Roman" w:hAnsi="Calibri" w:cs="Calibri"/>
                <w:b/>
                <w:bCs/>
                <w:color w:val="FFFFFF"/>
                <w:sz w:val="20"/>
                <w:szCs w:val="20"/>
                <w:lang w:eastAsia="sk-SK"/>
              </w:rPr>
            </w:pPr>
            <w:r w:rsidRPr="002B3035">
              <w:rPr>
                <w:rFonts w:ascii="Calibri" w:eastAsia="Times New Roman" w:hAnsi="Calibri" w:cs="Calibri"/>
                <w:b/>
                <w:bCs/>
                <w:color w:val="FFFFFF"/>
                <w:sz w:val="20"/>
                <w:szCs w:val="20"/>
                <w:lang w:eastAsia="sk-SK"/>
              </w:rPr>
              <w:t>202</w:t>
            </w:r>
            <w:r w:rsidR="004100BF">
              <w:rPr>
                <w:rFonts w:ascii="Calibri" w:eastAsia="Times New Roman" w:hAnsi="Calibri" w:cs="Calibri"/>
                <w:b/>
                <w:bCs/>
                <w:color w:val="FFFFFF"/>
                <w:sz w:val="20"/>
                <w:szCs w:val="20"/>
                <w:lang w:eastAsia="sk-SK"/>
              </w:rPr>
              <w:t>4</w:t>
            </w:r>
            <w:r w:rsidRPr="002B3035">
              <w:rPr>
                <w:rFonts w:ascii="Calibri" w:eastAsia="Times New Roman" w:hAnsi="Calibri" w:cs="Calibri"/>
                <w:b/>
                <w:bCs/>
                <w:color w:val="FFFFFF"/>
                <w:sz w:val="20"/>
                <w:szCs w:val="20"/>
                <w:lang w:eastAsia="sk-SK"/>
              </w:rPr>
              <w:t xml:space="preserve"> SR</w:t>
            </w:r>
          </w:p>
        </w:tc>
        <w:tc>
          <w:tcPr>
            <w:tcW w:w="589" w:type="pct"/>
            <w:tcBorders>
              <w:top w:val="nil"/>
              <w:left w:val="nil"/>
              <w:bottom w:val="single" w:sz="8" w:space="0" w:color="DCE6F1"/>
              <w:right w:val="nil"/>
            </w:tcBorders>
            <w:shd w:val="clear" w:color="000000" w:fill="366092"/>
            <w:noWrap/>
            <w:vAlign w:val="center"/>
            <w:hideMark/>
          </w:tcPr>
          <w:p w14:paraId="2C8707AE" w14:textId="314463C3" w:rsidR="00FB1490" w:rsidRPr="002B3035" w:rsidRDefault="00FB1490" w:rsidP="00AC24B5">
            <w:pPr>
              <w:spacing w:after="0" w:line="240" w:lineRule="auto"/>
              <w:jc w:val="right"/>
              <w:rPr>
                <w:rFonts w:ascii="Calibri" w:eastAsia="Times New Roman" w:hAnsi="Calibri" w:cs="Calibri"/>
                <w:b/>
                <w:bCs/>
                <w:color w:val="FFFFFF"/>
                <w:sz w:val="20"/>
                <w:szCs w:val="20"/>
                <w:lang w:eastAsia="sk-SK"/>
              </w:rPr>
            </w:pPr>
            <w:r w:rsidRPr="002B3035">
              <w:rPr>
                <w:rFonts w:ascii="Calibri" w:eastAsia="Times New Roman" w:hAnsi="Calibri" w:cs="Calibri"/>
                <w:b/>
                <w:bCs/>
                <w:color w:val="FFFFFF"/>
                <w:sz w:val="20"/>
                <w:szCs w:val="20"/>
                <w:lang w:eastAsia="sk-SK"/>
              </w:rPr>
              <w:t>202</w:t>
            </w:r>
            <w:r w:rsidR="004100BF">
              <w:rPr>
                <w:rFonts w:ascii="Calibri" w:eastAsia="Times New Roman" w:hAnsi="Calibri" w:cs="Calibri"/>
                <w:b/>
                <w:bCs/>
                <w:color w:val="FFFFFF"/>
                <w:sz w:val="20"/>
                <w:szCs w:val="20"/>
                <w:lang w:eastAsia="sk-SK"/>
              </w:rPr>
              <w:t>4</w:t>
            </w:r>
            <w:r w:rsidRPr="002B3035">
              <w:rPr>
                <w:rFonts w:ascii="Calibri" w:eastAsia="Times New Roman" w:hAnsi="Calibri" w:cs="Calibri"/>
                <w:b/>
                <w:bCs/>
                <w:color w:val="FFFFFF"/>
                <w:sz w:val="20"/>
                <w:szCs w:val="20"/>
                <w:lang w:eastAsia="sk-SK"/>
              </w:rPr>
              <w:t xml:space="preserve"> OS</w:t>
            </w:r>
          </w:p>
        </w:tc>
        <w:tc>
          <w:tcPr>
            <w:tcW w:w="561" w:type="pct"/>
            <w:tcBorders>
              <w:top w:val="nil"/>
              <w:left w:val="nil"/>
              <w:bottom w:val="single" w:sz="8" w:space="0" w:color="DCE6F1"/>
              <w:right w:val="nil"/>
            </w:tcBorders>
            <w:shd w:val="clear" w:color="000000" w:fill="366092"/>
            <w:noWrap/>
            <w:vAlign w:val="center"/>
            <w:hideMark/>
          </w:tcPr>
          <w:p w14:paraId="533E66E4" w14:textId="418522A4" w:rsidR="00FB1490" w:rsidRPr="002B3035" w:rsidRDefault="00FB1490" w:rsidP="00AC24B5">
            <w:pPr>
              <w:spacing w:after="0" w:line="240" w:lineRule="auto"/>
              <w:jc w:val="right"/>
              <w:rPr>
                <w:rFonts w:ascii="Calibri" w:eastAsia="Times New Roman" w:hAnsi="Calibri" w:cs="Calibri"/>
                <w:b/>
                <w:bCs/>
                <w:color w:val="FFFFFF"/>
                <w:sz w:val="20"/>
                <w:szCs w:val="20"/>
                <w:lang w:eastAsia="sk-SK"/>
              </w:rPr>
            </w:pPr>
            <w:r w:rsidRPr="002B3035">
              <w:rPr>
                <w:rFonts w:ascii="Calibri" w:eastAsia="Times New Roman" w:hAnsi="Calibri" w:cs="Calibri"/>
                <w:b/>
                <w:bCs/>
                <w:color w:val="FFFFFF"/>
                <w:sz w:val="20"/>
                <w:szCs w:val="20"/>
                <w:lang w:eastAsia="sk-SK"/>
              </w:rPr>
              <w:t>202</w:t>
            </w:r>
            <w:r w:rsidR="004100BF">
              <w:rPr>
                <w:rFonts w:ascii="Calibri" w:eastAsia="Times New Roman" w:hAnsi="Calibri" w:cs="Calibri"/>
                <w:b/>
                <w:bCs/>
                <w:color w:val="FFFFFF"/>
                <w:sz w:val="20"/>
                <w:szCs w:val="20"/>
                <w:lang w:eastAsia="sk-SK"/>
              </w:rPr>
              <w:t>5</w:t>
            </w:r>
            <w:r w:rsidRPr="002B3035">
              <w:rPr>
                <w:rFonts w:ascii="Calibri" w:eastAsia="Times New Roman" w:hAnsi="Calibri" w:cs="Calibri"/>
                <w:b/>
                <w:bCs/>
                <w:color w:val="FFFFFF"/>
                <w:sz w:val="20"/>
                <w:szCs w:val="20"/>
                <w:lang w:eastAsia="sk-SK"/>
              </w:rPr>
              <w:t xml:space="preserve"> N</w:t>
            </w:r>
          </w:p>
        </w:tc>
        <w:tc>
          <w:tcPr>
            <w:tcW w:w="561" w:type="pct"/>
            <w:tcBorders>
              <w:top w:val="nil"/>
              <w:left w:val="nil"/>
              <w:bottom w:val="single" w:sz="8" w:space="0" w:color="DCE6F1"/>
              <w:right w:val="nil"/>
            </w:tcBorders>
            <w:shd w:val="clear" w:color="000000" w:fill="366092"/>
            <w:noWrap/>
            <w:vAlign w:val="center"/>
            <w:hideMark/>
          </w:tcPr>
          <w:p w14:paraId="1BFE1A03" w14:textId="1F5CE75B" w:rsidR="00FB1490" w:rsidRPr="002B3035" w:rsidRDefault="00FB1490" w:rsidP="00AC24B5">
            <w:pPr>
              <w:spacing w:after="0" w:line="240" w:lineRule="auto"/>
              <w:jc w:val="right"/>
              <w:rPr>
                <w:rFonts w:ascii="Calibri" w:eastAsia="Times New Roman" w:hAnsi="Calibri" w:cs="Calibri"/>
                <w:b/>
                <w:bCs/>
                <w:color w:val="FFFFFF"/>
                <w:sz w:val="20"/>
                <w:szCs w:val="20"/>
                <w:lang w:eastAsia="sk-SK"/>
              </w:rPr>
            </w:pPr>
            <w:r w:rsidRPr="002B3035">
              <w:rPr>
                <w:rFonts w:ascii="Calibri" w:eastAsia="Times New Roman" w:hAnsi="Calibri" w:cs="Calibri"/>
                <w:b/>
                <w:bCs/>
                <w:color w:val="FFFFFF"/>
                <w:sz w:val="20"/>
                <w:szCs w:val="20"/>
                <w:lang w:eastAsia="sk-SK"/>
              </w:rPr>
              <w:t>202</w:t>
            </w:r>
            <w:r w:rsidR="004100BF">
              <w:rPr>
                <w:rFonts w:ascii="Calibri" w:eastAsia="Times New Roman" w:hAnsi="Calibri" w:cs="Calibri"/>
                <w:b/>
                <w:bCs/>
                <w:color w:val="FFFFFF"/>
                <w:sz w:val="20"/>
                <w:szCs w:val="20"/>
                <w:lang w:eastAsia="sk-SK"/>
              </w:rPr>
              <w:t>6</w:t>
            </w:r>
            <w:r w:rsidRPr="002B3035">
              <w:rPr>
                <w:rFonts w:ascii="Calibri" w:eastAsia="Times New Roman" w:hAnsi="Calibri" w:cs="Calibri"/>
                <w:b/>
                <w:bCs/>
                <w:color w:val="FFFFFF"/>
                <w:sz w:val="20"/>
                <w:szCs w:val="20"/>
                <w:lang w:eastAsia="sk-SK"/>
              </w:rPr>
              <w:t xml:space="preserve"> N</w:t>
            </w:r>
          </w:p>
        </w:tc>
        <w:tc>
          <w:tcPr>
            <w:tcW w:w="561" w:type="pct"/>
            <w:tcBorders>
              <w:top w:val="nil"/>
              <w:left w:val="nil"/>
              <w:bottom w:val="single" w:sz="8" w:space="0" w:color="DCE6F1"/>
              <w:right w:val="nil"/>
            </w:tcBorders>
            <w:shd w:val="clear" w:color="000000" w:fill="366092"/>
            <w:noWrap/>
            <w:vAlign w:val="center"/>
            <w:hideMark/>
          </w:tcPr>
          <w:p w14:paraId="7E38AF1E" w14:textId="6EC755D9" w:rsidR="00FB1490" w:rsidRPr="002B3035" w:rsidRDefault="00FB1490" w:rsidP="00AC24B5">
            <w:pPr>
              <w:spacing w:after="0" w:line="240" w:lineRule="auto"/>
              <w:jc w:val="right"/>
              <w:rPr>
                <w:rFonts w:ascii="Calibri" w:eastAsia="Times New Roman" w:hAnsi="Calibri" w:cs="Calibri"/>
                <w:b/>
                <w:bCs/>
                <w:color w:val="FFFFFF"/>
                <w:sz w:val="20"/>
                <w:szCs w:val="20"/>
                <w:lang w:eastAsia="sk-SK"/>
              </w:rPr>
            </w:pPr>
            <w:r w:rsidRPr="002B3035">
              <w:rPr>
                <w:rFonts w:ascii="Calibri" w:eastAsia="Times New Roman" w:hAnsi="Calibri" w:cs="Calibri"/>
                <w:b/>
                <w:bCs/>
                <w:color w:val="FFFFFF"/>
                <w:sz w:val="20"/>
                <w:szCs w:val="20"/>
                <w:lang w:eastAsia="sk-SK"/>
              </w:rPr>
              <w:t>202</w:t>
            </w:r>
            <w:r w:rsidR="004100BF">
              <w:rPr>
                <w:rFonts w:ascii="Calibri" w:eastAsia="Times New Roman" w:hAnsi="Calibri" w:cs="Calibri"/>
                <w:b/>
                <w:bCs/>
                <w:color w:val="FFFFFF"/>
                <w:sz w:val="20"/>
                <w:szCs w:val="20"/>
                <w:lang w:eastAsia="sk-SK"/>
              </w:rPr>
              <w:t>7</w:t>
            </w:r>
            <w:r w:rsidRPr="002B3035">
              <w:rPr>
                <w:rFonts w:ascii="Calibri" w:eastAsia="Times New Roman" w:hAnsi="Calibri" w:cs="Calibri"/>
                <w:b/>
                <w:bCs/>
                <w:color w:val="FFFFFF"/>
                <w:sz w:val="20"/>
                <w:szCs w:val="20"/>
                <w:lang w:eastAsia="sk-SK"/>
              </w:rPr>
              <w:t xml:space="preserve"> N</w:t>
            </w:r>
          </w:p>
        </w:tc>
      </w:tr>
      <w:tr w:rsidR="00310F6E" w:rsidRPr="002B3035" w14:paraId="0FE650DE" w14:textId="77777777" w:rsidTr="00310F6E">
        <w:trPr>
          <w:cantSplit/>
          <w:trHeight w:hRule="exact" w:val="315"/>
        </w:trPr>
        <w:tc>
          <w:tcPr>
            <w:tcW w:w="923" w:type="pct"/>
            <w:tcBorders>
              <w:top w:val="nil"/>
              <w:left w:val="nil"/>
              <w:bottom w:val="single" w:sz="8" w:space="0" w:color="DAEEF3"/>
              <w:right w:val="nil"/>
            </w:tcBorders>
            <w:shd w:val="clear" w:color="auto" w:fill="auto"/>
            <w:noWrap/>
            <w:vAlign w:val="center"/>
            <w:hideMark/>
          </w:tcPr>
          <w:p w14:paraId="0AE0E4E4" w14:textId="77777777" w:rsidR="00310F6E" w:rsidRPr="002B3035" w:rsidRDefault="00310F6E" w:rsidP="00AC24B5">
            <w:pPr>
              <w:spacing w:after="0" w:line="240" w:lineRule="auto"/>
              <w:rPr>
                <w:rFonts w:ascii="Calibri" w:eastAsia="Times New Roman" w:hAnsi="Calibri" w:cs="Calibri"/>
                <w:color w:val="000000"/>
                <w:sz w:val="16"/>
                <w:szCs w:val="16"/>
                <w:lang w:eastAsia="sk-SK"/>
              </w:rPr>
            </w:pPr>
            <w:r w:rsidRPr="002B3035">
              <w:rPr>
                <w:rFonts w:ascii="Calibri" w:eastAsia="Times New Roman" w:hAnsi="Calibri" w:cs="Calibri"/>
                <w:color w:val="000000"/>
                <w:sz w:val="16"/>
                <w:szCs w:val="16"/>
                <w:lang w:eastAsia="sk-SK"/>
              </w:rPr>
              <w:t>Bežné príjmy</w:t>
            </w:r>
          </w:p>
        </w:tc>
        <w:tc>
          <w:tcPr>
            <w:tcW w:w="619" w:type="pct"/>
            <w:tcBorders>
              <w:top w:val="nil"/>
              <w:left w:val="nil"/>
              <w:bottom w:val="single" w:sz="8" w:space="0" w:color="DAEEF3"/>
              <w:right w:val="nil"/>
            </w:tcBorders>
            <w:vAlign w:val="center"/>
          </w:tcPr>
          <w:p w14:paraId="1699B42E" w14:textId="1863C954"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208 201 421</w:t>
            </w:r>
          </w:p>
        </w:tc>
        <w:tc>
          <w:tcPr>
            <w:tcW w:w="561" w:type="pct"/>
            <w:tcBorders>
              <w:top w:val="nil"/>
              <w:left w:val="nil"/>
              <w:bottom w:val="single" w:sz="8" w:space="0" w:color="DAEEF3"/>
              <w:right w:val="nil"/>
            </w:tcBorders>
            <w:shd w:val="clear" w:color="auto" w:fill="auto"/>
            <w:noWrap/>
            <w:vAlign w:val="center"/>
          </w:tcPr>
          <w:p w14:paraId="70B9AB55" w14:textId="472F50DD"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242 768 414</w:t>
            </w:r>
          </w:p>
        </w:tc>
        <w:tc>
          <w:tcPr>
            <w:tcW w:w="625" w:type="pct"/>
            <w:tcBorders>
              <w:top w:val="nil"/>
              <w:left w:val="nil"/>
              <w:bottom w:val="single" w:sz="8" w:space="0" w:color="DAEEF3"/>
              <w:right w:val="nil"/>
            </w:tcBorders>
            <w:shd w:val="clear" w:color="auto" w:fill="auto"/>
            <w:noWrap/>
            <w:vAlign w:val="center"/>
          </w:tcPr>
          <w:p w14:paraId="6EE2AA5B" w14:textId="51AD6F92"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232 903 576</w:t>
            </w:r>
          </w:p>
        </w:tc>
        <w:tc>
          <w:tcPr>
            <w:tcW w:w="589" w:type="pct"/>
            <w:tcBorders>
              <w:top w:val="nil"/>
              <w:left w:val="nil"/>
              <w:bottom w:val="single" w:sz="8" w:space="0" w:color="DAEEF3"/>
              <w:right w:val="nil"/>
            </w:tcBorders>
            <w:shd w:val="clear" w:color="auto" w:fill="auto"/>
            <w:noWrap/>
            <w:vAlign w:val="center"/>
          </w:tcPr>
          <w:p w14:paraId="08AE6424" w14:textId="059E0BC9"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245 282 691</w:t>
            </w:r>
          </w:p>
        </w:tc>
        <w:tc>
          <w:tcPr>
            <w:tcW w:w="561" w:type="pct"/>
            <w:tcBorders>
              <w:top w:val="nil"/>
              <w:left w:val="nil"/>
              <w:bottom w:val="single" w:sz="8" w:space="0" w:color="DAEEF3"/>
              <w:right w:val="nil"/>
            </w:tcBorders>
            <w:shd w:val="clear" w:color="000000" w:fill="D9D9D9"/>
            <w:noWrap/>
            <w:vAlign w:val="center"/>
          </w:tcPr>
          <w:p w14:paraId="25446EF4" w14:textId="6722F60A" w:rsidR="00310F6E" w:rsidRPr="00DF202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251 439 824</w:t>
            </w:r>
          </w:p>
        </w:tc>
        <w:tc>
          <w:tcPr>
            <w:tcW w:w="561" w:type="pct"/>
            <w:tcBorders>
              <w:top w:val="nil"/>
              <w:left w:val="nil"/>
              <w:bottom w:val="single" w:sz="8" w:space="0" w:color="DAEEF3"/>
              <w:right w:val="nil"/>
            </w:tcBorders>
            <w:shd w:val="clear" w:color="auto" w:fill="auto"/>
            <w:noWrap/>
            <w:vAlign w:val="center"/>
          </w:tcPr>
          <w:p w14:paraId="4D61511E" w14:textId="1F57FA99"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272 231 173</w:t>
            </w:r>
          </w:p>
        </w:tc>
        <w:tc>
          <w:tcPr>
            <w:tcW w:w="561" w:type="pct"/>
            <w:tcBorders>
              <w:top w:val="nil"/>
              <w:left w:val="nil"/>
              <w:bottom w:val="single" w:sz="8" w:space="0" w:color="DAEEF3"/>
              <w:right w:val="nil"/>
            </w:tcBorders>
            <w:shd w:val="clear" w:color="auto" w:fill="auto"/>
            <w:noWrap/>
            <w:vAlign w:val="center"/>
          </w:tcPr>
          <w:p w14:paraId="2971DADE" w14:textId="0D358352"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280 641 742</w:t>
            </w:r>
          </w:p>
        </w:tc>
      </w:tr>
      <w:tr w:rsidR="00310F6E" w:rsidRPr="002B3035" w14:paraId="02E88F8C" w14:textId="77777777" w:rsidTr="00310F6E">
        <w:trPr>
          <w:cantSplit/>
          <w:trHeight w:hRule="exact" w:val="315"/>
        </w:trPr>
        <w:tc>
          <w:tcPr>
            <w:tcW w:w="923" w:type="pct"/>
            <w:tcBorders>
              <w:top w:val="nil"/>
              <w:left w:val="nil"/>
              <w:bottom w:val="single" w:sz="8" w:space="0" w:color="DAEEF3"/>
              <w:right w:val="nil"/>
            </w:tcBorders>
            <w:shd w:val="clear" w:color="auto" w:fill="auto"/>
            <w:noWrap/>
            <w:vAlign w:val="center"/>
            <w:hideMark/>
          </w:tcPr>
          <w:p w14:paraId="11B8FC70" w14:textId="77777777" w:rsidR="00310F6E" w:rsidRPr="002B3035" w:rsidRDefault="00310F6E" w:rsidP="00AC24B5">
            <w:pPr>
              <w:spacing w:after="0" w:line="240" w:lineRule="auto"/>
              <w:rPr>
                <w:rFonts w:ascii="Calibri" w:eastAsia="Times New Roman" w:hAnsi="Calibri" w:cs="Calibri"/>
                <w:color w:val="000000"/>
                <w:sz w:val="16"/>
                <w:szCs w:val="16"/>
                <w:lang w:eastAsia="sk-SK"/>
              </w:rPr>
            </w:pPr>
            <w:r w:rsidRPr="002B3035">
              <w:rPr>
                <w:rFonts w:ascii="Calibri" w:eastAsia="Times New Roman" w:hAnsi="Calibri" w:cs="Calibri"/>
                <w:color w:val="000000"/>
                <w:sz w:val="16"/>
                <w:szCs w:val="16"/>
                <w:lang w:eastAsia="sk-SK"/>
              </w:rPr>
              <w:t>Bežné výdavky</w:t>
            </w:r>
          </w:p>
        </w:tc>
        <w:tc>
          <w:tcPr>
            <w:tcW w:w="619" w:type="pct"/>
            <w:tcBorders>
              <w:top w:val="nil"/>
              <w:left w:val="nil"/>
              <w:bottom w:val="single" w:sz="8" w:space="0" w:color="DAEEF3"/>
              <w:right w:val="nil"/>
            </w:tcBorders>
            <w:vAlign w:val="center"/>
          </w:tcPr>
          <w:p w14:paraId="60EC913C" w14:textId="479EB8ED"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186 104 448</w:t>
            </w:r>
          </w:p>
        </w:tc>
        <w:tc>
          <w:tcPr>
            <w:tcW w:w="561" w:type="pct"/>
            <w:tcBorders>
              <w:top w:val="nil"/>
              <w:left w:val="nil"/>
              <w:bottom w:val="single" w:sz="8" w:space="0" w:color="DAEEF3"/>
              <w:right w:val="nil"/>
            </w:tcBorders>
            <w:shd w:val="clear" w:color="auto" w:fill="auto"/>
            <w:noWrap/>
            <w:vAlign w:val="center"/>
          </w:tcPr>
          <w:p w14:paraId="00B9197A" w14:textId="2F292EE5"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206 732 437</w:t>
            </w:r>
          </w:p>
        </w:tc>
        <w:tc>
          <w:tcPr>
            <w:tcW w:w="625" w:type="pct"/>
            <w:tcBorders>
              <w:top w:val="nil"/>
              <w:left w:val="nil"/>
              <w:bottom w:val="single" w:sz="8" w:space="0" w:color="DAEEF3"/>
              <w:right w:val="nil"/>
            </w:tcBorders>
            <w:shd w:val="clear" w:color="auto" w:fill="auto"/>
            <w:noWrap/>
            <w:vAlign w:val="center"/>
          </w:tcPr>
          <w:p w14:paraId="6D028498" w14:textId="3A373497"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222 022 429</w:t>
            </w:r>
          </w:p>
        </w:tc>
        <w:tc>
          <w:tcPr>
            <w:tcW w:w="589" w:type="pct"/>
            <w:tcBorders>
              <w:top w:val="nil"/>
              <w:left w:val="nil"/>
              <w:bottom w:val="single" w:sz="8" w:space="0" w:color="DAEEF3"/>
              <w:right w:val="nil"/>
            </w:tcBorders>
            <w:shd w:val="clear" w:color="auto" w:fill="auto"/>
            <w:noWrap/>
            <w:vAlign w:val="center"/>
          </w:tcPr>
          <w:p w14:paraId="14A59EBA" w14:textId="72E9563A"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228 150 491</w:t>
            </w:r>
          </w:p>
        </w:tc>
        <w:tc>
          <w:tcPr>
            <w:tcW w:w="561" w:type="pct"/>
            <w:tcBorders>
              <w:top w:val="nil"/>
              <w:left w:val="nil"/>
              <w:bottom w:val="single" w:sz="8" w:space="0" w:color="DAEEF3"/>
              <w:right w:val="nil"/>
            </w:tcBorders>
            <w:shd w:val="clear" w:color="000000" w:fill="D9D9D9"/>
            <w:noWrap/>
            <w:vAlign w:val="center"/>
          </w:tcPr>
          <w:p w14:paraId="30C70170" w14:textId="6576E4CC" w:rsidR="00310F6E" w:rsidRPr="00DF202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240 483 346</w:t>
            </w:r>
          </w:p>
        </w:tc>
        <w:tc>
          <w:tcPr>
            <w:tcW w:w="561" w:type="pct"/>
            <w:tcBorders>
              <w:top w:val="nil"/>
              <w:left w:val="nil"/>
              <w:bottom w:val="single" w:sz="8" w:space="0" w:color="DAEEF3"/>
              <w:right w:val="nil"/>
            </w:tcBorders>
            <w:shd w:val="clear" w:color="auto" w:fill="auto"/>
            <w:noWrap/>
            <w:vAlign w:val="center"/>
          </w:tcPr>
          <w:p w14:paraId="5D8F048C" w14:textId="4DB29310"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246 348 715</w:t>
            </w:r>
          </w:p>
        </w:tc>
        <w:tc>
          <w:tcPr>
            <w:tcW w:w="561" w:type="pct"/>
            <w:tcBorders>
              <w:top w:val="nil"/>
              <w:left w:val="nil"/>
              <w:bottom w:val="single" w:sz="8" w:space="0" w:color="DAEEF3"/>
              <w:right w:val="nil"/>
            </w:tcBorders>
            <w:shd w:val="clear" w:color="auto" w:fill="auto"/>
            <w:noWrap/>
            <w:vAlign w:val="center"/>
          </w:tcPr>
          <w:p w14:paraId="52AE470D" w14:textId="56C09E1C"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254 851 720</w:t>
            </w:r>
          </w:p>
        </w:tc>
      </w:tr>
      <w:tr w:rsidR="00310F6E" w:rsidRPr="002B3035" w14:paraId="7E2B184C" w14:textId="77777777" w:rsidTr="00310F6E">
        <w:trPr>
          <w:cantSplit/>
          <w:trHeight w:hRule="exact" w:val="315"/>
        </w:trPr>
        <w:tc>
          <w:tcPr>
            <w:tcW w:w="923" w:type="pct"/>
            <w:tcBorders>
              <w:top w:val="nil"/>
              <w:left w:val="nil"/>
              <w:bottom w:val="single" w:sz="8" w:space="0" w:color="DAEEF3"/>
              <w:right w:val="nil"/>
            </w:tcBorders>
            <w:shd w:val="clear" w:color="000000" w:fill="D9D9D9"/>
            <w:noWrap/>
            <w:vAlign w:val="center"/>
            <w:hideMark/>
          </w:tcPr>
          <w:p w14:paraId="2ED7AED3" w14:textId="77777777" w:rsidR="00310F6E" w:rsidRPr="000D1A9A" w:rsidRDefault="00310F6E" w:rsidP="00AC24B5">
            <w:pPr>
              <w:spacing w:after="0" w:line="240" w:lineRule="auto"/>
              <w:rPr>
                <w:rFonts w:ascii="Calibri" w:eastAsia="Times New Roman" w:hAnsi="Calibri" w:cs="Calibri"/>
                <w:b/>
                <w:bCs/>
                <w:color w:val="000000"/>
                <w:sz w:val="16"/>
                <w:szCs w:val="16"/>
                <w:lang w:eastAsia="sk-SK"/>
              </w:rPr>
            </w:pPr>
            <w:r w:rsidRPr="000D1A9A">
              <w:rPr>
                <w:rFonts w:ascii="Calibri" w:eastAsia="Times New Roman" w:hAnsi="Calibri" w:cs="Calibri"/>
                <w:b/>
                <w:bCs/>
                <w:color w:val="000000"/>
                <w:sz w:val="16"/>
                <w:szCs w:val="16"/>
                <w:lang w:eastAsia="sk-SK"/>
              </w:rPr>
              <w:t>Bilancia BR</w:t>
            </w:r>
          </w:p>
        </w:tc>
        <w:tc>
          <w:tcPr>
            <w:tcW w:w="619" w:type="pct"/>
            <w:tcBorders>
              <w:top w:val="nil"/>
              <w:left w:val="nil"/>
              <w:bottom w:val="single" w:sz="8" w:space="0" w:color="DAEEF3"/>
              <w:right w:val="nil"/>
            </w:tcBorders>
            <w:shd w:val="clear" w:color="000000" w:fill="D9D9D9"/>
            <w:vAlign w:val="center"/>
          </w:tcPr>
          <w:p w14:paraId="20C90761" w14:textId="2C5E8976"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22 096 973</w:t>
            </w:r>
          </w:p>
        </w:tc>
        <w:tc>
          <w:tcPr>
            <w:tcW w:w="561" w:type="pct"/>
            <w:tcBorders>
              <w:top w:val="nil"/>
              <w:left w:val="nil"/>
              <w:bottom w:val="single" w:sz="8" w:space="0" w:color="DAEEF3"/>
              <w:right w:val="nil"/>
            </w:tcBorders>
            <w:shd w:val="clear" w:color="000000" w:fill="D9D9D9"/>
            <w:noWrap/>
            <w:vAlign w:val="center"/>
          </w:tcPr>
          <w:p w14:paraId="235A9AA4" w14:textId="41CC3DBF"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b/>
                <w:bCs/>
                <w:color w:val="000000"/>
                <w:sz w:val="20"/>
                <w:szCs w:val="20"/>
              </w:rPr>
              <w:t>36 035 976</w:t>
            </w:r>
          </w:p>
        </w:tc>
        <w:tc>
          <w:tcPr>
            <w:tcW w:w="625" w:type="pct"/>
            <w:tcBorders>
              <w:top w:val="nil"/>
              <w:left w:val="nil"/>
              <w:bottom w:val="single" w:sz="8" w:space="0" w:color="DAEEF3"/>
              <w:right w:val="nil"/>
            </w:tcBorders>
            <w:shd w:val="clear" w:color="000000" w:fill="D9D9D9"/>
            <w:noWrap/>
            <w:vAlign w:val="center"/>
          </w:tcPr>
          <w:p w14:paraId="0D6B6F14" w14:textId="17111647" w:rsidR="00310F6E" w:rsidRPr="00DE6314" w:rsidRDefault="00310F6E" w:rsidP="00AC24B5">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10 881 147</w:t>
            </w:r>
          </w:p>
        </w:tc>
        <w:tc>
          <w:tcPr>
            <w:tcW w:w="589" w:type="pct"/>
            <w:tcBorders>
              <w:top w:val="nil"/>
              <w:left w:val="nil"/>
              <w:bottom w:val="single" w:sz="8" w:space="0" w:color="DAEEF3"/>
              <w:right w:val="nil"/>
            </w:tcBorders>
            <w:shd w:val="clear" w:color="000000" w:fill="D9D9D9"/>
            <w:noWrap/>
            <w:vAlign w:val="center"/>
          </w:tcPr>
          <w:p w14:paraId="6D910AC2" w14:textId="05906CF3"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17 132 201</w:t>
            </w:r>
          </w:p>
        </w:tc>
        <w:tc>
          <w:tcPr>
            <w:tcW w:w="561" w:type="pct"/>
            <w:tcBorders>
              <w:top w:val="nil"/>
              <w:left w:val="nil"/>
              <w:bottom w:val="single" w:sz="8" w:space="0" w:color="DAEEF3"/>
              <w:right w:val="nil"/>
            </w:tcBorders>
            <w:shd w:val="clear" w:color="000000" w:fill="D9D9D9"/>
            <w:noWrap/>
            <w:vAlign w:val="center"/>
          </w:tcPr>
          <w:p w14:paraId="7056B307" w14:textId="7D43285F" w:rsidR="00310F6E" w:rsidRPr="00DF202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10 956 478</w:t>
            </w:r>
          </w:p>
        </w:tc>
        <w:tc>
          <w:tcPr>
            <w:tcW w:w="561" w:type="pct"/>
            <w:tcBorders>
              <w:top w:val="nil"/>
              <w:left w:val="nil"/>
              <w:bottom w:val="single" w:sz="8" w:space="0" w:color="DAEEF3"/>
              <w:right w:val="nil"/>
            </w:tcBorders>
            <w:shd w:val="clear" w:color="000000" w:fill="D9D9D9"/>
            <w:noWrap/>
            <w:vAlign w:val="center"/>
          </w:tcPr>
          <w:p w14:paraId="491F0BCD" w14:textId="5981267F"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25 882 457</w:t>
            </w:r>
          </w:p>
        </w:tc>
        <w:tc>
          <w:tcPr>
            <w:tcW w:w="561" w:type="pct"/>
            <w:tcBorders>
              <w:top w:val="nil"/>
              <w:left w:val="nil"/>
              <w:bottom w:val="single" w:sz="8" w:space="0" w:color="DAEEF3"/>
              <w:right w:val="nil"/>
            </w:tcBorders>
            <w:shd w:val="clear" w:color="000000" w:fill="D9D9D9"/>
            <w:noWrap/>
            <w:vAlign w:val="center"/>
          </w:tcPr>
          <w:p w14:paraId="4714A5D8" w14:textId="4AAECE06"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25 790 022</w:t>
            </w:r>
          </w:p>
        </w:tc>
      </w:tr>
      <w:tr w:rsidR="00310F6E" w:rsidRPr="002B3035" w14:paraId="4186C541" w14:textId="77777777" w:rsidTr="00310F6E">
        <w:trPr>
          <w:cantSplit/>
          <w:trHeight w:hRule="exact" w:val="315"/>
        </w:trPr>
        <w:tc>
          <w:tcPr>
            <w:tcW w:w="923" w:type="pct"/>
            <w:tcBorders>
              <w:top w:val="nil"/>
              <w:left w:val="nil"/>
              <w:bottom w:val="single" w:sz="8" w:space="0" w:color="DAEEF3"/>
              <w:right w:val="nil"/>
            </w:tcBorders>
            <w:shd w:val="clear" w:color="auto" w:fill="auto"/>
            <w:noWrap/>
            <w:vAlign w:val="center"/>
            <w:hideMark/>
          </w:tcPr>
          <w:p w14:paraId="56500ABA" w14:textId="77777777" w:rsidR="00310F6E" w:rsidRPr="002B3035" w:rsidRDefault="00310F6E" w:rsidP="00AC24B5">
            <w:pPr>
              <w:spacing w:after="0" w:line="240" w:lineRule="auto"/>
              <w:rPr>
                <w:rFonts w:ascii="Calibri" w:eastAsia="Times New Roman" w:hAnsi="Calibri" w:cs="Calibri"/>
                <w:color w:val="000000"/>
                <w:sz w:val="16"/>
                <w:szCs w:val="16"/>
                <w:lang w:eastAsia="sk-SK"/>
              </w:rPr>
            </w:pPr>
            <w:r w:rsidRPr="002B3035">
              <w:rPr>
                <w:rFonts w:ascii="Calibri" w:eastAsia="Times New Roman" w:hAnsi="Calibri" w:cs="Calibri"/>
                <w:color w:val="000000"/>
                <w:sz w:val="16"/>
                <w:szCs w:val="16"/>
                <w:lang w:eastAsia="sk-SK"/>
              </w:rPr>
              <w:t>Kapitálové príjmy</w:t>
            </w:r>
          </w:p>
        </w:tc>
        <w:tc>
          <w:tcPr>
            <w:tcW w:w="619" w:type="pct"/>
            <w:tcBorders>
              <w:top w:val="nil"/>
              <w:left w:val="nil"/>
              <w:bottom w:val="single" w:sz="8" w:space="0" w:color="DAEEF3"/>
              <w:right w:val="nil"/>
            </w:tcBorders>
            <w:vAlign w:val="center"/>
          </w:tcPr>
          <w:p w14:paraId="626EECB3" w14:textId="5ABA2851"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9 132 467</w:t>
            </w:r>
          </w:p>
        </w:tc>
        <w:tc>
          <w:tcPr>
            <w:tcW w:w="561" w:type="pct"/>
            <w:tcBorders>
              <w:top w:val="nil"/>
              <w:left w:val="nil"/>
              <w:bottom w:val="single" w:sz="8" w:space="0" w:color="DAEEF3"/>
              <w:right w:val="nil"/>
            </w:tcBorders>
            <w:shd w:val="clear" w:color="auto" w:fill="auto"/>
            <w:noWrap/>
            <w:vAlign w:val="center"/>
          </w:tcPr>
          <w:p w14:paraId="57B869CB" w14:textId="32A99CCB"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8 932 107</w:t>
            </w:r>
          </w:p>
        </w:tc>
        <w:tc>
          <w:tcPr>
            <w:tcW w:w="625" w:type="pct"/>
            <w:tcBorders>
              <w:top w:val="nil"/>
              <w:left w:val="nil"/>
              <w:bottom w:val="single" w:sz="8" w:space="0" w:color="DAEEF3"/>
              <w:right w:val="nil"/>
            </w:tcBorders>
            <w:shd w:val="clear" w:color="auto" w:fill="auto"/>
            <w:noWrap/>
            <w:vAlign w:val="center"/>
          </w:tcPr>
          <w:p w14:paraId="46374253" w14:textId="486B44EF"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10 724 094</w:t>
            </w:r>
          </w:p>
        </w:tc>
        <w:tc>
          <w:tcPr>
            <w:tcW w:w="589" w:type="pct"/>
            <w:tcBorders>
              <w:top w:val="nil"/>
              <w:left w:val="nil"/>
              <w:bottom w:val="single" w:sz="8" w:space="0" w:color="DAEEF3"/>
              <w:right w:val="nil"/>
            </w:tcBorders>
            <w:shd w:val="clear" w:color="auto" w:fill="auto"/>
            <w:noWrap/>
            <w:vAlign w:val="center"/>
          </w:tcPr>
          <w:p w14:paraId="50F83395" w14:textId="56405599"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8 207 615</w:t>
            </w:r>
          </w:p>
        </w:tc>
        <w:tc>
          <w:tcPr>
            <w:tcW w:w="561" w:type="pct"/>
            <w:tcBorders>
              <w:top w:val="nil"/>
              <w:left w:val="nil"/>
              <w:bottom w:val="single" w:sz="8" w:space="0" w:color="DAEEF3"/>
              <w:right w:val="nil"/>
            </w:tcBorders>
            <w:shd w:val="clear" w:color="000000" w:fill="D9D9D9"/>
            <w:noWrap/>
            <w:vAlign w:val="center"/>
          </w:tcPr>
          <w:p w14:paraId="5CDFB544" w14:textId="433D88FD" w:rsidR="00310F6E" w:rsidRPr="00DF202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21 326 797</w:t>
            </w:r>
          </w:p>
        </w:tc>
        <w:tc>
          <w:tcPr>
            <w:tcW w:w="561" w:type="pct"/>
            <w:tcBorders>
              <w:top w:val="nil"/>
              <w:left w:val="nil"/>
              <w:bottom w:val="single" w:sz="8" w:space="0" w:color="DAEEF3"/>
              <w:right w:val="nil"/>
            </w:tcBorders>
            <w:shd w:val="clear" w:color="auto" w:fill="auto"/>
            <w:noWrap/>
            <w:vAlign w:val="center"/>
          </w:tcPr>
          <w:p w14:paraId="0D39DF40" w14:textId="67D05594"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43 068 673</w:t>
            </w:r>
          </w:p>
        </w:tc>
        <w:tc>
          <w:tcPr>
            <w:tcW w:w="561" w:type="pct"/>
            <w:tcBorders>
              <w:top w:val="nil"/>
              <w:left w:val="nil"/>
              <w:bottom w:val="single" w:sz="8" w:space="0" w:color="DAEEF3"/>
              <w:right w:val="nil"/>
            </w:tcBorders>
            <w:shd w:val="clear" w:color="auto" w:fill="auto"/>
            <w:noWrap/>
            <w:vAlign w:val="center"/>
          </w:tcPr>
          <w:p w14:paraId="00366329" w14:textId="3E6FFC63"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39 621 775</w:t>
            </w:r>
          </w:p>
        </w:tc>
      </w:tr>
      <w:tr w:rsidR="00310F6E" w:rsidRPr="002B3035" w14:paraId="323FDB1E" w14:textId="77777777" w:rsidTr="00310F6E">
        <w:trPr>
          <w:cantSplit/>
          <w:trHeight w:hRule="exact" w:val="315"/>
        </w:trPr>
        <w:tc>
          <w:tcPr>
            <w:tcW w:w="923" w:type="pct"/>
            <w:tcBorders>
              <w:top w:val="nil"/>
              <w:left w:val="nil"/>
              <w:bottom w:val="single" w:sz="8" w:space="0" w:color="DAEEF3"/>
              <w:right w:val="nil"/>
            </w:tcBorders>
            <w:shd w:val="clear" w:color="auto" w:fill="auto"/>
            <w:noWrap/>
            <w:vAlign w:val="center"/>
            <w:hideMark/>
          </w:tcPr>
          <w:p w14:paraId="6A4A32A4" w14:textId="77777777" w:rsidR="00310F6E" w:rsidRPr="002B3035" w:rsidRDefault="00310F6E" w:rsidP="00AC24B5">
            <w:pPr>
              <w:spacing w:after="0" w:line="240" w:lineRule="auto"/>
              <w:rPr>
                <w:rFonts w:ascii="Calibri" w:eastAsia="Times New Roman" w:hAnsi="Calibri" w:cs="Calibri"/>
                <w:color w:val="000000"/>
                <w:sz w:val="16"/>
                <w:szCs w:val="16"/>
                <w:lang w:eastAsia="sk-SK"/>
              </w:rPr>
            </w:pPr>
            <w:r w:rsidRPr="002B3035">
              <w:rPr>
                <w:rFonts w:ascii="Calibri" w:eastAsia="Times New Roman" w:hAnsi="Calibri" w:cs="Calibri"/>
                <w:color w:val="000000"/>
                <w:sz w:val="16"/>
                <w:szCs w:val="16"/>
                <w:lang w:eastAsia="sk-SK"/>
              </w:rPr>
              <w:t>Kapitálové výdavky</w:t>
            </w:r>
          </w:p>
        </w:tc>
        <w:tc>
          <w:tcPr>
            <w:tcW w:w="619" w:type="pct"/>
            <w:tcBorders>
              <w:top w:val="nil"/>
              <w:left w:val="nil"/>
              <w:bottom w:val="single" w:sz="8" w:space="0" w:color="DAEEF3"/>
              <w:right w:val="nil"/>
            </w:tcBorders>
            <w:vAlign w:val="center"/>
          </w:tcPr>
          <w:p w14:paraId="1F7E06C9" w14:textId="45AED0B5"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48 813 056</w:t>
            </w:r>
          </w:p>
        </w:tc>
        <w:tc>
          <w:tcPr>
            <w:tcW w:w="561" w:type="pct"/>
            <w:tcBorders>
              <w:top w:val="nil"/>
              <w:left w:val="nil"/>
              <w:bottom w:val="single" w:sz="8" w:space="0" w:color="DAEEF3"/>
              <w:right w:val="nil"/>
            </w:tcBorders>
            <w:shd w:val="clear" w:color="auto" w:fill="auto"/>
            <w:noWrap/>
            <w:vAlign w:val="center"/>
          </w:tcPr>
          <w:p w14:paraId="3B85B89C" w14:textId="5E899428"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51 806 513</w:t>
            </w:r>
          </w:p>
        </w:tc>
        <w:tc>
          <w:tcPr>
            <w:tcW w:w="625" w:type="pct"/>
            <w:tcBorders>
              <w:top w:val="nil"/>
              <w:left w:val="nil"/>
              <w:bottom w:val="single" w:sz="8" w:space="0" w:color="DAEEF3"/>
              <w:right w:val="nil"/>
            </w:tcBorders>
            <w:shd w:val="clear" w:color="auto" w:fill="auto"/>
            <w:noWrap/>
            <w:vAlign w:val="center"/>
          </w:tcPr>
          <w:p w14:paraId="1630AC74" w14:textId="77971FCC"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70 749 888</w:t>
            </w:r>
          </w:p>
        </w:tc>
        <w:tc>
          <w:tcPr>
            <w:tcW w:w="589" w:type="pct"/>
            <w:tcBorders>
              <w:top w:val="nil"/>
              <w:left w:val="nil"/>
              <w:bottom w:val="single" w:sz="8" w:space="0" w:color="DAEEF3"/>
              <w:right w:val="nil"/>
            </w:tcBorders>
            <w:shd w:val="clear" w:color="auto" w:fill="auto"/>
            <w:noWrap/>
            <w:vAlign w:val="center"/>
          </w:tcPr>
          <w:p w14:paraId="64549283" w14:textId="7BABD828"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39 254 298</w:t>
            </w:r>
          </w:p>
        </w:tc>
        <w:tc>
          <w:tcPr>
            <w:tcW w:w="561" w:type="pct"/>
            <w:tcBorders>
              <w:top w:val="nil"/>
              <w:left w:val="nil"/>
              <w:bottom w:val="single" w:sz="8" w:space="0" w:color="DAEEF3"/>
              <w:right w:val="nil"/>
            </w:tcBorders>
            <w:shd w:val="clear" w:color="000000" w:fill="D9D9D9"/>
            <w:noWrap/>
            <w:vAlign w:val="center"/>
          </w:tcPr>
          <w:p w14:paraId="1B85AA85" w14:textId="36B45161" w:rsidR="00310F6E" w:rsidRPr="00DF202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73 962 958</w:t>
            </w:r>
          </w:p>
        </w:tc>
        <w:tc>
          <w:tcPr>
            <w:tcW w:w="561" w:type="pct"/>
            <w:tcBorders>
              <w:top w:val="nil"/>
              <w:left w:val="nil"/>
              <w:bottom w:val="single" w:sz="8" w:space="0" w:color="DAEEF3"/>
              <w:right w:val="nil"/>
            </w:tcBorders>
            <w:shd w:val="clear" w:color="auto" w:fill="auto"/>
            <w:noWrap/>
            <w:vAlign w:val="center"/>
          </w:tcPr>
          <w:p w14:paraId="71EB7E9D" w14:textId="6161B07A"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86 889 529</w:t>
            </w:r>
          </w:p>
        </w:tc>
        <w:tc>
          <w:tcPr>
            <w:tcW w:w="561" w:type="pct"/>
            <w:tcBorders>
              <w:top w:val="nil"/>
              <w:left w:val="nil"/>
              <w:bottom w:val="single" w:sz="8" w:space="0" w:color="DAEEF3"/>
              <w:right w:val="nil"/>
            </w:tcBorders>
            <w:shd w:val="clear" w:color="auto" w:fill="auto"/>
            <w:noWrap/>
            <w:vAlign w:val="center"/>
          </w:tcPr>
          <w:p w14:paraId="7265461E" w14:textId="7BBC17A0"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96 585 627</w:t>
            </w:r>
          </w:p>
        </w:tc>
      </w:tr>
      <w:tr w:rsidR="00310F6E" w:rsidRPr="002B3035" w14:paraId="66EA045A" w14:textId="77777777" w:rsidTr="00310F6E">
        <w:trPr>
          <w:cantSplit/>
          <w:trHeight w:hRule="exact" w:val="315"/>
        </w:trPr>
        <w:tc>
          <w:tcPr>
            <w:tcW w:w="923" w:type="pct"/>
            <w:tcBorders>
              <w:top w:val="nil"/>
              <w:left w:val="nil"/>
              <w:bottom w:val="single" w:sz="8" w:space="0" w:color="DAEEF3"/>
              <w:right w:val="nil"/>
            </w:tcBorders>
            <w:shd w:val="clear" w:color="000000" w:fill="D9D9D9"/>
            <w:noWrap/>
            <w:vAlign w:val="center"/>
            <w:hideMark/>
          </w:tcPr>
          <w:p w14:paraId="56C5EF3B" w14:textId="77777777" w:rsidR="00310F6E" w:rsidRPr="000D1A9A" w:rsidRDefault="00310F6E" w:rsidP="00AC24B5">
            <w:pPr>
              <w:spacing w:after="0" w:line="240" w:lineRule="auto"/>
              <w:rPr>
                <w:rFonts w:ascii="Calibri" w:eastAsia="Times New Roman" w:hAnsi="Calibri" w:cs="Calibri"/>
                <w:b/>
                <w:bCs/>
                <w:color w:val="000000"/>
                <w:sz w:val="16"/>
                <w:szCs w:val="16"/>
                <w:lang w:eastAsia="sk-SK"/>
              </w:rPr>
            </w:pPr>
            <w:r w:rsidRPr="000D1A9A">
              <w:rPr>
                <w:rFonts w:ascii="Calibri" w:eastAsia="Times New Roman" w:hAnsi="Calibri" w:cs="Calibri"/>
                <w:b/>
                <w:bCs/>
                <w:color w:val="000000"/>
                <w:sz w:val="16"/>
                <w:szCs w:val="16"/>
                <w:lang w:eastAsia="sk-SK"/>
              </w:rPr>
              <w:t>Bilancia KR</w:t>
            </w:r>
          </w:p>
        </w:tc>
        <w:tc>
          <w:tcPr>
            <w:tcW w:w="619" w:type="pct"/>
            <w:tcBorders>
              <w:top w:val="nil"/>
              <w:left w:val="nil"/>
              <w:bottom w:val="single" w:sz="8" w:space="0" w:color="DAEEF3"/>
              <w:right w:val="nil"/>
            </w:tcBorders>
            <w:shd w:val="clear" w:color="000000" w:fill="D9D9D9"/>
            <w:vAlign w:val="center"/>
          </w:tcPr>
          <w:p w14:paraId="15BEBCD8" w14:textId="21924629"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-39 680 589</w:t>
            </w:r>
          </w:p>
        </w:tc>
        <w:tc>
          <w:tcPr>
            <w:tcW w:w="561" w:type="pct"/>
            <w:tcBorders>
              <w:top w:val="nil"/>
              <w:left w:val="nil"/>
              <w:bottom w:val="single" w:sz="8" w:space="0" w:color="DAEEF3"/>
              <w:right w:val="nil"/>
            </w:tcBorders>
            <w:shd w:val="clear" w:color="000000" w:fill="D9D9D9"/>
            <w:noWrap/>
            <w:vAlign w:val="center"/>
          </w:tcPr>
          <w:p w14:paraId="02778267" w14:textId="039A5D27"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b/>
                <w:bCs/>
                <w:color w:val="000000"/>
                <w:sz w:val="20"/>
                <w:szCs w:val="20"/>
              </w:rPr>
              <w:t>-42 874 406</w:t>
            </w:r>
          </w:p>
        </w:tc>
        <w:tc>
          <w:tcPr>
            <w:tcW w:w="625" w:type="pct"/>
            <w:tcBorders>
              <w:top w:val="nil"/>
              <w:left w:val="nil"/>
              <w:bottom w:val="single" w:sz="8" w:space="0" w:color="DAEEF3"/>
              <w:right w:val="nil"/>
            </w:tcBorders>
            <w:shd w:val="clear" w:color="000000" w:fill="D9D9D9"/>
            <w:noWrap/>
            <w:vAlign w:val="center"/>
          </w:tcPr>
          <w:p w14:paraId="4BACBE92" w14:textId="5F68AF39" w:rsidR="00310F6E" w:rsidRPr="00DE6314" w:rsidRDefault="00310F6E" w:rsidP="00AC24B5">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-60 025 794</w:t>
            </w:r>
          </w:p>
        </w:tc>
        <w:tc>
          <w:tcPr>
            <w:tcW w:w="589" w:type="pct"/>
            <w:tcBorders>
              <w:top w:val="nil"/>
              <w:left w:val="nil"/>
              <w:bottom w:val="single" w:sz="8" w:space="0" w:color="DAEEF3"/>
              <w:right w:val="nil"/>
            </w:tcBorders>
            <w:shd w:val="clear" w:color="000000" w:fill="D9D9D9"/>
            <w:noWrap/>
            <w:vAlign w:val="center"/>
          </w:tcPr>
          <w:p w14:paraId="3D17C2E7" w14:textId="4E171119"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-31 046 683</w:t>
            </w:r>
          </w:p>
        </w:tc>
        <w:tc>
          <w:tcPr>
            <w:tcW w:w="561" w:type="pct"/>
            <w:tcBorders>
              <w:top w:val="nil"/>
              <w:left w:val="nil"/>
              <w:bottom w:val="single" w:sz="8" w:space="0" w:color="DAEEF3"/>
              <w:right w:val="nil"/>
            </w:tcBorders>
            <w:shd w:val="clear" w:color="000000" w:fill="D9D9D9"/>
            <w:noWrap/>
            <w:vAlign w:val="center"/>
          </w:tcPr>
          <w:p w14:paraId="539CE5EB" w14:textId="05ED4E43" w:rsidR="00310F6E" w:rsidRPr="00DF202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-52 636 161</w:t>
            </w:r>
          </w:p>
        </w:tc>
        <w:tc>
          <w:tcPr>
            <w:tcW w:w="561" w:type="pct"/>
            <w:tcBorders>
              <w:top w:val="nil"/>
              <w:left w:val="nil"/>
              <w:bottom w:val="single" w:sz="8" w:space="0" w:color="DAEEF3"/>
              <w:right w:val="nil"/>
            </w:tcBorders>
            <w:shd w:val="clear" w:color="000000" w:fill="D9D9D9"/>
            <w:noWrap/>
            <w:vAlign w:val="center"/>
          </w:tcPr>
          <w:p w14:paraId="452D4595" w14:textId="6BDE5282"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-43 820 857</w:t>
            </w:r>
          </w:p>
        </w:tc>
        <w:tc>
          <w:tcPr>
            <w:tcW w:w="561" w:type="pct"/>
            <w:tcBorders>
              <w:top w:val="nil"/>
              <w:left w:val="nil"/>
              <w:bottom w:val="single" w:sz="8" w:space="0" w:color="DAEEF3"/>
              <w:right w:val="nil"/>
            </w:tcBorders>
            <w:shd w:val="clear" w:color="000000" w:fill="D9D9D9"/>
            <w:noWrap/>
            <w:vAlign w:val="center"/>
          </w:tcPr>
          <w:p w14:paraId="74D33D77" w14:textId="4B10467A"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-56 963 852</w:t>
            </w:r>
          </w:p>
        </w:tc>
      </w:tr>
      <w:tr w:rsidR="00310F6E" w:rsidRPr="002B3035" w14:paraId="670E582C" w14:textId="77777777" w:rsidTr="00310F6E">
        <w:trPr>
          <w:cantSplit/>
          <w:trHeight w:hRule="exact" w:val="315"/>
        </w:trPr>
        <w:tc>
          <w:tcPr>
            <w:tcW w:w="923" w:type="pct"/>
            <w:tcBorders>
              <w:top w:val="nil"/>
              <w:left w:val="nil"/>
              <w:bottom w:val="single" w:sz="8" w:space="0" w:color="DAEEF3"/>
              <w:right w:val="nil"/>
            </w:tcBorders>
            <w:shd w:val="clear" w:color="000000" w:fill="B8CCE4"/>
            <w:noWrap/>
            <w:vAlign w:val="center"/>
            <w:hideMark/>
          </w:tcPr>
          <w:p w14:paraId="3AB5CFEE" w14:textId="77777777" w:rsidR="00310F6E" w:rsidRPr="000D1A9A" w:rsidRDefault="00310F6E" w:rsidP="00AC24B5">
            <w:pPr>
              <w:spacing w:after="0" w:line="240" w:lineRule="auto"/>
              <w:rPr>
                <w:rFonts w:ascii="Calibri" w:eastAsia="Times New Roman" w:hAnsi="Calibri" w:cs="Calibri"/>
                <w:b/>
                <w:bCs/>
                <w:color w:val="000000"/>
                <w:sz w:val="16"/>
                <w:szCs w:val="16"/>
                <w:lang w:eastAsia="sk-SK"/>
              </w:rPr>
            </w:pPr>
            <w:r w:rsidRPr="000D1A9A">
              <w:rPr>
                <w:rFonts w:ascii="Calibri" w:eastAsia="Times New Roman" w:hAnsi="Calibri" w:cs="Calibri"/>
                <w:b/>
                <w:bCs/>
                <w:color w:val="000000"/>
                <w:sz w:val="16"/>
                <w:szCs w:val="16"/>
                <w:lang w:eastAsia="sk-SK"/>
              </w:rPr>
              <w:t>Bilancia rozpočtu celkom</w:t>
            </w:r>
          </w:p>
        </w:tc>
        <w:tc>
          <w:tcPr>
            <w:tcW w:w="619" w:type="pct"/>
            <w:tcBorders>
              <w:top w:val="nil"/>
              <w:left w:val="nil"/>
              <w:bottom w:val="single" w:sz="8" w:space="0" w:color="DAEEF3"/>
              <w:right w:val="nil"/>
            </w:tcBorders>
            <w:shd w:val="clear" w:color="000000" w:fill="B8CCE4"/>
            <w:vAlign w:val="center"/>
          </w:tcPr>
          <w:p w14:paraId="5236A380" w14:textId="43CBF095"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-17 583 615</w:t>
            </w:r>
          </w:p>
        </w:tc>
        <w:tc>
          <w:tcPr>
            <w:tcW w:w="561" w:type="pct"/>
            <w:tcBorders>
              <w:top w:val="nil"/>
              <w:left w:val="nil"/>
              <w:bottom w:val="single" w:sz="8" w:space="0" w:color="DAEEF3"/>
              <w:right w:val="nil"/>
            </w:tcBorders>
            <w:shd w:val="clear" w:color="000000" w:fill="B8CCE4"/>
            <w:noWrap/>
            <w:vAlign w:val="center"/>
          </w:tcPr>
          <w:p w14:paraId="6BF6B221" w14:textId="01D9537B"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b/>
                <w:bCs/>
                <w:color w:val="000000"/>
                <w:sz w:val="20"/>
                <w:szCs w:val="20"/>
              </w:rPr>
              <w:t>-6 838 429</w:t>
            </w:r>
          </w:p>
        </w:tc>
        <w:tc>
          <w:tcPr>
            <w:tcW w:w="625" w:type="pct"/>
            <w:tcBorders>
              <w:top w:val="nil"/>
              <w:left w:val="nil"/>
              <w:bottom w:val="single" w:sz="8" w:space="0" w:color="DAEEF3"/>
              <w:right w:val="nil"/>
            </w:tcBorders>
            <w:shd w:val="clear" w:color="000000" w:fill="B8CCE4"/>
            <w:noWrap/>
            <w:vAlign w:val="center"/>
          </w:tcPr>
          <w:p w14:paraId="4A56C6F3" w14:textId="696583E6" w:rsidR="00310F6E" w:rsidRPr="00DE6314" w:rsidRDefault="00310F6E" w:rsidP="00AC24B5">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-49 144 647</w:t>
            </w:r>
          </w:p>
        </w:tc>
        <w:tc>
          <w:tcPr>
            <w:tcW w:w="589" w:type="pct"/>
            <w:tcBorders>
              <w:top w:val="nil"/>
              <w:left w:val="nil"/>
              <w:bottom w:val="single" w:sz="8" w:space="0" w:color="DAEEF3"/>
              <w:right w:val="nil"/>
            </w:tcBorders>
            <w:shd w:val="clear" w:color="000000" w:fill="B8CCE4"/>
            <w:noWrap/>
            <w:vAlign w:val="center"/>
          </w:tcPr>
          <w:p w14:paraId="7E1B3A0E" w14:textId="76820C0C"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-13 914 482</w:t>
            </w:r>
          </w:p>
        </w:tc>
        <w:tc>
          <w:tcPr>
            <w:tcW w:w="561" w:type="pct"/>
            <w:tcBorders>
              <w:top w:val="nil"/>
              <w:left w:val="nil"/>
              <w:bottom w:val="single" w:sz="8" w:space="0" w:color="DAEEF3"/>
              <w:right w:val="nil"/>
            </w:tcBorders>
            <w:shd w:val="clear" w:color="000000" w:fill="D9D9D9"/>
            <w:noWrap/>
            <w:vAlign w:val="center"/>
          </w:tcPr>
          <w:p w14:paraId="758F2CDC" w14:textId="5EB2A71B" w:rsidR="00310F6E" w:rsidRPr="00DF202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-41 679 683</w:t>
            </w:r>
          </w:p>
        </w:tc>
        <w:tc>
          <w:tcPr>
            <w:tcW w:w="561" w:type="pct"/>
            <w:tcBorders>
              <w:top w:val="nil"/>
              <w:left w:val="nil"/>
              <w:bottom w:val="single" w:sz="8" w:space="0" w:color="DAEEF3"/>
              <w:right w:val="nil"/>
            </w:tcBorders>
            <w:shd w:val="clear" w:color="000000" w:fill="B8CCE4"/>
            <w:noWrap/>
            <w:vAlign w:val="center"/>
          </w:tcPr>
          <w:p w14:paraId="10B8E4D8" w14:textId="23E49818"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-17 938 399</w:t>
            </w:r>
          </w:p>
        </w:tc>
        <w:tc>
          <w:tcPr>
            <w:tcW w:w="561" w:type="pct"/>
            <w:tcBorders>
              <w:top w:val="nil"/>
              <w:left w:val="nil"/>
              <w:bottom w:val="single" w:sz="8" w:space="0" w:color="DAEEF3"/>
              <w:right w:val="nil"/>
            </w:tcBorders>
            <w:shd w:val="clear" w:color="000000" w:fill="B8CCE4"/>
            <w:noWrap/>
            <w:vAlign w:val="center"/>
          </w:tcPr>
          <w:p w14:paraId="202FDBC2" w14:textId="13AB9C2D"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-31 173 830</w:t>
            </w:r>
          </w:p>
        </w:tc>
      </w:tr>
      <w:tr w:rsidR="00310F6E" w:rsidRPr="002B3035" w14:paraId="33672B67" w14:textId="77777777" w:rsidTr="00310F6E">
        <w:trPr>
          <w:cantSplit/>
          <w:trHeight w:hRule="exact" w:val="315"/>
        </w:trPr>
        <w:tc>
          <w:tcPr>
            <w:tcW w:w="923" w:type="pct"/>
            <w:tcBorders>
              <w:top w:val="nil"/>
              <w:left w:val="nil"/>
              <w:bottom w:val="single" w:sz="8" w:space="0" w:color="DAEEF3"/>
              <w:right w:val="nil"/>
            </w:tcBorders>
            <w:shd w:val="clear" w:color="auto" w:fill="auto"/>
            <w:noWrap/>
            <w:vAlign w:val="center"/>
            <w:hideMark/>
          </w:tcPr>
          <w:p w14:paraId="2C5980C1" w14:textId="77777777" w:rsidR="00310F6E" w:rsidRPr="002B3035" w:rsidRDefault="00310F6E" w:rsidP="00AC24B5">
            <w:pPr>
              <w:spacing w:after="0" w:line="240" w:lineRule="auto"/>
              <w:rPr>
                <w:rFonts w:ascii="Calibri" w:eastAsia="Times New Roman" w:hAnsi="Calibri" w:cs="Calibri"/>
                <w:color w:val="000000"/>
                <w:sz w:val="16"/>
                <w:szCs w:val="16"/>
                <w:lang w:eastAsia="sk-SK"/>
              </w:rPr>
            </w:pPr>
            <w:r w:rsidRPr="002B3035">
              <w:rPr>
                <w:rFonts w:ascii="Calibri" w:eastAsia="Times New Roman" w:hAnsi="Calibri" w:cs="Calibri"/>
                <w:color w:val="000000"/>
                <w:sz w:val="16"/>
                <w:szCs w:val="16"/>
                <w:lang w:eastAsia="sk-SK"/>
              </w:rPr>
              <w:t>Príjmové fin. operácie</w:t>
            </w:r>
          </w:p>
        </w:tc>
        <w:tc>
          <w:tcPr>
            <w:tcW w:w="619" w:type="pct"/>
            <w:tcBorders>
              <w:top w:val="nil"/>
              <w:left w:val="nil"/>
              <w:bottom w:val="single" w:sz="8" w:space="0" w:color="DAEEF3"/>
              <w:right w:val="nil"/>
            </w:tcBorders>
            <w:vAlign w:val="center"/>
          </w:tcPr>
          <w:p w14:paraId="3791399F" w14:textId="5B6A9F24"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34 329 393</w:t>
            </w:r>
          </w:p>
        </w:tc>
        <w:tc>
          <w:tcPr>
            <w:tcW w:w="561" w:type="pct"/>
            <w:tcBorders>
              <w:top w:val="nil"/>
              <w:left w:val="nil"/>
              <w:bottom w:val="single" w:sz="8" w:space="0" w:color="DAEEF3"/>
              <w:right w:val="nil"/>
            </w:tcBorders>
            <w:shd w:val="clear" w:color="auto" w:fill="auto"/>
            <w:noWrap/>
            <w:vAlign w:val="center"/>
          </w:tcPr>
          <w:p w14:paraId="00AD2DC1" w14:textId="24682177"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59 616 897</w:t>
            </w:r>
          </w:p>
        </w:tc>
        <w:tc>
          <w:tcPr>
            <w:tcW w:w="625" w:type="pct"/>
            <w:tcBorders>
              <w:top w:val="nil"/>
              <w:left w:val="nil"/>
              <w:bottom w:val="single" w:sz="8" w:space="0" w:color="DAEEF3"/>
              <w:right w:val="nil"/>
            </w:tcBorders>
            <w:shd w:val="clear" w:color="auto" w:fill="auto"/>
            <w:noWrap/>
            <w:vAlign w:val="center"/>
          </w:tcPr>
          <w:p w14:paraId="1CBA02C5" w14:textId="1409B15C"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56 930 336</w:t>
            </w:r>
          </w:p>
        </w:tc>
        <w:tc>
          <w:tcPr>
            <w:tcW w:w="589" w:type="pct"/>
            <w:tcBorders>
              <w:top w:val="nil"/>
              <w:left w:val="nil"/>
              <w:bottom w:val="single" w:sz="8" w:space="0" w:color="DAEEF3"/>
              <w:right w:val="nil"/>
            </w:tcBorders>
            <w:shd w:val="clear" w:color="auto" w:fill="auto"/>
            <w:noWrap/>
            <w:vAlign w:val="center"/>
          </w:tcPr>
          <w:p w14:paraId="27091360" w14:textId="52E5C28E"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29 050 766</w:t>
            </w:r>
          </w:p>
        </w:tc>
        <w:tc>
          <w:tcPr>
            <w:tcW w:w="561" w:type="pct"/>
            <w:tcBorders>
              <w:top w:val="nil"/>
              <w:left w:val="nil"/>
              <w:bottom w:val="single" w:sz="8" w:space="0" w:color="DAEEF3"/>
              <w:right w:val="nil"/>
            </w:tcBorders>
            <w:shd w:val="clear" w:color="000000" w:fill="D9D9D9"/>
            <w:noWrap/>
            <w:vAlign w:val="center"/>
          </w:tcPr>
          <w:p w14:paraId="223916DE" w14:textId="4B5B3C07" w:rsidR="00310F6E" w:rsidRPr="00DF202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47 777 674</w:t>
            </w:r>
          </w:p>
        </w:tc>
        <w:tc>
          <w:tcPr>
            <w:tcW w:w="561" w:type="pct"/>
            <w:tcBorders>
              <w:top w:val="nil"/>
              <w:left w:val="nil"/>
              <w:bottom w:val="single" w:sz="8" w:space="0" w:color="DAEEF3"/>
              <w:right w:val="nil"/>
            </w:tcBorders>
            <w:shd w:val="clear" w:color="auto" w:fill="auto"/>
            <w:noWrap/>
            <w:vAlign w:val="center"/>
          </w:tcPr>
          <w:p w14:paraId="032EFB56" w14:textId="7BF4572C"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30 185 518</w:t>
            </w:r>
          </w:p>
        </w:tc>
        <w:tc>
          <w:tcPr>
            <w:tcW w:w="561" w:type="pct"/>
            <w:tcBorders>
              <w:top w:val="nil"/>
              <w:left w:val="nil"/>
              <w:bottom w:val="single" w:sz="8" w:space="0" w:color="DAEEF3"/>
              <w:right w:val="nil"/>
            </w:tcBorders>
            <w:shd w:val="clear" w:color="auto" w:fill="auto"/>
            <w:noWrap/>
            <w:vAlign w:val="center"/>
          </w:tcPr>
          <w:p w14:paraId="3C6CC24F" w14:textId="67C12938"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40 190 518</w:t>
            </w:r>
          </w:p>
        </w:tc>
      </w:tr>
      <w:tr w:rsidR="00310F6E" w:rsidRPr="002B3035" w14:paraId="05C6DA90" w14:textId="77777777" w:rsidTr="00310F6E">
        <w:trPr>
          <w:cantSplit/>
          <w:trHeight w:hRule="exact" w:val="315"/>
        </w:trPr>
        <w:tc>
          <w:tcPr>
            <w:tcW w:w="923" w:type="pct"/>
            <w:tcBorders>
              <w:top w:val="nil"/>
              <w:left w:val="nil"/>
              <w:bottom w:val="single" w:sz="8" w:space="0" w:color="DAEEF3"/>
              <w:right w:val="nil"/>
            </w:tcBorders>
            <w:shd w:val="clear" w:color="auto" w:fill="auto"/>
            <w:noWrap/>
            <w:vAlign w:val="center"/>
            <w:hideMark/>
          </w:tcPr>
          <w:p w14:paraId="17F8E749" w14:textId="77777777" w:rsidR="00310F6E" w:rsidRPr="002B3035" w:rsidRDefault="00310F6E" w:rsidP="00AC24B5">
            <w:pPr>
              <w:spacing w:after="0" w:line="240" w:lineRule="auto"/>
              <w:rPr>
                <w:rFonts w:ascii="Calibri" w:eastAsia="Times New Roman" w:hAnsi="Calibri" w:cs="Calibri"/>
                <w:color w:val="000000"/>
                <w:sz w:val="16"/>
                <w:szCs w:val="16"/>
                <w:lang w:eastAsia="sk-SK"/>
              </w:rPr>
            </w:pPr>
            <w:r w:rsidRPr="002B3035">
              <w:rPr>
                <w:rFonts w:ascii="Calibri" w:eastAsia="Times New Roman" w:hAnsi="Calibri" w:cs="Calibri"/>
                <w:color w:val="000000"/>
                <w:sz w:val="16"/>
                <w:szCs w:val="16"/>
                <w:lang w:eastAsia="sk-SK"/>
              </w:rPr>
              <w:t>Výdavkové fin. operácie</w:t>
            </w:r>
          </w:p>
        </w:tc>
        <w:tc>
          <w:tcPr>
            <w:tcW w:w="619" w:type="pct"/>
            <w:tcBorders>
              <w:top w:val="nil"/>
              <w:left w:val="nil"/>
              <w:bottom w:val="single" w:sz="8" w:space="0" w:color="DAEEF3"/>
              <w:right w:val="nil"/>
            </w:tcBorders>
            <w:vAlign w:val="center"/>
          </w:tcPr>
          <w:p w14:paraId="48F1B799" w14:textId="4590E9D8"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4 691 155</w:t>
            </w:r>
          </w:p>
        </w:tc>
        <w:tc>
          <w:tcPr>
            <w:tcW w:w="561" w:type="pct"/>
            <w:tcBorders>
              <w:top w:val="nil"/>
              <w:left w:val="nil"/>
              <w:bottom w:val="single" w:sz="8" w:space="0" w:color="DAEEF3"/>
              <w:right w:val="nil"/>
            </w:tcBorders>
            <w:shd w:val="clear" w:color="auto" w:fill="auto"/>
            <w:noWrap/>
            <w:vAlign w:val="center"/>
          </w:tcPr>
          <w:p w14:paraId="42CD9F54" w14:textId="6367E480"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6 398 030</w:t>
            </w:r>
          </w:p>
        </w:tc>
        <w:tc>
          <w:tcPr>
            <w:tcW w:w="625" w:type="pct"/>
            <w:tcBorders>
              <w:top w:val="nil"/>
              <w:left w:val="nil"/>
              <w:bottom w:val="single" w:sz="8" w:space="0" w:color="DAEEF3"/>
              <w:right w:val="nil"/>
            </w:tcBorders>
            <w:shd w:val="clear" w:color="auto" w:fill="auto"/>
            <w:noWrap/>
            <w:vAlign w:val="center"/>
          </w:tcPr>
          <w:p w14:paraId="1F034241" w14:textId="141D5868"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7 785 689</w:t>
            </w:r>
          </w:p>
        </w:tc>
        <w:tc>
          <w:tcPr>
            <w:tcW w:w="589" w:type="pct"/>
            <w:tcBorders>
              <w:top w:val="nil"/>
              <w:left w:val="nil"/>
              <w:bottom w:val="single" w:sz="8" w:space="0" w:color="DAEEF3"/>
              <w:right w:val="nil"/>
            </w:tcBorders>
            <w:shd w:val="clear" w:color="auto" w:fill="auto"/>
            <w:noWrap/>
            <w:vAlign w:val="center"/>
          </w:tcPr>
          <w:p w14:paraId="5B118AC8" w14:textId="44D5599C"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7 785 689</w:t>
            </w:r>
          </w:p>
        </w:tc>
        <w:tc>
          <w:tcPr>
            <w:tcW w:w="561" w:type="pct"/>
            <w:tcBorders>
              <w:top w:val="nil"/>
              <w:left w:val="nil"/>
              <w:bottom w:val="single" w:sz="8" w:space="0" w:color="DAEEF3"/>
              <w:right w:val="nil"/>
            </w:tcBorders>
            <w:shd w:val="clear" w:color="000000" w:fill="D9D9D9"/>
            <w:noWrap/>
            <w:vAlign w:val="center"/>
          </w:tcPr>
          <w:p w14:paraId="4B060C52" w14:textId="497F282B" w:rsidR="00310F6E" w:rsidRPr="00DF202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6 097 991</w:t>
            </w:r>
          </w:p>
        </w:tc>
        <w:tc>
          <w:tcPr>
            <w:tcW w:w="561" w:type="pct"/>
            <w:tcBorders>
              <w:top w:val="nil"/>
              <w:left w:val="nil"/>
              <w:bottom w:val="single" w:sz="8" w:space="0" w:color="DAEEF3"/>
              <w:right w:val="nil"/>
            </w:tcBorders>
            <w:shd w:val="clear" w:color="auto" w:fill="auto"/>
            <w:noWrap/>
            <w:vAlign w:val="center"/>
          </w:tcPr>
          <w:p w14:paraId="421394AF" w14:textId="4C14F229"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12 247 119</w:t>
            </w:r>
          </w:p>
        </w:tc>
        <w:tc>
          <w:tcPr>
            <w:tcW w:w="561" w:type="pct"/>
            <w:tcBorders>
              <w:top w:val="nil"/>
              <w:left w:val="nil"/>
              <w:bottom w:val="single" w:sz="8" w:space="0" w:color="DAEEF3"/>
              <w:right w:val="nil"/>
            </w:tcBorders>
            <w:shd w:val="clear" w:color="auto" w:fill="auto"/>
            <w:noWrap/>
            <w:vAlign w:val="center"/>
          </w:tcPr>
          <w:p w14:paraId="043BD0D3" w14:textId="5A9AE3C9"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9 016 688</w:t>
            </w:r>
          </w:p>
        </w:tc>
      </w:tr>
      <w:tr w:rsidR="00310F6E" w:rsidRPr="002B3035" w14:paraId="27335983" w14:textId="77777777" w:rsidTr="00310F6E">
        <w:trPr>
          <w:cantSplit/>
          <w:trHeight w:hRule="exact" w:val="315"/>
        </w:trPr>
        <w:tc>
          <w:tcPr>
            <w:tcW w:w="923" w:type="pct"/>
            <w:tcBorders>
              <w:top w:val="nil"/>
              <w:left w:val="nil"/>
              <w:bottom w:val="single" w:sz="8" w:space="0" w:color="DAEEF3"/>
              <w:right w:val="nil"/>
            </w:tcBorders>
            <w:shd w:val="clear" w:color="000000" w:fill="D9D9D9"/>
            <w:noWrap/>
            <w:vAlign w:val="center"/>
            <w:hideMark/>
          </w:tcPr>
          <w:p w14:paraId="38BB8AB9" w14:textId="77777777" w:rsidR="00310F6E" w:rsidRPr="000D1A9A" w:rsidRDefault="00310F6E" w:rsidP="00AC24B5">
            <w:pPr>
              <w:spacing w:after="0" w:line="240" w:lineRule="auto"/>
              <w:rPr>
                <w:rFonts w:ascii="Calibri" w:eastAsia="Times New Roman" w:hAnsi="Calibri" w:cs="Calibri"/>
                <w:b/>
                <w:bCs/>
                <w:color w:val="000000"/>
                <w:sz w:val="16"/>
                <w:szCs w:val="16"/>
                <w:lang w:eastAsia="sk-SK"/>
              </w:rPr>
            </w:pPr>
            <w:r w:rsidRPr="000D1A9A">
              <w:rPr>
                <w:rFonts w:ascii="Calibri" w:eastAsia="Times New Roman" w:hAnsi="Calibri" w:cs="Calibri"/>
                <w:b/>
                <w:bCs/>
                <w:color w:val="000000"/>
                <w:sz w:val="16"/>
                <w:szCs w:val="16"/>
                <w:lang w:eastAsia="sk-SK"/>
              </w:rPr>
              <w:t>Bilancia FO</w:t>
            </w:r>
          </w:p>
        </w:tc>
        <w:tc>
          <w:tcPr>
            <w:tcW w:w="619" w:type="pct"/>
            <w:tcBorders>
              <w:top w:val="nil"/>
              <w:left w:val="nil"/>
              <w:bottom w:val="single" w:sz="8" w:space="0" w:color="DAEEF3"/>
              <w:right w:val="nil"/>
            </w:tcBorders>
            <w:shd w:val="clear" w:color="000000" w:fill="D9D9D9"/>
            <w:vAlign w:val="center"/>
          </w:tcPr>
          <w:p w14:paraId="0B6CE52F" w14:textId="3964C7B3"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29 638 238</w:t>
            </w:r>
          </w:p>
        </w:tc>
        <w:tc>
          <w:tcPr>
            <w:tcW w:w="561" w:type="pct"/>
            <w:tcBorders>
              <w:top w:val="nil"/>
              <w:left w:val="nil"/>
              <w:bottom w:val="single" w:sz="8" w:space="0" w:color="DAEEF3"/>
              <w:right w:val="nil"/>
            </w:tcBorders>
            <w:shd w:val="clear" w:color="000000" w:fill="D9D9D9"/>
            <w:noWrap/>
            <w:vAlign w:val="center"/>
          </w:tcPr>
          <w:p w14:paraId="0DC5AED5" w14:textId="6A4DF9E4"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b/>
                <w:bCs/>
                <w:color w:val="000000"/>
                <w:sz w:val="20"/>
                <w:szCs w:val="20"/>
              </w:rPr>
              <w:t>53 218 867</w:t>
            </w:r>
          </w:p>
        </w:tc>
        <w:tc>
          <w:tcPr>
            <w:tcW w:w="625" w:type="pct"/>
            <w:tcBorders>
              <w:top w:val="nil"/>
              <w:left w:val="nil"/>
              <w:bottom w:val="single" w:sz="8" w:space="0" w:color="DAEEF3"/>
              <w:right w:val="nil"/>
            </w:tcBorders>
            <w:shd w:val="clear" w:color="000000" w:fill="D9D9D9"/>
            <w:noWrap/>
            <w:vAlign w:val="center"/>
          </w:tcPr>
          <w:p w14:paraId="2BD93A5F" w14:textId="468CB386" w:rsidR="00310F6E" w:rsidRPr="00DE6314" w:rsidRDefault="00310F6E" w:rsidP="00AC24B5">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49 144 647</w:t>
            </w:r>
          </w:p>
        </w:tc>
        <w:tc>
          <w:tcPr>
            <w:tcW w:w="589" w:type="pct"/>
            <w:tcBorders>
              <w:top w:val="nil"/>
              <w:left w:val="nil"/>
              <w:bottom w:val="single" w:sz="8" w:space="0" w:color="DAEEF3"/>
              <w:right w:val="nil"/>
            </w:tcBorders>
            <w:shd w:val="clear" w:color="000000" w:fill="D9D9D9"/>
            <w:noWrap/>
            <w:vAlign w:val="center"/>
          </w:tcPr>
          <w:p w14:paraId="47A12428" w14:textId="1ECFF4D9"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21 265 077</w:t>
            </w:r>
          </w:p>
        </w:tc>
        <w:tc>
          <w:tcPr>
            <w:tcW w:w="561" w:type="pct"/>
            <w:tcBorders>
              <w:top w:val="nil"/>
              <w:left w:val="nil"/>
              <w:bottom w:val="single" w:sz="8" w:space="0" w:color="DAEEF3"/>
              <w:right w:val="nil"/>
            </w:tcBorders>
            <w:shd w:val="clear" w:color="000000" w:fill="D9D9D9"/>
            <w:noWrap/>
            <w:vAlign w:val="center"/>
          </w:tcPr>
          <w:p w14:paraId="0BF4DD9D" w14:textId="3DFCCC62" w:rsidR="00310F6E" w:rsidRPr="00DF202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41 679 683</w:t>
            </w:r>
          </w:p>
        </w:tc>
        <w:tc>
          <w:tcPr>
            <w:tcW w:w="561" w:type="pct"/>
            <w:tcBorders>
              <w:top w:val="nil"/>
              <w:left w:val="nil"/>
              <w:bottom w:val="single" w:sz="8" w:space="0" w:color="DAEEF3"/>
              <w:right w:val="nil"/>
            </w:tcBorders>
            <w:shd w:val="clear" w:color="000000" w:fill="D9D9D9"/>
            <w:noWrap/>
            <w:vAlign w:val="center"/>
          </w:tcPr>
          <w:p w14:paraId="4BE683A9" w14:textId="7620CA48"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17 938 399</w:t>
            </w:r>
          </w:p>
        </w:tc>
        <w:tc>
          <w:tcPr>
            <w:tcW w:w="561" w:type="pct"/>
            <w:tcBorders>
              <w:top w:val="nil"/>
              <w:left w:val="nil"/>
              <w:bottom w:val="single" w:sz="8" w:space="0" w:color="DAEEF3"/>
              <w:right w:val="nil"/>
            </w:tcBorders>
            <w:shd w:val="clear" w:color="000000" w:fill="D9D9D9"/>
            <w:noWrap/>
            <w:vAlign w:val="center"/>
          </w:tcPr>
          <w:p w14:paraId="6555CA00" w14:textId="62FD1D5F" w:rsidR="00310F6E"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31 173 830</w:t>
            </w:r>
          </w:p>
        </w:tc>
      </w:tr>
      <w:tr w:rsidR="00310F6E" w:rsidRPr="002B3035" w14:paraId="5FCBF4B9" w14:textId="77777777" w:rsidTr="00310F6E">
        <w:trPr>
          <w:cantSplit/>
          <w:trHeight w:val="315"/>
        </w:trPr>
        <w:tc>
          <w:tcPr>
            <w:tcW w:w="923" w:type="pct"/>
            <w:tcBorders>
              <w:top w:val="nil"/>
              <w:left w:val="nil"/>
              <w:bottom w:val="nil"/>
              <w:right w:val="nil"/>
            </w:tcBorders>
            <w:shd w:val="clear" w:color="auto" w:fill="auto"/>
            <w:noWrap/>
            <w:vAlign w:val="center"/>
            <w:hideMark/>
          </w:tcPr>
          <w:p w14:paraId="77FDC590" w14:textId="77777777" w:rsidR="00310F6E" w:rsidRPr="000D1A9A" w:rsidRDefault="00310F6E" w:rsidP="00AC24B5">
            <w:pPr>
              <w:spacing w:after="0" w:line="240" w:lineRule="auto"/>
              <w:rPr>
                <w:rFonts w:ascii="Calibri" w:eastAsia="Times New Roman" w:hAnsi="Calibri" w:cs="Calibri"/>
                <w:b/>
                <w:bCs/>
                <w:color w:val="000000"/>
                <w:sz w:val="16"/>
                <w:szCs w:val="16"/>
                <w:lang w:eastAsia="sk-SK"/>
              </w:rPr>
            </w:pPr>
            <w:r w:rsidRPr="000D1A9A">
              <w:rPr>
                <w:rFonts w:ascii="Calibri" w:eastAsia="Times New Roman" w:hAnsi="Calibri" w:cs="Calibri"/>
                <w:b/>
                <w:bCs/>
                <w:color w:val="000000"/>
                <w:sz w:val="16"/>
                <w:szCs w:val="16"/>
                <w:lang w:eastAsia="sk-SK"/>
              </w:rPr>
              <w:t>Príjmy a PFO</w:t>
            </w:r>
          </w:p>
        </w:tc>
        <w:tc>
          <w:tcPr>
            <w:tcW w:w="619" w:type="pct"/>
            <w:tcBorders>
              <w:top w:val="nil"/>
              <w:left w:val="nil"/>
              <w:bottom w:val="nil"/>
              <w:right w:val="nil"/>
            </w:tcBorders>
            <w:vAlign w:val="center"/>
          </w:tcPr>
          <w:p w14:paraId="17C24985" w14:textId="360072D9"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251 663 281</w:t>
            </w:r>
          </w:p>
        </w:tc>
        <w:tc>
          <w:tcPr>
            <w:tcW w:w="561" w:type="pct"/>
            <w:tcBorders>
              <w:top w:val="nil"/>
              <w:left w:val="nil"/>
              <w:bottom w:val="nil"/>
              <w:right w:val="nil"/>
            </w:tcBorders>
            <w:shd w:val="clear" w:color="auto" w:fill="auto"/>
            <w:noWrap/>
            <w:vAlign w:val="center"/>
          </w:tcPr>
          <w:p w14:paraId="5D911062" w14:textId="4A42BABC"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311 317 418</w:t>
            </w:r>
          </w:p>
        </w:tc>
        <w:tc>
          <w:tcPr>
            <w:tcW w:w="625" w:type="pct"/>
            <w:tcBorders>
              <w:top w:val="nil"/>
              <w:left w:val="nil"/>
              <w:bottom w:val="nil"/>
              <w:right w:val="nil"/>
            </w:tcBorders>
            <w:shd w:val="clear" w:color="auto" w:fill="auto"/>
            <w:noWrap/>
            <w:vAlign w:val="center"/>
          </w:tcPr>
          <w:p w14:paraId="0D6BB039" w14:textId="67962841"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300 558 006</w:t>
            </w:r>
          </w:p>
        </w:tc>
        <w:tc>
          <w:tcPr>
            <w:tcW w:w="589" w:type="pct"/>
            <w:tcBorders>
              <w:top w:val="nil"/>
              <w:left w:val="nil"/>
              <w:bottom w:val="nil"/>
              <w:right w:val="nil"/>
            </w:tcBorders>
            <w:shd w:val="clear" w:color="auto" w:fill="auto"/>
            <w:noWrap/>
            <w:vAlign w:val="center"/>
          </w:tcPr>
          <w:p w14:paraId="775427E3" w14:textId="06934153"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282 541 073</w:t>
            </w:r>
          </w:p>
        </w:tc>
        <w:tc>
          <w:tcPr>
            <w:tcW w:w="561" w:type="pct"/>
            <w:tcBorders>
              <w:top w:val="nil"/>
              <w:left w:val="nil"/>
              <w:bottom w:val="nil"/>
              <w:right w:val="nil"/>
            </w:tcBorders>
            <w:shd w:val="clear" w:color="000000" w:fill="D9D9D9"/>
            <w:noWrap/>
            <w:vAlign w:val="center"/>
          </w:tcPr>
          <w:p w14:paraId="728B1D9B" w14:textId="0945577D" w:rsidR="00310F6E" w:rsidRPr="00CD3C9C"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320 544 295</w:t>
            </w:r>
          </w:p>
        </w:tc>
        <w:tc>
          <w:tcPr>
            <w:tcW w:w="561" w:type="pct"/>
            <w:tcBorders>
              <w:top w:val="nil"/>
              <w:left w:val="nil"/>
              <w:bottom w:val="single" w:sz="8" w:space="0" w:color="DAEEF3"/>
              <w:right w:val="nil"/>
            </w:tcBorders>
            <w:shd w:val="clear" w:color="auto" w:fill="auto"/>
            <w:noWrap/>
            <w:vAlign w:val="center"/>
          </w:tcPr>
          <w:p w14:paraId="5DFBC41C" w14:textId="0D6FD989"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345 485 364</w:t>
            </w:r>
          </w:p>
        </w:tc>
        <w:tc>
          <w:tcPr>
            <w:tcW w:w="561" w:type="pct"/>
            <w:tcBorders>
              <w:top w:val="nil"/>
              <w:left w:val="nil"/>
              <w:bottom w:val="single" w:sz="8" w:space="0" w:color="DAEEF3"/>
              <w:right w:val="nil"/>
            </w:tcBorders>
            <w:shd w:val="clear" w:color="auto" w:fill="auto"/>
            <w:noWrap/>
            <w:vAlign w:val="center"/>
          </w:tcPr>
          <w:p w14:paraId="1E9F494E" w14:textId="16F91485"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360 454 035</w:t>
            </w:r>
          </w:p>
        </w:tc>
      </w:tr>
      <w:tr w:rsidR="00310F6E" w:rsidRPr="002B3035" w14:paraId="6E2DECFC" w14:textId="77777777" w:rsidTr="00310F6E">
        <w:trPr>
          <w:cantSplit/>
          <w:trHeight w:val="315"/>
        </w:trPr>
        <w:tc>
          <w:tcPr>
            <w:tcW w:w="923" w:type="pct"/>
            <w:tcBorders>
              <w:top w:val="nil"/>
              <w:left w:val="nil"/>
              <w:bottom w:val="nil"/>
              <w:right w:val="nil"/>
            </w:tcBorders>
            <w:shd w:val="clear" w:color="auto" w:fill="auto"/>
            <w:noWrap/>
            <w:vAlign w:val="center"/>
            <w:hideMark/>
          </w:tcPr>
          <w:p w14:paraId="2E7850AC" w14:textId="05B84E99" w:rsidR="00310F6E" w:rsidRPr="000D1A9A" w:rsidRDefault="00310F6E" w:rsidP="00AC24B5">
            <w:pPr>
              <w:spacing w:after="0" w:line="240" w:lineRule="auto"/>
              <w:rPr>
                <w:rFonts w:ascii="Calibri" w:eastAsia="Times New Roman" w:hAnsi="Calibri" w:cs="Calibri"/>
                <w:b/>
                <w:bCs/>
                <w:color w:val="000000"/>
                <w:sz w:val="16"/>
                <w:szCs w:val="16"/>
                <w:lang w:eastAsia="sk-SK"/>
              </w:rPr>
            </w:pPr>
            <w:r w:rsidRPr="000D1A9A">
              <w:rPr>
                <w:rFonts w:ascii="Calibri" w:eastAsia="Times New Roman" w:hAnsi="Calibri" w:cs="Calibri"/>
                <w:b/>
                <w:bCs/>
                <w:color w:val="000000"/>
                <w:sz w:val="16"/>
                <w:szCs w:val="16"/>
                <w:lang w:eastAsia="sk-SK"/>
              </w:rPr>
              <w:t>Výdavky a VFO</w:t>
            </w:r>
          </w:p>
        </w:tc>
        <w:tc>
          <w:tcPr>
            <w:tcW w:w="619" w:type="pct"/>
            <w:tcBorders>
              <w:top w:val="nil"/>
              <w:left w:val="nil"/>
              <w:bottom w:val="nil"/>
              <w:right w:val="nil"/>
            </w:tcBorders>
            <w:vAlign w:val="center"/>
          </w:tcPr>
          <w:p w14:paraId="5C5C0B6B" w14:textId="280F651C"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239 608 658</w:t>
            </w:r>
          </w:p>
        </w:tc>
        <w:tc>
          <w:tcPr>
            <w:tcW w:w="561" w:type="pct"/>
            <w:tcBorders>
              <w:top w:val="nil"/>
              <w:left w:val="nil"/>
              <w:bottom w:val="nil"/>
              <w:right w:val="nil"/>
            </w:tcBorders>
            <w:shd w:val="clear" w:color="auto" w:fill="auto"/>
            <w:noWrap/>
            <w:vAlign w:val="center"/>
          </w:tcPr>
          <w:p w14:paraId="58BBACCD" w14:textId="71A6A089"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264 936 980</w:t>
            </w:r>
          </w:p>
        </w:tc>
        <w:tc>
          <w:tcPr>
            <w:tcW w:w="625" w:type="pct"/>
            <w:tcBorders>
              <w:top w:val="nil"/>
              <w:left w:val="nil"/>
              <w:bottom w:val="nil"/>
              <w:right w:val="nil"/>
            </w:tcBorders>
            <w:shd w:val="clear" w:color="auto" w:fill="auto"/>
            <w:noWrap/>
            <w:vAlign w:val="center"/>
          </w:tcPr>
          <w:p w14:paraId="005ED42F" w14:textId="0F01FCEE"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color w:val="000000"/>
                <w:sz w:val="20"/>
                <w:szCs w:val="20"/>
              </w:rPr>
              <w:t>300 558 006</w:t>
            </w:r>
          </w:p>
        </w:tc>
        <w:tc>
          <w:tcPr>
            <w:tcW w:w="589" w:type="pct"/>
            <w:tcBorders>
              <w:top w:val="nil"/>
              <w:left w:val="nil"/>
              <w:bottom w:val="nil"/>
              <w:right w:val="nil"/>
            </w:tcBorders>
            <w:shd w:val="clear" w:color="auto" w:fill="auto"/>
            <w:noWrap/>
            <w:vAlign w:val="center"/>
          </w:tcPr>
          <w:p w14:paraId="50FECBB1" w14:textId="5A50F759"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275 190 478</w:t>
            </w:r>
          </w:p>
        </w:tc>
        <w:tc>
          <w:tcPr>
            <w:tcW w:w="561" w:type="pct"/>
            <w:tcBorders>
              <w:top w:val="nil"/>
              <w:left w:val="nil"/>
              <w:bottom w:val="nil"/>
              <w:right w:val="nil"/>
            </w:tcBorders>
            <w:shd w:val="clear" w:color="000000" w:fill="D9D9D9"/>
            <w:noWrap/>
            <w:vAlign w:val="center"/>
          </w:tcPr>
          <w:p w14:paraId="59D91D1E" w14:textId="03A5439A" w:rsidR="00310F6E" w:rsidRPr="00CD3C9C" w:rsidRDefault="00310F6E" w:rsidP="00AC24B5">
            <w:pPr>
              <w:spacing w:after="0" w:line="240" w:lineRule="auto"/>
              <w:jc w:val="right"/>
              <w:rPr>
                <w:rFonts w:ascii="Calibri" w:hAnsi="Calibri" w:cs="Calibri"/>
                <w:b/>
                <w:bCs/>
                <w:color w:val="000000"/>
                <w:sz w:val="16"/>
                <w:szCs w:val="16"/>
              </w:rPr>
            </w:pPr>
            <w:r>
              <w:rPr>
                <w:rFonts w:ascii="Calibri" w:hAnsi="Calibri" w:cs="Calibri"/>
                <w:b/>
                <w:bCs/>
                <w:color w:val="000000"/>
                <w:sz w:val="20"/>
                <w:szCs w:val="20"/>
              </w:rPr>
              <w:t>320 544 295</w:t>
            </w:r>
          </w:p>
        </w:tc>
        <w:tc>
          <w:tcPr>
            <w:tcW w:w="561" w:type="pct"/>
            <w:tcBorders>
              <w:top w:val="nil"/>
              <w:left w:val="nil"/>
              <w:bottom w:val="single" w:sz="8" w:space="0" w:color="DAEEF3"/>
              <w:right w:val="nil"/>
            </w:tcBorders>
            <w:shd w:val="clear" w:color="auto" w:fill="auto"/>
            <w:noWrap/>
            <w:vAlign w:val="center"/>
          </w:tcPr>
          <w:p w14:paraId="793EEBA0" w14:textId="515E74BD"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345 485 364</w:t>
            </w:r>
          </w:p>
        </w:tc>
        <w:tc>
          <w:tcPr>
            <w:tcW w:w="561" w:type="pct"/>
            <w:tcBorders>
              <w:top w:val="nil"/>
              <w:left w:val="nil"/>
              <w:bottom w:val="single" w:sz="8" w:space="0" w:color="DAEEF3"/>
              <w:right w:val="nil"/>
            </w:tcBorders>
            <w:shd w:val="clear" w:color="auto" w:fill="auto"/>
            <w:noWrap/>
            <w:vAlign w:val="center"/>
          </w:tcPr>
          <w:p w14:paraId="7DE25042" w14:textId="2FB16196" w:rsidR="00310F6E" w:rsidRDefault="00310F6E" w:rsidP="00AC24B5">
            <w:pPr>
              <w:spacing w:after="0" w:line="240" w:lineRule="auto"/>
              <w:jc w:val="right"/>
              <w:rPr>
                <w:rFonts w:ascii="Calibri" w:hAnsi="Calibri" w:cs="Calibri"/>
                <w:color w:val="000000"/>
                <w:sz w:val="16"/>
                <w:szCs w:val="16"/>
              </w:rPr>
            </w:pPr>
            <w:r>
              <w:rPr>
                <w:rFonts w:ascii="Calibri" w:hAnsi="Calibri" w:cs="Calibri"/>
                <w:color w:val="000000"/>
                <w:sz w:val="20"/>
                <w:szCs w:val="20"/>
              </w:rPr>
              <w:t>360 454 035</w:t>
            </w:r>
          </w:p>
        </w:tc>
      </w:tr>
      <w:tr w:rsidR="00310F6E" w:rsidRPr="002B3035" w14:paraId="606BEED9" w14:textId="77777777" w:rsidTr="00310F6E">
        <w:trPr>
          <w:trHeight w:hRule="exact" w:val="315"/>
        </w:trPr>
        <w:tc>
          <w:tcPr>
            <w:tcW w:w="923" w:type="pct"/>
            <w:tcBorders>
              <w:top w:val="nil"/>
              <w:left w:val="nil"/>
              <w:bottom w:val="single" w:sz="8" w:space="0" w:color="DCE6F1"/>
              <w:right w:val="nil"/>
            </w:tcBorders>
            <w:shd w:val="clear" w:color="000000" w:fill="366092"/>
            <w:noWrap/>
            <w:vAlign w:val="center"/>
            <w:hideMark/>
          </w:tcPr>
          <w:p w14:paraId="72E966DF" w14:textId="77777777" w:rsidR="00310F6E" w:rsidRPr="002B3035" w:rsidRDefault="00310F6E" w:rsidP="00AC24B5">
            <w:pPr>
              <w:spacing w:after="0" w:line="240" w:lineRule="auto"/>
              <w:rPr>
                <w:rFonts w:ascii="Calibri" w:eastAsia="Times New Roman" w:hAnsi="Calibri" w:cs="Calibri"/>
                <w:b/>
                <w:bCs/>
                <w:color w:val="FFFFFF"/>
                <w:sz w:val="16"/>
                <w:szCs w:val="16"/>
                <w:lang w:eastAsia="sk-SK"/>
              </w:rPr>
            </w:pPr>
            <w:r w:rsidRPr="002B3035">
              <w:rPr>
                <w:rFonts w:ascii="Calibri" w:eastAsia="Times New Roman" w:hAnsi="Calibri" w:cs="Calibri"/>
                <w:b/>
                <w:bCs/>
                <w:color w:val="FFFFFF"/>
                <w:sz w:val="16"/>
                <w:szCs w:val="16"/>
                <w:lang w:eastAsia="sk-SK"/>
              </w:rPr>
              <w:t>Bilancia rozpočtu  vrát. FO</w:t>
            </w:r>
          </w:p>
        </w:tc>
        <w:tc>
          <w:tcPr>
            <w:tcW w:w="619" w:type="pct"/>
            <w:tcBorders>
              <w:top w:val="nil"/>
              <w:left w:val="nil"/>
              <w:bottom w:val="single" w:sz="8" w:space="0" w:color="DCE6F1"/>
              <w:right w:val="nil"/>
            </w:tcBorders>
            <w:shd w:val="clear" w:color="000000" w:fill="366092"/>
            <w:vAlign w:val="center"/>
          </w:tcPr>
          <w:p w14:paraId="6B849590" w14:textId="76B19071" w:rsidR="00310F6E" w:rsidRDefault="00310F6E" w:rsidP="00AC24B5">
            <w:pPr>
              <w:spacing w:after="0" w:line="240" w:lineRule="auto"/>
              <w:jc w:val="right"/>
              <w:rPr>
                <w:rFonts w:ascii="Calibri" w:hAnsi="Calibri" w:cs="Calibri"/>
                <w:b/>
                <w:bCs/>
                <w:color w:val="FFFFFF"/>
                <w:sz w:val="16"/>
                <w:szCs w:val="16"/>
              </w:rPr>
            </w:pPr>
            <w:r>
              <w:rPr>
                <w:rFonts w:ascii="Calibri" w:hAnsi="Calibri" w:cs="Calibri"/>
                <w:b/>
                <w:bCs/>
                <w:color w:val="FFFFFF"/>
                <w:sz w:val="20"/>
                <w:szCs w:val="20"/>
              </w:rPr>
              <w:t>12 054 623</w:t>
            </w:r>
          </w:p>
        </w:tc>
        <w:tc>
          <w:tcPr>
            <w:tcW w:w="561" w:type="pct"/>
            <w:tcBorders>
              <w:top w:val="nil"/>
              <w:left w:val="nil"/>
              <w:bottom w:val="single" w:sz="8" w:space="0" w:color="DCE6F1"/>
              <w:right w:val="nil"/>
            </w:tcBorders>
            <w:shd w:val="clear" w:color="000000" w:fill="366092"/>
            <w:noWrap/>
            <w:vAlign w:val="center"/>
          </w:tcPr>
          <w:p w14:paraId="7F1C656E" w14:textId="14FF3C55" w:rsidR="00310F6E" w:rsidRPr="00DE6314" w:rsidRDefault="00310F6E" w:rsidP="00AC24B5">
            <w:pPr>
              <w:spacing w:after="0" w:line="240" w:lineRule="auto"/>
              <w:jc w:val="right"/>
              <w:rPr>
                <w:rFonts w:ascii="Calibri" w:hAnsi="Calibri" w:cs="Calibri"/>
                <w:color w:val="000000"/>
                <w:sz w:val="20"/>
                <w:szCs w:val="20"/>
              </w:rPr>
            </w:pPr>
            <w:r>
              <w:rPr>
                <w:rFonts w:ascii="Calibri" w:hAnsi="Calibri" w:cs="Calibri"/>
                <w:b/>
                <w:bCs/>
                <w:color w:val="FFFFFF"/>
                <w:sz w:val="20"/>
                <w:szCs w:val="20"/>
              </w:rPr>
              <w:t>46 380 438</w:t>
            </w:r>
          </w:p>
        </w:tc>
        <w:tc>
          <w:tcPr>
            <w:tcW w:w="625" w:type="pct"/>
            <w:tcBorders>
              <w:top w:val="nil"/>
              <w:left w:val="nil"/>
              <w:bottom w:val="single" w:sz="8" w:space="0" w:color="DCE6F1"/>
              <w:right w:val="nil"/>
            </w:tcBorders>
            <w:shd w:val="clear" w:color="000000" w:fill="366092"/>
            <w:noWrap/>
            <w:vAlign w:val="center"/>
          </w:tcPr>
          <w:p w14:paraId="731C00DD" w14:textId="6DB5122C" w:rsidR="00310F6E" w:rsidRPr="00DE6314" w:rsidRDefault="00310F6E" w:rsidP="00AC24B5">
            <w:pPr>
              <w:spacing w:after="0" w:line="240" w:lineRule="auto"/>
              <w:jc w:val="right"/>
              <w:rPr>
                <w:rFonts w:ascii="Calibri" w:hAnsi="Calibri" w:cs="Calibri"/>
                <w:b/>
                <w:bCs/>
                <w:color w:val="000000"/>
                <w:sz w:val="20"/>
                <w:szCs w:val="20"/>
              </w:rPr>
            </w:pPr>
            <w:r>
              <w:rPr>
                <w:rFonts w:ascii="Calibri" w:hAnsi="Calibri" w:cs="Calibri"/>
                <w:b/>
                <w:bCs/>
                <w:color w:val="FFFFFF"/>
                <w:sz w:val="20"/>
                <w:szCs w:val="20"/>
              </w:rPr>
              <w:t>0</w:t>
            </w:r>
          </w:p>
        </w:tc>
        <w:tc>
          <w:tcPr>
            <w:tcW w:w="589" w:type="pct"/>
            <w:tcBorders>
              <w:top w:val="nil"/>
              <w:left w:val="nil"/>
              <w:bottom w:val="single" w:sz="8" w:space="0" w:color="DCE6F1"/>
              <w:right w:val="nil"/>
            </w:tcBorders>
            <w:shd w:val="clear" w:color="000000" w:fill="366092"/>
            <w:noWrap/>
            <w:vAlign w:val="center"/>
          </w:tcPr>
          <w:p w14:paraId="145A25FC" w14:textId="568707F6" w:rsidR="00310F6E" w:rsidRDefault="00310F6E" w:rsidP="00AC24B5">
            <w:pPr>
              <w:spacing w:after="0" w:line="240" w:lineRule="auto"/>
              <w:jc w:val="right"/>
              <w:rPr>
                <w:rFonts w:ascii="Calibri" w:hAnsi="Calibri" w:cs="Calibri"/>
                <w:b/>
                <w:bCs/>
                <w:color w:val="FFFFFF"/>
                <w:sz w:val="16"/>
                <w:szCs w:val="16"/>
              </w:rPr>
            </w:pPr>
            <w:r>
              <w:rPr>
                <w:rFonts w:ascii="Calibri" w:hAnsi="Calibri" w:cs="Calibri"/>
                <w:b/>
                <w:bCs/>
                <w:color w:val="FFFFFF"/>
                <w:sz w:val="20"/>
                <w:szCs w:val="20"/>
              </w:rPr>
              <w:t>7 350 594</w:t>
            </w:r>
          </w:p>
        </w:tc>
        <w:tc>
          <w:tcPr>
            <w:tcW w:w="561" w:type="pct"/>
            <w:tcBorders>
              <w:top w:val="nil"/>
              <w:left w:val="nil"/>
              <w:bottom w:val="single" w:sz="8" w:space="0" w:color="DCE6F1"/>
              <w:right w:val="nil"/>
            </w:tcBorders>
            <w:shd w:val="clear" w:color="000000" w:fill="366092"/>
            <w:noWrap/>
            <w:vAlign w:val="center"/>
          </w:tcPr>
          <w:p w14:paraId="616FE639" w14:textId="2562C9F0" w:rsidR="00310F6E" w:rsidRPr="002B3035" w:rsidRDefault="00310F6E" w:rsidP="00AC24B5">
            <w:pPr>
              <w:spacing w:after="0" w:line="240" w:lineRule="auto"/>
              <w:jc w:val="right"/>
              <w:rPr>
                <w:rFonts w:ascii="Calibri" w:eastAsia="Times New Roman" w:hAnsi="Calibri" w:cs="Calibri"/>
                <w:b/>
                <w:bCs/>
                <w:color w:val="FFFFFF"/>
                <w:sz w:val="16"/>
                <w:szCs w:val="16"/>
                <w:lang w:eastAsia="sk-SK"/>
              </w:rPr>
            </w:pPr>
            <w:r>
              <w:rPr>
                <w:rFonts w:ascii="Calibri" w:hAnsi="Calibri" w:cs="Calibri"/>
                <w:b/>
                <w:bCs/>
                <w:color w:val="FFFFFF"/>
                <w:sz w:val="20"/>
                <w:szCs w:val="20"/>
              </w:rPr>
              <w:t>0</w:t>
            </w:r>
          </w:p>
        </w:tc>
        <w:tc>
          <w:tcPr>
            <w:tcW w:w="561" w:type="pct"/>
            <w:tcBorders>
              <w:top w:val="nil"/>
              <w:left w:val="nil"/>
              <w:bottom w:val="single" w:sz="8" w:space="0" w:color="DCE6F1"/>
              <w:right w:val="nil"/>
            </w:tcBorders>
            <w:shd w:val="clear" w:color="000000" w:fill="366092"/>
            <w:noWrap/>
            <w:vAlign w:val="center"/>
          </w:tcPr>
          <w:p w14:paraId="1CE002F5" w14:textId="37B9EEB3" w:rsidR="00310F6E" w:rsidRPr="002B3035" w:rsidRDefault="00310F6E" w:rsidP="00AC24B5">
            <w:pPr>
              <w:spacing w:after="0" w:line="240" w:lineRule="auto"/>
              <w:jc w:val="right"/>
              <w:rPr>
                <w:rFonts w:ascii="Calibri" w:eastAsia="Times New Roman" w:hAnsi="Calibri" w:cs="Calibri"/>
                <w:b/>
                <w:bCs/>
                <w:color w:val="FFFFFF"/>
                <w:sz w:val="16"/>
                <w:szCs w:val="16"/>
                <w:lang w:eastAsia="sk-SK"/>
              </w:rPr>
            </w:pPr>
            <w:r>
              <w:rPr>
                <w:rFonts w:ascii="Calibri" w:hAnsi="Calibri" w:cs="Calibri"/>
                <w:b/>
                <w:bCs/>
                <w:color w:val="FFFFFF"/>
                <w:sz w:val="20"/>
                <w:szCs w:val="20"/>
              </w:rPr>
              <w:t>0</w:t>
            </w:r>
          </w:p>
        </w:tc>
        <w:tc>
          <w:tcPr>
            <w:tcW w:w="561" w:type="pct"/>
            <w:tcBorders>
              <w:top w:val="nil"/>
              <w:left w:val="nil"/>
              <w:bottom w:val="single" w:sz="8" w:space="0" w:color="DCE6F1"/>
              <w:right w:val="nil"/>
            </w:tcBorders>
            <w:shd w:val="clear" w:color="000000" w:fill="366092"/>
            <w:noWrap/>
            <w:vAlign w:val="center"/>
          </w:tcPr>
          <w:p w14:paraId="58DE3A35" w14:textId="73072975" w:rsidR="00310F6E" w:rsidRPr="002B3035" w:rsidRDefault="00310F6E" w:rsidP="00AC24B5">
            <w:pPr>
              <w:spacing w:after="0" w:line="240" w:lineRule="auto"/>
              <w:jc w:val="right"/>
              <w:rPr>
                <w:rFonts w:ascii="Calibri" w:eastAsia="Times New Roman" w:hAnsi="Calibri" w:cs="Calibri"/>
                <w:b/>
                <w:bCs/>
                <w:color w:val="FFFFFF"/>
                <w:sz w:val="16"/>
                <w:szCs w:val="16"/>
                <w:lang w:eastAsia="sk-SK"/>
              </w:rPr>
            </w:pPr>
            <w:r>
              <w:rPr>
                <w:rFonts w:ascii="Calibri" w:hAnsi="Calibri" w:cs="Calibri"/>
                <w:b/>
                <w:bCs/>
                <w:color w:val="FFFFFF"/>
                <w:sz w:val="20"/>
                <w:szCs w:val="20"/>
              </w:rPr>
              <w:t>0</w:t>
            </w:r>
          </w:p>
        </w:tc>
      </w:tr>
    </w:tbl>
    <w:p w14:paraId="27B6F4BE" w14:textId="77777777" w:rsidR="00C8280C" w:rsidRDefault="00C8280C" w:rsidP="00C8280C">
      <w:pPr>
        <w:spacing w:after="0"/>
        <w:jc w:val="both"/>
        <w:rPr>
          <w:rFonts w:cstheme="minorHAnsi"/>
          <w:sz w:val="24"/>
          <w:szCs w:val="24"/>
        </w:rPr>
      </w:pPr>
    </w:p>
    <w:tbl>
      <w:tblPr>
        <w:tblW w:w="10389" w:type="dxa"/>
        <w:tblCellMar>
          <w:left w:w="70" w:type="dxa"/>
          <w:right w:w="70" w:type="dxa"/>
        </w:tblCellMar>
        <w:tblLook w:val="04A0" w:firstRow="1" w:lastRow="0" w:firstColumn="1" w:lastColumn="0" w:noHBand="0" w:noVBand="1"/>
      </w:tblPr>
      <w:tblGrid>
        <w:gridCol w:w="2406"/>
        <w:gridCol w:w="2684"/>
        <w:gridCol w:w="2291"/>
        <w:gridCol w:w="1686"/>
        <w:gridCol w:w="1322"/>
      </w:tblGrid>
      <w:tr w:rsidR="00A60DCB" w:rsidRPr="00A60DCB" w14:paraId="231B05EF" w14:textId="77777777" w:rsidTr="00AC24B5">
        <w:trPr>
          <w:trHeight w:val="522"/>
        </w:trPr>
        <w:tc>
          <w:tcPr>
            <w:tcW w:w="2406" w:type="dxa"/>
            <w:tcBorders>
              <w:top w:val="nil"/>
              <w:left w:val="nil"/>
              <w:bottom w:val="single" w:sz="8" w:space="0" w:color="DCE6F1"/>
              <w:right w:val="nil"/>
            </w:tcBorders>
            <w:shd w:val="clear" w:color="000000" w:fill="366092"/>
            <w:noWrap/>
            <w:vAlign w:val="center"/>
            <w:hideMark/>
          </w:tcPr>
          <w:p w14:paraId="27E0AD98" w14:textId="77777777" w:rsidR="00A60DCB" w:rsidRPr="00A60DCB" w:rsidRDefault="00A60DCB" w:rsidP="00A60DCB">
            <w:pPr>
              <w:spacing w:after="0" w:line="240" w:lineRule="auto"/>
              <w:rPr>
                <w:rFonts w:ascii="Calibri" w:eastAsia="Times New Roman" w:hAnsi="Calibri" w:cs="Calibri"/>
                <w:b/>
                <w:bCs/>
                <w:color w:val="FFFFFF"/>
                <w:sz w:val="20"/>
                <w:szCs w:val="20"/>
                <w:lang w:eastAsia="sk-SK"/>
              </w:rPr>
            </w:pPr>
            <w:r w:rsidRPr="00A60DCB">
              <w:rPr>
                <w:rFonts w:ascii="Calibri" w:eastAsia="Times New Roman" w:hAnsi="Calibri" w:cs="Calibri"/>
                <w:b/>
                <w:bCs/>
                <w:color w:val="FFFFFF"/>
                <w:sz w:val="20"/>
                <w:szCs w:val="20"/>
                <w:lang w:eastAsia="sk-SK"/>
              </w:rPr>
              <w:t>Ukazovateľ</w:t>
            </w:r>
          </w:p>
        </w:tc>
        <w:tc>
          <w:tcPr>
            <w:tcW w:w="2684" w:type="dxa"/>
            <w:tcBorders>
              <w:top w:val="nil"/>
              <w:left w:val="nil"/>
              <w:bottom w:val="single" w:sz="8" w:space="0" w:color="DCE6F1"/>
              <w:right w:val="nil"/>
            </w:tcBorders>
            <w:shd w:val="clear" w:color="000000" w:fill="366092"/>
            <w:noWrap/>
            <w:vAlign w:val="center"/>
            <w:hideMark/>
          </w:tcPr>
          <w:p w14:paraId="7170569D" w14:textId="6D3B3DED" w:rsidR="00A60DCB" w:rsidRPr="00A60DCB" w:rsidRDefault="00A60DCB" w:rsidP="00A60DCB">
            <w:pPr>
              <w:spacing w:after="0" w:line="240" w:lineRule="auto"/>
              <w:jc w:val="right"/>
              <w:rPr>
                <w:rFonts w:ascii="Calibri" w:eastAsia="Times New Roman" w:hAnsi="Calibri" w:cs="Calibri"/>
                <w:b/>
                <w:bCs/>
                <w:color w:val="FFFFFF"/>
                <w:sz w:val="20"/>
                <w:szCs w:val="20"/>
                <w:lang w:eastAsia="sk-SK"/>
              </w:rPr>
            </w:pPr>
            <w:r w:rsidRPr="00A60DCB">
              <w:rPr>
                <w:rFonts w:ascii="Calibri" w:eastAsia="Times New Roman" w:hAnsi="Calibri" w:cs="Calibri"/>
                <w:b/>
                <w:bCs/>
                <w:color w:val="FFFFFF"/>
                <w:sz w:val="20"/>
                <w:szCs w:val="20"/>
                <w:lang w:eastAsia="sk-SK"/>
              </w:rPr>
              <w:t>202</w:t>
            </w:r>
            <w:r w:rsidR="00E9543C">
              <w:rPr>
                <w:rFonts w:ascii="Calibri" w:eastAsia="Times New Roman" w:hAnsi="Calibri" w:cs="Calibri"/>
                <w:b/>
                <w:bCs/>
                <w:color w:val="FFFFFF"/>
                <w:sz w:val="20"/>
                <w:szCs w:val="20"/>
                <w:lang w:eastAsia="sk-SK"/>
              </w:rPr>
              <w:t>4</w:t>
            </w:r>
            <w:r w:rsidRPr="00A60DCB">
              <w:rPr>
                <w:rFonts w:ascii="Calibri" w:eastAsia="Times New Roman" w:hAnsi="Calibri" w:cs="Calibri"/>
                <w:b/>
                <w:bCs/>
                <w:color w:val="FFFFFF"/>
                <w:sz w:val="20"/>
                <w:szCs w:val="20"/>
                <w:lang w:eastAsia="sk-SK"/>
              </w:rPr>
              <w:t xml:space="preserve"> SR</w:t>
            </w:r>
          </w:p>
        </w:tc>
        <w:tc>
          <w:tcPr>
            <w:tcW w:w="2291" w:type="dxa"/>
            <w:tcBorders>
              <w:top w:val="nil"/>
              <w:left w:val="nil"/>
              <w:bottom w:val="single" w:sz="8" w:space="0" w:color="DCE6F1"/>
              <w:right w:val="nil"/>
            </w:tcBorders>
            <w:shd w:val="clear" w:color="000000" w:fill="366092"/>
            <w:noWrap/>
            <w:vAlign w:val="center"/>
            <w:hideMark/>
          </w:tcPr>
          <w:p w14:paraId="7DB7C04A" w14:textId="2ED9D761" w:rsidR="00A60DCB" w:rsidRPr="00A60DCB" w:rsidRDefault="00A60DCB" w:rsidP="00A60DCB">
            <w:pPr>
              <w:spacing w:after="0" w:line="240" w:lineRule="auto"/>
              <w:jc w:val="right"/>
              <w:rPr>
                <w:rFonts w:ascii="Calibri" w:eastAsia="Times New Roman" w:hAnsi="Calibri" w:cs="Calibri"/>
                <w:b/>
                <w:bCs/>
                <w:color w:val="FFFFFF"/>
                <w:sz w:val="20"/>
                <w:szCs w:val="20"/>
                <w:lang w:eastAsia="sk-SK"/>
              </w:rPr>
            </w:pPr>
            <w:r w:rsidRPr="00A60DCB">
              <w:rPr>
                <w:rFonts w:ascii="Calibri" w:eastAsia="Times New Roman" w:hAnsi="Calibri" w:cs="Calibri"/>
                <w:b/>
                <w:bCs/>
                <w:color w:val="FFFFFF"/>
                <w:sz w:val="20"/>
                <w:szCs w:val="20"/>
                <w:lang w:eastAsia="sk-SK"/>
              </w:rPr>
              <w:t>202</w:t>
            </w:r>
            <w:r w:rsidR="00E9543C">
              <w:rPr>
                <w:rFonts w:ascii="Calibri" w:eastAsia="Times New Roman" w:hAnsi="Calibri" w:cs="Calibri"/>
                <w:b/>
                <w:bCs/>
                <w:color w:val="FFFFFF"/>
                <w:sz w:val="20"/>
                <w:szCs w:val="20"/>
                <w:lang w:eastAsia="sk-SK"/>
              </w:rPr>
              <w:t>5</w:t>
            </w:r>
            <w:r w:rsidRPr="00A60DCB">
              <w:rPr>
                <w:rFonts w:ascii="Calibri" w:eastAsia="Times New Roman" w:hAnsi="Calibri" w:cs="Calibri"/>
                <w:b/>
                <w:bCs/>
                <w:color w:val="FFFFFF"/>
                <w:sz w:val="20"/>
                <w:szCs w:val="20"/>
                <w:lang w:eastAsia="sk-SK"/>
              </w:rPr>
              <w:t xml:space="preserve"> N</w:t>
            </w:r>
          </w:p>
        </w:tc>
        <w:tc>
          <w:tcPr>
            <w:tcW w:w="3008" w:type="dxa"/>
            <w:gridSpan w:val="2"/>
            <w:tcBorders>
              <w:top w:val="nil"/>
              <w:left w:val="nil"/>
              <w:bottom w:val="single" w:sz="8" w:space="0" w:color="DCE6F1"/>
              <w:right w:val="nil"/>
            </w:tcBorders>
            <w:shd w:val="clear" w:color="000000" w:fill="366092"/>
            <w:noWrap/>
            <w:vAlign w:val="center"/>
            <w:hideMark/>
          </w:tcPr>
          <w:p w14:paraId="0B6ED83B" w14:textId="5CB39D9A" w:rsidR="00A60DCB" w:rsidRDefault="006876D7" w:rsidP="00A60DCB">
            <w:pPr>
              <w:spacing w:after="0" w:line="240" w:lineRule="auto"/>
              <w:jc w:val="center"/>
              <w:rPr>
                <w:rFonts w:ascii="Calibri" w:eastAsia="Times New Roman" w:hAnsi="Calibri" w:cs="Calibri"/>
                <w:b/>
                <w:bCs/>
                <w:color w:val="FFFFFF"/>
                <w:sz w:val="20"/>
                <w:szCs w:val="20"/>
                <w:lang w:eastAsia="sk-SK"/>
              </w:rPr>
            </w:pPr>
            <w:r>
              <w:rPr>
                <w:rFonts w:ascii="Calibri" w:eastAsia="Times New Roman" w:hAnsi="Calibri" w:cs="Calibri"/>
                <w:b/>
                <w:bCs/>
                <w:color w:val="FFFFFF"/>
                <w:sz w:val="20"/>
                <w:szCs w:val="20"/>
                <w:lang w:eastAsia="sk-SK"/>
              </w:rPr>
              <w:t xml:space="preserve"> </w:t>
            </w:r>
            <w:r w:rsidR="00A60DCB" w:rsidRPr="00A60DCB">
              <w:rPr>
                <w:rFonts w:ascii="Calibri" w:eastAsia="Times New Roman" w:hAnsi="Calibri" w:cs="Calibri"/>
                <w:b/>
                <w:bCs/>
                <w:color w:val="FFFFFF"/>
                <w:sz w:val="20"/>
                <w:szCs w:val="20"/>
                <w:lang w:eastAsia="sk-SK"/>
              </w:rPr>
              <w:t>Rozdiel 202</w:t>
            </w:r>
            <w:r w:rsidR="00E9543C">
              <w:rPr>
                <w:rFonts w:ascii="Calibri" w:eastAsia="Times New Roman" w:hAnsi="Calibri" w:cs="Calibri"/>
                <w:b/>
                <w:bCs/>
                <w:color w:val="FFFFFF"/>
                <w:sz w:val="20"/>
                <w:szCs w:val="20"/>
                <w:lang w:eastAsia="sk-SK"/>
              </w:rPr>
              <w:t>5</w:t>
            </w:r>
            <w:r w:rsidR="00A60DCB" w:rsidRPr="00A60DCB">
              <w:rPr>
                <w:rFonts w:ascii="Calibri" w:eastAsia="Times New Roman" w:hAnsi="Calibri" w:cs="Calibri"/>
                <w:b/>
                <w:bCs/>
                <w:color w:val="FFFFFF"/>
                <w:sz w:val="20"/>
                <w:szCs w:val="20"/>
                <w:lang w:eastAsia="sk-SK"/>
              </w:rPr>
              <w:t>-202</w:t>
            </w:r>
            <w:r w:rsidR="00E9543C">
              <w:rPr>
                <w:rFonts w:ascii="Calibri" w:eastAsia="Times New Roman" w:hAnsi="Calibri" w:cs="Calibri"/>
                <w:b/>
                <w:bCs/>
                <w:color w:val="FFFFFF"/>
                <w:sz w:val="20"/>
                <w:szCs w:val="20"/>
                <w:lang w:eastAsia="sk-SK"/>
              </w:rPr>
              <w:t>4</w:t>
            </w:r>
          </w:p>
          <w:p w14:paraId="0D58CF72" w14:textId="16815EA7" w:rsidR="00981B66" w:rsidRPr="00A60DCB" w:rsidRDefault="0056194F" w:rsidP="0056194F">
            <w:pPr>
              <w:spacing w:after="0" w:line="240" w:lineRule="auto"/>
              <w:jc w:val="center"/>
              <w:rPr>
                <w:rFonts w:ascii="Calibri" w:eastAsia="Times New Roman" w:hAnsi="Calibri" w:cs="Calibri"/>
                <w:b/>
                <w:bCs/>
                <w:color w:val="FFFFFF"/>
                <w:sz w:val="20"/>
                <w:szCs w:val="20"/>
                <w:lang w:eastAsia="sk-SK"/>
              </w:rPr>
            </w:pPr>
            <w:r>
              <w:rPr>
                <w:rFonts w:ascii="Calibri" w:eastAsia="Times New Roman" w:hAnsi="Calibri" w:cs="Calibri"/>
                <w:b/>
                <w:bCs/>
                <w:color w:val="FFFFFF"/>
                <w:sz w:val="20"/>
                <w:szCs w:val="20"/>
                <w:lang w:eastAsia="sk-SK"/>
              </w:rPr>
              <w:t xml:space="preserve">            v</w:t>
            </w:r>
            <w:r w:rsidR="006876D7">
              <w:rPr>
                <w:rFonts w:ascii="Calibri" w:eastAsia="Times New Roman" w:hAnsi="Calibri" w:cs="Calibri"/>
                <w:b/>
                <w:bCs/>
                <w:color w:val="FFFFFF"/>
                <w:sz w:val="20"/>
                <w:szCs w:val="20"/>
                <w:lang w:eastAsia="sk-SK"/>
              </w:rPr>
              <w:t xml:space="preserve"> EUR        </w:t>
            </w:r>
            <w:r>
              <w:rPr>
                <w:rFonts w:ascii="Calibri" w:eastAsia="Times New Roman" w:hAnsi="Calibri" w:cs="Calibri"/>
                <w:b/>
                <w:bCs/>
                <w:color w:val="FFFFFF"/>
                <w:sz w:val="20"/>
                <w:szCs w:val="20"/>
                <w:lang w:eastAsia="sk-SK"/>
              </w:rPr>
              <w:t xml:space="preserve">                </w:t>
            </w:r>
            <w:r w:rsidR="006876D7">
              <w:rPr>
                <w:rFonts w:ascii="Calibri" w:eastAsia="Times New Roman" w:hAnsi="Calibri" w:cs="Calibri"/>
                <w:b/>
                <w:bCs/>
                <w:color w:val="FFFFFF"/>
                <w:sz w:val="20"/>
                <w:szCs w:val="20"/>
                <w:lang w:eastAsia="sk-SK"/>
              </w:rPr>
              <w:t>v</w:t>
            </w:r>
            <w:r w:rsidR="00981B66">
              <w:rPr>
                <w:rFonts w:ascii="Calibri" w:eastAsia="Times New Roman" w:hAnsi="Calibri" w:cs="Calibri"/>
                <w:b/>
                <w:bCs/>
                <w:color w:val="FFFFFF"/>
                <w:sz w:val="20"/>
                <w:szCs w:val="20"/>
                <w:lang w:eastAsia="sk-SK"/>
              </w:rPr>
              <w:t> </w:t>
            </w:r>
            <w:r>
              <w:rPr>
                <w:rFonts w:ascii="Calibri" w:eastAsia="Times New Roman" w:hAnsi="Calibri" w:cs="Calibri"/>
                <w:b/>
                <w:bCs/>
                <w:color w:val="FFFFFF"/>
                <w:sz w:val="20"/>
                <w:szCs w:val="20"/>
                <w:lang w:eastAsia="sk-SK"/>
              </w:rPr>
              <w:t>%</w:t>
            </w:r>
          </w:p>
        </w:tc>
      </w:tr>
      <w:tr w:rsidR="003C79D3" w:rsidRPr="00A60DCB" w14:paraId="5CFC4A23" w14:textId="77777777" w:rsidTr="00FB1490">
        <w:trPr>
          <w:trHeight w:val="296"/>
        </w:trPr>
        <w:tc>
          <w:tcPr>
            <w:tcW w:w="2406" w:type="dxa"/>
            <w:tcBorders>
              <w:top w:val="nil"/>
              <w:left w:val="nil"/>
              <w:bottom w:val="single" w:sz="8" w:space="0" w:color="DAEEF3"/>
              <w:right w:val="nil"/>
            </w:tcBorders>
            <w:shd w:val="clear" w:color="auto" w:fill="auto"/>
            <w:noWrap/>
            <w:vAlign w:val="center"/>
            <w:hideMark/>
          </w:tcPr>
          <w:p w14:paraId="5EBF5A2B" w14:textId="77777777" w:rsidR="003C79D3" w:rsidRPr="00A60DCB" w:rsidRDefault="003C79D3" w:rsidP="003C79D3">
            <w:pPr>
              <w:spacing w:after="0" w:line="240" w:lineRule="auto"/>
              <w:rPr>
                <w:rFonts w:ascii="Calibri" w:eastAsia="Times New Roman" w:hAnsi="Calibri" w:cs="Calibri"/>
                <w:color w:val="000000"/>
                <w:sz w:val="20"/>
                <w:szCs w:val="20"/>
                <w:lang w:eastAsia="sk-SK"/>
              </w:rPr>
            </w:pPr>
            <w:r w:rsidRPr="00A60DCB">
              <w:rPr>
                <w:rFonts w:ascii="Calibri" w:eastAsia="Times New Roman" w:hAnsi="Calibri" w:cs="Calibri"/>
                <w:color w:val="000000"/>
                <w:sz w:val="20"/>
                <w:szCs w:val="20"/>
                <w:lang w:eastAsia="sk-SK"/>
              </w:rPr>
              <w:t>Bežné príjmy</w:t>
            </w:r>
          </w:p>
        </w:tc>
        <w:tc>
          <w:tcPr>
            <w:tcW w:w="2684" w:type="dxa"/>
            <w:tcBorders>
              <w:top w:val="nil"/>
              <w:left w:val="nil"/>
              <w:bottom w:val="single" w:sz="8" w:space="0" w:color="DAEEF3"/>
              <w:right w:val="nil"/>
            </w:tcBorders>
            <w:shd w:val="clear" w:color="auto" w:fill="auto"/>
            <w:noWrap/>
            <w:vAlign w:val="center"/>
            <w:hideMark/>
          </w:tcPr>
          <w:p w14:paraId="6DF3143C" w14:textId="61229265"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232 903 576</w:t>
            </w:r>
          </w:p>
        </w:tc>
        <w:tc>
          <w:tcPr>
            <w:tcW w:w="2291" w:type="dxa"/>
            <w:tcBorders>
              <w:top w:val="nil"/>
              <w:left w:val="nil"/>
              <w:bottom w:val="single" w:sz="8" w:space="0" w:color="DAEEF3"/>
              <w:right w:val="nil"/>
            </w:tcBorders>
            <w:shd w:val="clear" w:color="000000" w:fill="D9D9D9"/>
            <w:noWrap/>
            <w:vAlign w:val="center"/>
          </w:tcPr>
          <w:p w14:paraId="215C423A" w14:textId="2E60BADB"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251 439 824</w:t>
            </w:r>
          </w:p>
        </w:tc>
        <w:tc>
          <w:tcPr>
            <w:tcW w:w="1686" w:type="dxa"/>
            <w:tcBorders>
              <w:top w:val="nil"/>
              <w:left w:val="nil"/>
              <w:bottom w:val="single" w:sz="8" w:space="0" w:color="DAEEF3"/>
              <w:right w:val="nil"/>
            </w:tcBorders>
            <w:shd w:val="clear" w:color="000000" w:fill="EBF1DE"/>
            <w:noWrap/>
            <w:vAlign w:val="center"/>
          </w:tcPr>
          <w:p w14:paraId="6B656B6E" w14:textId="5AA42BDF"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18 536 248</w:t>
            </w:r>
          </w:p>
        </w:tc>
        <w:tc>
          <w:tcPr>
            <w:tcW w:w="1322" w:type="dxa"/>
            <w:tcBorders>
              <w:top w:val="nil"/>
              <w:left w:val="nil"/>
              <w:bottom w:val="single" w:sz="8" w:space="0" w:color="DAEEF3"/>
              <w:right w:val="nil"/>
            </w:tcBorders>
            <w:shd w:val="clear" w:color="000000" w:fill="EBF1DE"/>
            <w:noWrap/>
            <w:vAlign w:val="center"/>
          </w:tcPr>
          <w:p w14:paraId="2CD75C4A" w14:textId="511161D1"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7,96%</w:t>
            </w:r>
          </w:p>
        </w:tc>
      </w:tr>
      <w:tr w:rsidR="003C79D3" w:rsidRPr="00A60DCB" w14:paraId="27D14029" w14:textId="77777777" w:rsidTr="00FB1490">
        <w:trPr>
          <w:trHeight w:val="296"/>
        </w:trPr>
        <w:tc>
          <w:tcPr>
            <w:tcW w:w="2406" w:type="dxa"/>
            <w:tcBorders>
              <w:top w:val="nil"/>
              <w:left w:val="nil"/>
              <w:bottom w:val="single" w:sz="8" w:space="0" w:color="DAEEF3"/>
              <w:right w:val="nil"/>
            </w:tcBorders>
            <w:shd w:val="clear" w:color="auto" w:fill="auto"/>
            <w:noWrap/>
            <w:vAlign w:val="center"/>
            <w:hideMark/>
          </w:tcPr>
          <w:p w14:paraId="55B516F3" w14:textId="77777777" w:rsidR="003C79D3" w:rsidRPr="00A60DCB" w:rsidRDefault="003C79D3" w:rsidP="003C79D3">
            <w:pPr>
              <w:spacing w:after="0" w:line="240" w:lineRule="auto"/>
              <w:rPr>
                <w:rFonts w:ascii="Calibri" w:eastAsia="Times New Roman" w:hAnsi="Calibri" w:cs="Calibri"/>
                <w:color w:val="000000"/>
                <w:sz w:val="20"/>
                <w:szCs w:val="20"/>
                <w:lang w:eastAsia="sk-SK"/>
              </w:rPr>
            </w:pPr>
            <w:r w:rsidRPr="00A60DCB">
              <w:rPr>
                <w:rFonts w:ascii="Calibri" w:eastAsia="Times New Roman" w:hAnsi="Calibri" w:cs="Calibri"/>
                <w:color w:val="000000"/>
                <w:sz w:val="20"/>
                <w:szCs w:val="20"/>
                <w:lang w:eastAsia="sk-SK"/>
              </w:rPr>
              <w:t>Bežné výdavky</w:t>
            </w:r>
          </w:p>
        </w:tc>
        <w:tc>
          <w:tcPr>
            <w:tcW w:w="2684" w:type="dxa"/>
            <w:tcBorders>
              <w:top w:val="nil"/>
              <w:left w:val="nil"/>
              <w:bottom w:val="single" w:sz="8" w:space="0" w:color="DAEEF3"/>
              <w:right w:val="nil"/>
            </w:tcBorders>
            <w:shd w:val="clear" w:color="auto" w:fill="auto"/>
            <w:noWrap/>
            <w:vAlign w:val="center"/>
          </w:tcPr>
          <w:p w14:paraId="1F3E5A3F" w14:textId="55546D8D"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222 022 429</w:t>
            </w:r>
          </w:p>
        </w:tc>
        <w:tc>
          <w:tcPr>
            <w:tcW w:w="2291" w:type="dxa"/>
            <w:tcBorders>
              <w:top w:val="nil"/>
              <w:left w:val="nil"/>
              <w:bottom w:val="single" w:sz="8" w:space="0" w:color="DAEEF3"/>
              <w:right w:val="nil"/>
            </w:tcBorders>
            <w:shd w:val="clear" w:color="000000" w:fill="D9D9D9"/>
            <w:noWrap/>
            <w:vAlign w:val="center"/>
          </w:tcPr>
          <w:p w14:paraId="3618E0EE" w14:textId="653E3D54"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240 483 346</w:t>
            </w:r>
          </w:p>
        </w:tc>
        <w:tc>
          <w:tcPr>
            <w:tcW w:w="1686" w:type="dxa"/>
            <w:tcBorders>
              <w:top w:val="nil"/>
              <w:left w:val="nil"/>
              <w:bottom w:val="single" w:sz="8" w:space="0" w:color="DAEEF3"/>
              <w:right w:val="nil"/>
            </w:tcBorders>
            <w:shd w:val="clear" w:color="000000" w:fill="EBF1DE"/>
            <w:noWrap/>
            <w:vAlign w:val="center"/>
          </w:tcPr>
          <w:p w14:paraId="7379CD38" w14:textId="2E7D229E"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18 460 917</w:t>
            </w:r>
          </w:p>
        </w:tc>
        <w:tc>
          <w:tcPr>
            <w:tcW w:w="1322" w:type="dxa"/>
            <w:tcBorders>
              <w:top w:val="nil"/>
              <w:left w:val="nil"/>
              <w:bottom w:val="single" w:sz="8" w:space="0" w:color="DAEEF3"/>
              <w:right w:val="nil"/>
            </w:tcBorders>
            <w:shd w:val="clear" w:color="000000" w:fill="EBF1DE"/>
            <w:noWrap/>
            <w:vAlign w:val="center"/>
          </w:tcPr>
          <w:p w14:paraId="22C2D77B" w14:textId="24348D88"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8,31%</w:t>
            </w:r>
          </w:p>
        </w:tc>
      </w:tr>
      <w:tr w:rsidR="003C79D3" w:rsidRPr="00A60DCB" w14:paraId="3E813760" w14:textId="77777777" w:rsidTr="00FB1490">
        <w:trPr>
          <w:trHeight w:val="296"/>
        </w:trPr>
        <w:tc>
          <w:tcPr>
            <w:tcW w:w="2406" w:type="dxa"/>
            <w:tcBorders>
              <w:top w:val="nil"/>
              <w:left w:val="nil"/>
              <w:bottom w:val="single" w:sz="8" w:space="0" w:color="DAEEF3"/>
              <w:right w:val="nil"/>
            </w:tcBorders>
            <w:shd w:val="clear" w:color="000000" w:fill="D9D9D9"/>
            <w:noWrap/>
            <w:vAlign w:val="center"/>
            <w:hideMark/>
          </w:tcPr>
          <w:p w14:paraId="21971A65" w14:textId="77777777" w:rsidR="003C79D3" w:rsidRPr="00A60DCB" w:rsidRDefault="003C79D3" w:rsidP="003C79D3">
            <w:pPr>
              <w:spacing w:after="0" w:line="240" w:lineRule="auto"/>
              <w:rPr>
                <w:rFonts w:ascii="Calibri" w:eastAsia="Times New Roman" w:hAnsi="Calibri" w:cs="Calibri"/>
                <w:b/>
                <w:bCs/>
                <w:color w:val="000000"/>
                <w:sz w:val="20"/>
                <w:szCs w:val="20"/>
                <w:lang w:eastAsia="sk-SK"/>
              </w:rPr>
            </w:pPr>
            <w:r w:rsidRPr="00A60DCB">
              <w:rPr>
                <w:rFonts w:ascii="Calibri" w:eastAsia="Times New Roman" w:hAnsi="Calibri" w:cs="Calibri"/>
                <w:b/>
                <w:bCs/>
                <w:color w:val="000000"/>
                <w:sz w:val="20"/>
                <w:szCs w:val="20"/>
                <w:lang w:eastAsia="sk-SK"/>
              </w:rPr>
              <w:t>Bilancia BR</w:t>
            </w:r>
          </w:p>
        </w:tc>
        <w:tc>
          <w:tcPr>
            <w:tcW w:w="2684" w:type="dxa"/>
            <w:tcBorders>
              <w:top w:val="nil"/>
              <w:left w:val="nil"/>
              <w:bottom w:val="single" w:sz="8" w:space="0" w:color="DAEEF3"/>
              <w:right w:val="nil"/>
            </w:tcBorders>
            <w:shd w:val="clear" w:color="000000" w:fill="D9D9D9"/>
            <w:noWrap/>
            <w:vAlign w:val="center"/>
          </w:tcPr>
          <w:p w14:paraId="3CDC62B1" w14:textId="2715EAE0"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10 881 147</w:t>
            </w:r>
          </w:p>
        </w:tc>
        <w:tc>
          <w:tcPr>
            <w:tcW w:w="2291" w:type="dxa"/>
            <w:tcBorders>
              <w:top w:val="nil"/>
              <w:left w:val="nil"/>
              <w:bottom w:val="single" w:sz="8" w:space="0" w:color="DAEEF3"/>
              <w:right w:val="nil"/>
            </w:tcBorders>
            <w:shd w:val="clear" w:color="000000" w:fill="D9D9D9"/>
            <w:noWrap/>
            <w:vAlign w:val="center"/>
          </w:tcPr>
          <w:p w14:paraId="6DC2FD82" w14:textId="4EE2221B"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10 956 478</w:t>
            </w:r>
          </w:p>
        </w:tc>
        <w:tc>
          <w:tcPr>
            <w:tcW w:w="1686" w:type="dxa"/>
            <w:tcBorders>
              <w:top w:val="nil"/>
              <w:left w:val="nil"/>
              <w:bottom w:val="single" w:sz="8" w:space="0" w:color="DAEEF3"/>
              <w:right w:val="nil"/>
            </w:tcBorders>
            <w:shd w:val="clear" w:color="000000" w:fill="EBF1DE"/>
            <w:noWrap/>
            <w:vAlign w:val="center"/>
          </w:tcPr>
          <w:p w14:paraId="6C8462EE" w14:textId="322CFDA4"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 </w:t>
            </w:r>
          </w:p>
        </w:tc>
        <w:tc>
          <w:tcPr>
            <w:tcW w:w="1322" w:type="dxa"/>
            <w:tcBorders>
              <w:top w:val="nil"/>
              <w:left w:val="nil"/>
              <w:bottom w:val="single" w:sz="8" w:space="0" w:color="DAEEF3"/>
              <w:right w:val="nil"/>
            </w:tcBorders>
            <w:shd w:val="clear" w:color="000000" w:fill="EBF1DE"/>
            <w:noWrap/>
            <w:vAlign w:val="center"/>
          </w:tcPr>
          <w:p w14:paraId="2DD4244C" w14:textId="215578F8" w:rsidR="003C79D3" w:rsidRPr="00A60DCB" w:rsidRDefault="003C79D3" w:rsidP="003C79D3">
            <w:pPr>
              <w:spacing w:after="0" w:line="240" w:lineRule="auto"/>
              <w:jc w:val="right"/>
              <w:rPr>
                <w:rFonts w:ascii="Calibri" w:eastAsia="Times New Roman" w:hAnsi="Calibri" w:cs="Calibri"/>
                <w:color w:val="000000"/>
                <w:sz w:val="20"/>
                <w:szCs w:val="20"/>
                <w:lang w:eastAsia="sk-SK"/>
              </w:rPr>
            </w:pPr>
          </w:p>
        </w:tc>
      </w:tr>
      <w:tr w:rsidR="003C79D3" w:rsidRPr="00A60DCB" w14:paraId="6EBDF0D1" w14:textId="77777777" w:rsidTr="00FB1490">
        <w:trPr>
          <w:trHeight w:val="296"/>
        </w:trPr>
        <w:tc>
          <w:tcPr>
            <w:tcW w:w="2406" w:type="dxa"/>
            <w:tcBorders>
              <w:top w:val="nil"/>
              <w:left w:val="nil"/>
              <w:bottom w:val="single" w:sz="8" w:space="0" w:color="DAEEF3"/>
              <w:right w:val="nil"/>
            </w:tcBorders>
            <w:shd w:val="clear" w:color="auto" w:fill="auto"/>
            <w:noWrap/>
            <w:vAlign w:val="center"/>
            <w:hideMark/>
          </w:tcPr>
          <w:p w14:paraId="7E362773" w14:textId="77777777" w:rsidR="003C79D3" w:rsidRPr="00A60DCB" w:rsidRDefault="003C79D3" w:rsidP="003C79D3">
            <w:pPr>
              <w:spacing w:after="0" w:line="240" w:lineRule="auto"/>
              <w:rPr>
                <w:rFonts w:ascii="Calibri" w:eastAsia="Times New Roman" w:hAnsi="Calibri" w:cs="Calibri"/>
                <w:color w:val="000000"/>
                <w:sz w:val="20"/>
                <w:szCs w:val="20"/>
                <w:lang w:eastAsia="sk-SK"/>
              </w:rPr>
            </w:pPr>
            <w:r w:rsidRPr="00A60DCB">
              <w:rPr>
                <w:rFonts w:ascii="Calibri" w:eastAsia="Times New Roman" w:hAnsi="Calibri" w:cs="Calibri"/>
                <w:color w:val="000000"/>
                <w:sz w:val="20"/>
                <w:szCs w:val="20"/>
                <w:lang w:eastAsia="sk-SK"/>
              </w:rPr>
              <w:t>Kapitálové príjmy</w:t>
            </w:r>
          </w:p>
        </w:tc>
        <w:tc>
          <w:tcPr>
            <w:tcW w:w="2684" w:type="dxa"/>
            <w:tcBorders>
              <w:top w:val="nil"/>
              <w:left w:val="nil"/>
              <w:bottom w:val="single" w:sz="8" w:space="0" w:color="DAEEF3"/>
              <w:right w:val="nil"/>
            </w:tcBorders>
            <w:shd w:val="clear" w:color="auto" w:fill="auto"/>
            <w:noWrap/>
            <w:vAlign w:val="center"/>
            <w:hideMark/>
          </w:tcPr>
          <w:p w14:paraId="7E947536" w14:textId="517A57C8"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10 724 094</w:t>
            </w:r>
          </w:p>
        </w:tc>
        <w:tc>
          <w:tcPr>
            <w:tcW w:w="2291" w:type="dxa"/>
            <w:tcBorders>
              <w:top w:val="nil"/>
              <w:left w:val="nil"/>
              <w:bottom w:val="single" w:sz="8" w:space="0" w:color="DAEEF3"/>
              <w:right w:val="nil"/>
            </w:tcBorders>
            <w:shd w:val="clear" w:color="000000" w:fill="D9D9D9"/>
            <w:noWrap/>
            <w:vAlign w:val="center"/>
          </w:tcPr>
          <w:p w14:paraId="2061A45C" w14:textId="157EB181"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21 326 797</w:t>
            </w:r>
          </w:p>
        </w:tc>
        <w:tc>
          <w:tcPr>
            <w:tcW w:w="1686" w:type="dxa"/>
            <w:tcBorders>
              <w:top w:val="nil"/>
              <w:left w:val="nil"/>
              <w:bottom w:val="single" w:sz="8" w:space="0" w:color="DAEEF3"/>
              <w:right w:val="nil"/>
            </w:tcBorders>
            <w:shd w:val="clear" w:color="000000" w:fill="EBF1DE"/>
            <w:noWrap/>
            <w:vAlign w:val="center"/>
          </w:tcPr>
          <w:p w14:paraId="5CEB2E1E" w14:textId="305D4D68"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10 602 703</w:t>
            </w:r>
          </w:p>
        </w:tc>
        <w:tc>
          <w:tcPr>
            <w:tcW w:w="1322" w:type="dxa"/>
            <w:tcBorders>
              <w:top w:val="nil"/>
              <w:left w:val="nil"/>
              <w:bottom w:val="single" w:sz="8" w:space="0" w:color="DAEEF3"/>
              <w:right w:val="nil"/>
            </w:tcBorders>
            <w:shd w:val="clear" w:color="000000" w:fill="EBF1DE"/>
            <w:noWrap/>
            <w:vAlign w:val="center"/>
          </w:tcPr>
          <w:p w14:paraId="455526CA" w14:textId="78F3E59D"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98,87%</w:t>
            </w:r>
          </w:p>
        </w:tc>
      </w:tr>
      <w:tr w:rsidR="003C79D3" w:rsidRPr="00A60DCB" w14:paraId="18E038F7" w14:textId="77777777" w:rsidTr="00FB1490">
        <w:trPr>
          <w:trHeight w:val="296"/>
        </w:trPr>
        <w:tc>
          <w:tcPr>
            <w:tcW w:w="2406" w:type="dxa"/>
            <w:tcBorders>
              <w:top w:val="nil"/>
              <w:left w:val="nil"/>
              <w:bottom w:val="single" w:sz="8" w:space="0" w:color="DAEEF3"/>
              <w:right w:val="nil"/>
            </w:tcBorders>
            <w:shd w:val="clear" w:color="auto" w:fill="auto"/>
            <w:noWrap/>
            <w:vAlign w:val="center"/>
            <w:hideMark/>
          </w:tcPr>
          <w:p w14:paraId="07CC6F2D" w14:textId="77777777" w:rsidR="003C79D3" w:rsidRPr="00A60DCB" w:rsidRDefault="003C79D3" w:rsidP="003C79D3">
            <w:pPr>
              <w:spacing w:after="0" w:line="240" w:lineRule="auto"/>
              <w:rPr>
                <w:rFonts w:ascii="Calibri" w:eastAsia="Times New Roman" w:hAnsi="Calibri" w:cs="Calibri"/>
                <w:color w:val="000000"/>
                <w:sz w:val="20"/>
                <w:szCs w:val="20"/>
                <w:lang w:eastAsia="sk-SK"/>
              </w:rPr>
            </w:pPr>
            <w:r w:rsidRPr="00A60DCB">
              <w:rPr>
                <w:rFonts w:ascii="Calibri" w:eastAsia="Times New Roman" w:hAnsi="Calibri" w:cs="Calibri"/>
                <w:color w:val="000000"/>
                <w:sz w:val="20"/>
                <w:szCs w:val="20"/>
                <w:lang w:eastAsia="sk-SK"/>
              </w:rPr>
              <w:t>Kapitálové výdavky</w:t>
            </w:r>
          </w:p>
        </w:tc>
        <w:tc>
          <w:tcPr>
            <w:tcW w:w="2684" w:type="dxa"/>
            <w:tcBorders>
              <w:top w:val="nil"/>
              <w:left w:val="nil"/>
              <w:bottom w:val="single" w:sz="8" w:space="0" w:color="DAEEF3"/>
              <w:right w:val="nil"/>
            </w:tcBorders>
            <w:shd w:val="clear" w:color="auto" w:fill="auto"/>
            <w:noWrap/>
            <w:vAlign w:val="center"/>
          </w:tcPr>
          <w:p w14:paraId="48D1BE87" w14:textId="0C56ADF4"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70 749 888</w:t>
            </w:r>
          </w:p>
        </w:tc>
        <w:tc>
          <w:tcPr>
            <w:tcW w:w="2291" w:type="dxa"/>
            <w:tcBorders>
              <w:top w:val="nil"/>
              <w:left w:val="nil"/>
              <w:bottom w:val="single" w:sz="8" w:space="0" w:color="DAEEF3"/>
              <w:right w:val="nil"/>
            </w:tcBorders>
            <w:shd w:val="clear" w:color="000000" w:fill="D9D9D9"/>
            <w:noWrap/>
            <w:vAlign w:val="center"/>
          </w:tcPr>
          <w:p w14:paraId="31872F30" w14:textId="4664E8F0"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73 962 958</w:t>
            </w:r>
          </w:p>
        </w:tc>
        <w:tc>
          <w:tcPr>
            <w:tcW w:w="1686" w:type="dxa"/>
            <w:tcBorders>
              <w:top w:val="nil"/>
              <w:left w:val="nil"/>
              <w:bottom w:val="single" w:sz="8" w:space="0" w:color="DAEEF3"/>
              <w:right w:val="nil"/>
            </w:tcBorders>
            <w:shd w:val="clear" w:color="000000" w:fill="EBF1DE"/>
            <w:noWrap/>
            <w:vAlign w:val="center"/>
          </w:tcPr>
          <w:p w14:paraId="2A2A1EBA" w14:textId="1840887C"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3 213 070</w:t>
            </w:r>
          </w:p>
        </w:tc>
        <w:tc>
          <w:tcPr>
            <w:tcW w:w="1322" w:type="dxa"/>
            <w:tcBorders>
              <w:top w:val="nil"/>
              <w:left w:val="nil"/>
              <w:bottom w:val="single" w:sz="8" w:space="0" w:color="DAEEF3"/>
              <w:right w:val="nil"/>
            </w:tcBorders>
            <w:shd w:val="clear" w:color="000000" w:fill="EBF1DE"/>
            <w:noWrap/>
            <w:vAlign w:val="center"/>
          </w:tcPr>
          <w:p w14:paraId="2CE99AB1" w14:textId="41AB3191"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4,54%</w:t>
            </w:r>
          </w:p>
        </w:tc>
      </w:tr>
      <w:tr w:rsidR="003C79D3" w:rsidRPr="00A60DCB" w14:paraId="313C6A11" w14:textId="77777777" w:rsidTr="00FB1490">
        <w:trPr>
          <w:trHeight w:val="296"/>
        </w:trPr>
        <w:tc>
          <w:tcPr>
            <w:tcW w:w="2406" w:type="dxa"/>
            <w:tcBorders>
              <w:top w:val="nil"/>
              <w:left w:val="nil"/>
              <w:bottom w:val="single" w:sz="8" w:space="0" w:color="DAEEF3"/>
              <w:right w:val="nil"/>
            </w:tcBorders>
            <w:shd w:val="clear" w:color="000000" w:fill="D9D9D9"/>
            <w:noWrap/>
            <w:vAlign w:val="center"/>
            <w:hideMark/>
          </w:tcPr>
          <w:p w14:paraId="6CF62C33" w14:textId="77777777" w:rsidR="003C79D3" w:rsidRPr="00A60DCB" w:rsidRDefault="003C79D3" w:rsidP="003C79D3">
            <w:pPr>
              <w:spacing w:after="0" w:line="240" w:lineRule="auto"/>
              <w:rPr>
                <w:rFonts w:ascii="Calibri" w:eastAsia="Times New Roman" w:hAnsi="Calibri" w:cs="Calibri"/>
                <w:b/>
                <w:bCs/>
                <w:color w:val="000000"/>
                <w:sz w:val="20"/>
                <w:szCs w:val="20"/>
                <w:lang w:eastAsia="sk-SK"/>
              </w:rPr>
            </w:pPr>
            <w:r w:rsidRPr="00A60DCB">
              <w:rPr>
                <w:rFonts w:ascii="Calibri" w:eastAsia="Times New Roman" w:hAnsi="Calibri" w:cs="Calibri"/>
                <w:b/>
                <w:bCs/>
                <w:color w:val="000000"/>
                <w:sz w:val="20"/>
                <w:szCs w:val="20"/>
                <w:lang w:eastAsia="sk-SK"/>
              </w:rPr>
              <w:t>Bilancia KR</w:t>
            </w:r>
          </w:p>
        </w:tc>
        <w:tc>
          <w:tcPr>
            <w:tcW w:w="2684" w:type="dxa"/>
            <w:tcBorders>
              <w:top w:val="nil"/>
              <w:left w:val="nil"/>
              <w:bottom w:val="single" w:sz="8" w:space="0" w:color="DAEEF3"/>
              <w:right w:val="nil"/>
            </w:tcBorders>
            <w:shd w:val="clear" w:color="000000" w:fill="D9D9D9"/>
            <w:noWrap/>
            <w:vAlign w:val="center"/>
          </w:tcPr>
          <w:p w14:paraId="3B0AA3E1" w14:textId="0EFAE0DF"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-60 025 794</w:t>
            </w:r>
          </w:p>
        </w:tc>
        <w:tc>
          <w:tcPr>
            <w:tcW w:w="2291" w:type="dxa"/>
            <w:tcBorders>
              <w:top w:val="nil"/>
              <w:left w:val="nil"/>
              <w:bottom w:val="single" w:sz="8" w:space="0" w:color="DAEEF3"/>
              <w:right w:val="nil"/>
            </w:tcBorders>
            <w:shd w:val="clear" w:color="000000" w:fill="D9D9D9"/>
            <w:noWrap/>
            <w:vAlign w:val="center"/>
          </w:tcPr>
          <w:p w14:paraId="223DB240" w14:textId="1A55D598"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-52 636 161</w:t>
            </w:r>
          </w:p>
        </w:tc>
        <w:tc>
          <w:tcPr>
            <w:tcW w:w="1686" w:type="dxa"/>
            <w:tcBorders>
              <w:top w:val="nil"/>
              <w:left w:val="nil"/>
              <w:bottom w:val="single" w:sz="8" w:space="0" w:color="DAEEF3"/>
              <w:right w:val="nil"/>
            </w:tcBorders>
            <w:shd w:val="clear" w:color="000000" w:fill="EBF1DE"/>
            <w:noWrap/>
            <w:vAlign w:val="center"/>
          </w:tcPr>
          <w:p w14:paraId="33EC0DFA" w14:textId="3289C4CD"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 </w:t>
            </w:r>
          </w:p>
        </w:tc>
        <w:tc>
          <w:tcPr>
            <w:tcW w:w="1322" w:type="dxa"/>
            <w:tcBorders>
              <w:top w:val="nil"/>
              <w:left w:val="nil"/>
              <w:bottom w:val="single" w:sz="8" w:space="0" w:color="DAEEF3"/>
              <w:right w:val="nil"/>
            </w:tcBorders>
            <w:shd w:val="clear" w:color="000000" w:fill="EBF1DE"/>
            <w:noWrap/>
            <w:vAlign w:val="center"/>
          </w:tcPr>
          <w:p w14:paraId="01E109AA" w14:textId="670E8501" w:rsidR="003C79D3" w:rsidRPr="00A60DCB" w:rsidRDefault="003C79D3" w:rsidP="003C79D3">
            <w:pPr>
              <w:spacing w:after="0" w:line="240" w:lineRule="auto"/>
              <w:jc w:val="right"/>
              <w:rPr>
                <w:rFonts w:ascii="Calibri" w:eastAsia="Times New Roman" w:hAnsi="Calibri" w:cs="Calibri"/>
                <w:color w:val="000000"/>
                <w:sz w:val="20"/>
                <w:szCs w:val="20"/>
                <w:lang w:eastAsia="sk-SK"/>
              </w:rPr>
            </w:pPr>
          </w:p>
        </w:tc>
      </w:tr>
      <w:tr w:rsidR="003C79D3" w:rsidRPr="00A60DCB" w14:paraId="4F0FB5C1" w14:textId="77777777" w:rsidTr="00FB1490">
        <w:trPr>
          <w:trHeight w:val="296"/>
        </w:trPr>
        <w:tc>
          <w:tcPr>
            <w:tcW w:w="2406" w:type="dxa"/>
            <w:tcBorders>
              <w:top w:val="nil"/>
              <w:left w:val="nil"/>
              <w:bottom w:val="single" w:sz="8" w:space="0" w:color="DAEEF3"/>
              <w:right w:val="nil"/>
            </w:tcBorders>
            <w:shd w:val="clear" w:color="000000" w:fill="B8CCE4"/>
            <w:noWrap/>
            <w:vAlign w:val="center"/>
            <w:hideMark/>
          </w:tcPr>
          <w:p w14:paraId="75BDE791" w14:textId="77777777" w:rsidR="003C79D3" w:rsidRPr="00A60DCB" w:rsidRDefault="003C79D3" w:rsidP="003C79D3">
            <w:pPr>
              <w:spacing w:after="0" w:line="240" w:lineRule="auto"/>
              <w:rPr>
                <w:rFonts w:ascii="Calibri" w:eastAsia="Times New Roman" w:hAnsi="Calibri" w:cs="Calibri"/>
                <w:b/>
                <w:bCs/>
                <w:color w:val="000000"/>
                <w:sz w:val="20"/>
                <w:szCs w:val="20"/>
                <w:lang w:eastAsia="sk-SK"/>
              </w:rPr>
            </w:pPr>
            <w:r w:rsidRPr="00A60DCB">
              <w:rPr>
                <w:rFonts w:ascii="Calibri" w:eastAsia="Times New Roman" w:hAnsi="Calibri" w:cs="Calibri"/>
                <w:b/>
                <w:bCs/>
                <w:color w:val="000000"/>
                <w:sz w:val="20"/>
                <w:szCs w:val="20"/>
                <w:lang w:eastAsia="sk-SK"/>
              </w:rPr>
              <w:t>Bilancia rozpočtu celkom</w:t>
            </w:r>
          </w:p>
        </w:tc>
        <w:tc>
          <w:tcPr>
            <w:tcW w:w="2684" w:type="dxa"/>
            <w:tcBorders>
              <w:top w:val="nil"/>
              <w:left w:val="nil"/>
              <w:bottom w:val="single" w:sz="8" w:space="0" w:color="DAEEF3"/>
              <w:right w:val="nil"/>
            </w:tcBorders>
            <w:shd w:val="clear" w:color="000000" w:fill="B8CCE4"/>
            <w:noWrap/>
            <w:vAlign w:val="center"/>
          </w:tcPr>
          <w:p w14:paraId="11698AE8" w14:textId="7065F3C8"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-49 144 647</w:t>
            </w:r>
          </w:p>
        </w:tc>
        <w:tc>
          <w:tcPr>
            <w:tcW w:w="2291" w:type="dxa"/>
            <w:tcBorders>
              <w:top w:val="nil"/>
              <w:left w:val="nil"/>
              <w:bottom w:val="single" w:sz="8" w:space="0" w:color="DAEEF3"/>
              <w:right w:val="nil"/>
            </w:tcBorders>
            <w:shd w:val="clear" w:color="000000" w:fill="D9D9D9"/>
            <w:noWrap/>
            <w:vAlign w:val="center"/>
          </w:tcPr>
          <w:p w14:paraId="1902A90C" w14:textId="5342CF5F"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-41 679 683</w:t>
            </w:r>
          </w:p>
        </w:tc>
        <w:tc>
          <w:tcPr>
            <w:tcW w:w="1686" w:type="dxa"/>
            <w:tcBorders>
              <w:top w:val="nil"/>
              <w:left w:val="nil"/>
              <w:bottom w:val="single" w:sz="8" w:space="0" w:color="DAEEF3"/>
              <w:right w:val="nil"/>
            </w:tcBorders>
            <w:shd w:val="clear" w:color="000000" w:fill="EBF1DE"/>
            <w:noWrap/>
            <w:vAlign w:val="center"/>
          </w:tcPr>
          <w:p w14:paraId="161BDEC5" w14:textId="1D93A6D3"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 </w:t>
            </w:r>
          </w:p>
        </w:tc>
        <w:tc>
          <w:tcPr>
            <w:tcW w:w="1322" w:type="dxa"/>
            <w:tcBorders>
              <w:top w:val="nil"/>
              <w:left w:val="nil"/>
              <w:bottom w:val="single" w:sz="8" w:space="0" w:color="DAEEF3"/>
              <w:right w:val="nil"/>
            </w:tcBorders>
            <w:shd w:val="clear" w:color="000000" w:fill="EBF1DE"/>
            <w:noWrap/>
            <w:vAlign w:val="center"/>
          </w:tcPr>
          <w:p w14:paraId="463DE1E4" w14:textId="33115912" w:rsidR="003C79D3" w:rsidRPr="00A60DCB" w:rsidRDefault="003C79D3" w:rsidP="003C79D3">
            <w:pPr>
              <w:spacing w:after="0" w:line="240" w:lineRule="auto"/>
              <w:jc w:val="right"/>
              <w:rPr>
                <w:rFonts w:ascii="Calibri" w:eastAsia="Times New Roman" w:hAnsi="Calibri" w:cs="Calibri"/>
                <w:color w:val="000000"/>
                <w:sz w:val="20"/>
                <w:szCs w:val="20"/>
                <w:lang w:eastAsia="sk-SK"/>
              </w:rPr>
            </w:pPr>
          </w:p>
        </w:tc>
      </w:tr>
      <w:tr w:rsidR="003C79D3" w:rsidRPr="00A60DCB" w14:paraId="21AB8977" w14:textId="77777777" w:rsidTr="00FB1490">
        <w:trPr>
          <w:trHeight w:val="296"/>
        </w:trPr>
        <w:tc>
          <w:tcPr>
            <w:tcW w:w="2406" w:type="dxa"/>
            <w:tcBorders>
              <w:top w:val="nil"/>
              <w:left w:val="nil"/>
              <w:bottom w:val="single" w:sz="8" w:space="0" w:color="DAEEF3"/>
              <w:right w:val="nil"/>
            </w:tcBorders>
            <w:shd w:val="clear" w:color="auto" w:fill="auto"/>
            <w:noWrap/>
            <w:vAlign w:val="center"/>
            <w:hideMark/>
          </w:tcPr>
          <w:p w14:paraId="28BC835C" w14:textId="77777777" w:rsidR="003C79D3" w:rsidRPr="00A60DCB" w:rsidRDefault="003C79D3" w:rsidP="003C79D3">
            <w:pPr>
              <w:spacing w:after="0" w:line="240" w:lineRule="auto"/>
              <w:rPr>
                <w:rFonts w:ascii="Calibri" w:eastAsia="Times New Roman" w:hAnsi="Calibri" w:cs="Calibri"/>
                <w:color w:val="000000"/>
                <w:sz w:val="20"/>
                <w:szCs w:val="20"/>
                <w:lang w:eastAsia="sk-SK"/>
              </w:rPr>
            </w:pPr>
            <w:r w:rsidRPr="00A60DCB">
              <w:rPr>
                <w:rFonts w:ascii="Calibri" w:eastAsia="Times New Roman" w:hAnsi="Calibri" w:cs="Calibri"/>
                <w:color w:val="000000"/>
                <w:sz w:val="20"/>
                <w:szCs w:val="20"/>
                <w:lang w:eastAsia="sk-SK"/>
              </w:rPr>
              <w:t>Príjmové fin. operácie</w:t>
            </w:r>
          </w:p>
        </w:tc>
        <w:tc>
          <w:tcPr>
            <w:tcW w:w="2684" w:type="dxa"/>
            <w:tcBorders>
              <w:top w:val="nil"/>
              <w:left w:val="nil"/>
              <w:bottom w:val="single" w:sz="8" w:space="0" w:color="DAEEF3"/>
              <w:right w:val="nil"/>
            </w:tcBorders>
            <w:shd w:val="clear" w:color="auto" w:fill="auto"/>
            <w:noWrap/>
            <w:vAlign w:val="center"/>
          </w:tcPr>
          <w:p w14:paraId="63081685" w14:textId="2C012D30"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56 930 336</w:t>
            </w:r>
          </w:p>
        </w:tc>
        <w:tc>
          <w:tcPr>
            <w:tcW w:w="2291" w:type="dxa"/>
            <w:tcBorders>
              <w:top w:val="nil"/>
              <w:left w:val="nil"/>
              <w:bottom w:val="single" w:sz="8" w:space="0" w:color="DAEEF3"/>
              <w:right w:val="nil"/>
            </w:tcBorders>
            <w:shd w:val="clear" w:color="000000" w:fill="D9D9D9"/>
            <w:noWrap/>
            <w:vAlign w:val="center"/>
          </w:tcPr>
          <w:p w14:paraId="4854CBB3" w14:textId="697F01F7"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47 777 674</w:t>
            </w:r>
          </w:p>
        </w:tc>
        <w:tc>
          <w:tcPr>
            <w:tcW w:w="1686" w:type="dxa"/>
            <w:tcBorders>
              <w:top w:val="nil"/>
              <w:left w:val="nil"/>
              <w:bottom w:val="single" w:sz="8" w:space="0" w:color="DAEEF3"/>
              <w:right w:val="nil"/>
            </w:tcBorders>
            <w:shd w:val="clear" w:color="000000" w:fill="EBF1DE"/>
            <w:noWrap/>
            <w:vAlign w:val="center"/>
          </w:tcPr>
          <w:p w14:paraId="781774A1" w14:textId="3D9C2104"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-9 152 662</w:t>
            </w:r>
          </w:p>
        </w:tc>
        <w:tc>
          <w:tcPr>
            <w:tcW w:w="1322" w:type="dxa"/>
            <w:tcBorders>
              <w:top w:val="nil"/>
              <w:left w:val="nil"/>
              <w:bottom w:val="single" w:sz="8" w:space="0" w:color="DAEEF3"/>
              <w:right w:val="nil"/>
            </w:tcBorders>
            <w:shd w:val="clear" w:color="000000" w:fill="EBF1DE"/>
            <w:noWrap/>
            <w:vAlign w:val="center"/>
          </w:tcPr>
          <w:p w14:paraId="36E24631" w14:textId="32F3E86B"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-16,08%</w:t>
            </w:r>
          </w:p>
        </w:tc>
      </w:tr>
      <w:tr w:rsidR="003C79D3" w:rsidRPr="00A60DCB" w14:paraId="3780B18B" w14:textId="77777777" w:rsidTr="00FB1490">
        <w:trPr>
          <w:trHeight w:val="296"/>
        </w:trPr>
        <w:tc>
          <w:tcPr>
            <w:tcW w:w="2406" w:type="dxa"/>
            <w:tcBorders>
              <w:top w:val="nil"/>
              <w:left w:val="nil"/>
              <w:bottom w:val="single" w:sz="8" w:space="0" w:color="DAEEF3"/>
              <w:right w:val="nil"/>
            </w:tcBorders>
            <w:shd w:val="clear" w:color="auto" w:fill="auto"/>
            <w:noWrap/>
            <w:vAlign w:val="center"/>
            <w:hideMark/>
          </w:tcPr>
          <w:p w14:paraId="4CC54E88" w14:textId="77777777" w:rsidR="003C79D3" w:rsidRPr="00A60DCB" w:rsidRDefault="003C79D3" w:rsidP="003C79D3">
            <w:pPr>
              <w:spacing w:after="0" w:line="240" w:lineRule="auto"/>
              <w:rPr>
                <w:rFonts w:ascii="Calibri" w:eastAsia="Times New Roman" w:hAnsi="Calibri" w:cs="Calibri"/>
                <w:color w:val="000000"/>
                <w:sz w:val="20"/>
                <w:szCs w:val="20"/>
                <w:lang w:eastAsia="sk-SK"/>
              </w:rPr>
            </w:pPr>
            <w:r w:rsidRPr="00A60DCB">
              <w:rPr>
                <w:rFonts w:ascii="Calibri" w:eastAsia="Times New Roman" w:hAnsi="Calibri" w:cs="Calibri"/>
                <w:color w:val="000000"/>
                <w:sz w:val="20"/>
                <w:szCs w:val="20"/>
                <w:lang w:eastAsia="sk-SK"/>
              </w:rPr>
              <w:t>Výdavkové fin. operácie</w:t>
            </w:r>
          </w:p>
        </w:tc>
        <w:tc>
          <w:tcPr>
            <w:tcW w:w="2684" w:type="dxa"/>
            <w:tcBorders>
              <w:top w:val="nil"/>
              <w:left w:val="nil"/>
              <w:bottom w:val="single" w:sz="8" w:space="0" w:color="DAEEF3"/>
              <w:right w:val="nil"/>
            </w:tcBorders>
            <w:shd w:val="clear" w:color="auto" w:fill="auto"/>
            <w:noWrap/>
            <w:vAlign w:val="center"/>
          </w:tcPr>
          <w:p w14:paraId="48628901" w14:textId="66D983F9"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7 785 689</w:t>
            </w:r>
          </w:p>
        </w:tc>
        <w:tc>
          <w:tcPr>
            <w:tcW w:w="2291" w:type="dxa"/>
            <w:tcBorders>
              <w:top w:val="nil"/>
              <w:left w:val="nil"/>
              <w:bottom w:val="single" w:sz="8" w:space="0" w:color="DAEEF3"/>
              <w:right w:val="nil"/>
            </w:tcBorders>
            <w:shd w:val="clear" w:color="000000" w:fill="D9D9D9"/>
            <w:noWrap/>
            <w:vAlign w:val="center"/>
          </w:tcPr>
          <w:p w14:paraId="072EBDCA" w14:textId="65F08858"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6 097 991</w:t>
            </w:r>
          </w:p>
        </w:tc>
        <w:tc>
          <w:tcPr>
            <w:tcW w:w="1686" w:type="dxa"/>
            <w:tcBorders>
              <w:top w:val="nil"/>
              <w:left w:val="nil"/>
              <w:bottom w:val="single" w:sz="8" w:space="0" w:color="DAEEF3"/>
              <w:right w:val="nil"/>
            </w:tcBorders>
            <w:shd w:val="clear" w:color="000000" w:fill="EBF1DE"/>
            <w:noWrap/>
            <w:vAlign w:val="center"/>
          </w:tcPr>
          <w:p w14:paraId="27339A5E" w14:textId="6B057828"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-1 687 698</w:t>
            </w:r>
          </w:p>
        </w:tc>
        <w:tc>
          <w:tcPr>
            <w:tcW w:w="1322" w:type="dxa"/>
            <w:tcBorders>
              <w:top w:val="nil"/>
              <w:left w:val="nil"/>
              <w:bottom w:val="single" w:sz="8" w:space="0" w:color="DAEEF3"/>
              <w:right w:val="nil"/>
            </w:tcBorders>
            <w:shd w:val="clear" w:color="000000" w:fill="EBF1DE"/>
            <w:noWrap/>
            <w:vAlign w:val="center"/>
          </w:tcPr>
          <w:p w14:paraId="01B5D388" w14:textId="59CF1140"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-21,68%</w:t>
            </w:r>
          </w:p>
        </w:tc>
      </w:tr>
      <w:tr w:rsidR="003C79D3" w:rsidRPr="00A60DCB" w14:paraId="7E29B247" w14:textId="77777777" w:rsidTr="00FB1490">
        <w:trPr>
          <w:trHeight w:val="296"/>
        </w:trPr>
        <w:tc>
          <w:tcPr>
            <w:tcW w:w="2406" w:type="dxa"/>
            <w:tcBorders>
              <w:top w:val="nil"/>
              <w:left w:val="nil"/>
              <w:bottom w:val="single" w:sz="8" w:space="0" w:color="DAEEF3"/>
              <w:right w:val="nil"/>
            </w:tcBorders>
            <w:shd w:val="clear" w:color="000000" w:fill="D9D9D9"/>
            <w:noWrap/>
            <w:vAlign w:val="center"/>
            <w:hideMark/>
          </w:tcPr>
          <w:p w14:paraId="5F27F09F" w14:textId="77777777" w:rsidR="003C79D3" w:rsidRPr="00A60DCB" w:rsidRDefault="003C79D3" w:rsidP="003C79D3">
            <w:pPr>
              <w:spacing w:after="0" w:line="240" w:lineRule="auto"/>
              <w:rPr>
                <w:rFonts w:ascii="Calibri" w:eastAsia="Times New Roman" w:hAnsi="Calibri" w:cs="Calibri"/>
                <w:b/>
                <w:bCs/>
                <w:color w:val="000000"/>
                <w:sz w:val="20"/>
                <w:szCs w:val="20"/>
                <w:lang w:eastAsia="sk-SK"/>
              </w:rPr>
            </w:pPr>
            <w:r w:rsidRPr="00A60DCB">
              <w:rPr>
                <w:rFonts w:ascii="Calibri" w:eastAsia="Times New Roman" w:hAnsi="Calibri" w:cs="Calibri"/>
                <w:b/>
                <w:bCs/>
                <w:color w:val="000000"/>
                <w:sz w:val="20"/>
                <w:szCs w:val="20"/>
                <w:lang w:eastAsia="sk-SK"/>
              </w:rPr>
              <w:t>Bilancia FO</w:t>
            </w:r>
          </w:p>
        </w:tc>
        <w:tc>
          <w:tcPr>
            <w:tcW w:w="2684" w:type="dxa"/>
            <w:tcBorders>
              <w:top w:val="nil"/>
              <w:left w:val="nil"/>
              <w:bottom w:val="single" w:sz="8" w:space="0" w:color="DAEEF3"/>
              <w:right w:val="nil"/>
            </w:tcBorders>
            <w:shd w:val="clear" w:color="000000" w:fill="D9D9D9"/>
            <w:noWrap/>
            <w:vAlign w:val="center"/>
          </w:tcPr>
          <w:p w14:paraId="1A46ED6A" w14:textId="07DA6F6C"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49 144 647</w:t>
            </w:r>
          </w:p>
        </w:tc>
        <w:tc>
          <w:tcPr>
            <w:tcW w:w="2291" w:type="dxa"/>
            <w:tcBorders>
              <w:top w:val="nil"/>
              <w:left w:val="nil"/>
              <w:bottom w:val="single" w:sz="8" w:space="0" w:color="DAEEF3"/>
              <w:right w:val="nil"/>
            </w:tcBorders>
            <w:shd w:val="clear" w:color="000000" w:fill="D9D9D9"/>
            <w:noWrap/>
            <w:vAlign w:val="center"/>
          </w:tcPr>
          <w:p w14:paraId="2E0EB355" w14:textId="5DA515E8"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41 679 683</w:t>
            </w:r>
          </w:p>
        </w:tc>
        <w:tc>
          <w:tcPr>
            <w:tcW w:w="1686" w:type="dxa"/>
            <w:tcBorders>
              <w:top w:val="nil"/>
              <w:left w:val="nil"/>
              <w:bottom w:val="single" w:sz="8" w:space="0" w:color="DAEEF3"/>
              <w:right w:val="nil"/>
            </w:tcBorders>
            <w:shd w:val="clear" w:color="000000" w:fill="EBF1DE"/>
            <w:noWrap/>
            <w:vAlign w:val="center"/>
          </w:tcPr>
          <w:p w14:paraId="050283B9" w14:textId="22F56BA3"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 </w:t>
            </w:r>
          </w:p>
        </w:tc>
        <w:tc>
          <w:tcPr>
            <w:tcW w:w="1322" w:type="dxa"/>
            <w:tcBorders>
              <w:top w:val="nil"/>
              <w:left w:val="nil"/>
              <w:bottom w:val="single" w:sz="8" w:space="0" w:color="DAEEF3"/>
              <w:right w:val="nil"/>
            </w:tcBorders>
            <w:shd w:val="clear" w:color="000000" w:fill="EBF1DE"/>
            <w:noWrap/>
            <w:vAlign w:val="center"/>
          </w:tcPr>
          <w:p w14:paraId="4C83FA64" w14:textId="3B92DBFC" w:rsidR="003C79D3" w:rsidRPr="00A60DCB" w:rsidRDefault="003C79D3" w:rsidP="003C79D3">
            <w:pPr>
              <w:spacing w:after="0" w:line="240" w:lineRule="auto"/>
              <w:jc w:val="right"/>
              <w:rPr>
                <w:rFonts w:ascii="Calibri" w:eastAsia="Times New Roman" w:hAnsi="Calibri" w:cs="Calibri"/>
                <w:color w:val="000000"/>
                <w:sz w:val="20"/>
                <w:szCs w:val="20"/>
                <w:lang w:eastAsia="sk-SK"/>
              </w:rPr>
            </w:pPr>
          </w:p>
        </w:tc>
      </w:tr>
      <w:tr w:rsidR="003C79D3" w:rsidRPr="00A60DCB" w14:paraId="677090D0" w14:textId="77777777" w:rsidTr="00FB1490">
        <w:trPr>
          <w:trHeight w:val="296"/>
        </w:trPr>
        <w:tc>
          <w:tcPr>
            <w:tcW w:w="2406" w:type="dxa"/>
            <w:tcBorders>
              <w:top w:val="nil"/>
              <w:left w:val="nil"/>
              <w:bottom w:val="nil"/>
              <w:right w:val="nil"/>
            </w:tcBorders>
            <w:shd w:val="clear" w:color="auto" w:fill="auto"/>
            <w:noWrap/>
            <w:vAlign w:val="center"/>
            <w:hideMark/>
          </w:tcPr>
          <w:p w14:paraId="20A959D6" w14:textId="77777777" w:rsidR="003C79D3" w:rsidRPr="00A60DCB" w:rsidRDefault="003C79D3" w:rsidP="003C79D3">
            <w:pPr>
              <w:spacing w:after="0" w:line="240" w:lineRule="auto"/>
              <w:rPr>
                <w:rFonts w:ascii="Calibri" w:eastAsia="Times New Roman" w:hAnsi="Calibri" w:cs="Calibri"/>
                <w:b/>
                <w:bCs/>
                <w:color w:val="000000"/>
                <w:sz w:val="20"/>
                <w:szCs w:val="20"/>
                <w:lang w:eastAsia="sk-SK"/>
              </w:rPr>
            </w:pPr>
            <w:r w:rsidRPr="00A60DCB">
              <w:rPr>
                <w:rFonts w:ascii="Calibri" w:eastAsia="Times New Roman" w:hAnsi="Calibri" w:cs="Calibri"/>
                <w:b/>
                <w:bCs/>
                <w:color w:val="000000"/>
                <w:sz w:val="20"/>
                <w:szCs w:val="20"/>
                <w:lang w:eastAsia="sk-SK"/>
              </w:rPr>
              <w:t>Príjmy a PFO</w:t>
            </w:r>
          </w:p>
        </w:tc>
        <w:tc>
          <w:tcPr>
            <w:tcW w:w="2684" w:type="dxa"/>
            <w:tcBorders>
              <w:top w:val="nil"/>
              <w:left w:val="nil"/>
              <w:bottom w:val="nil"/>
              <w:right w:val="nil"/>
            </w:tcBorders>
            <w:shd w:val="clear" w:color="auto" w:fill="auto"/>
            <w:noWrap/>
            <w:vAlign w:val="center"/>
          </w:tcPr>
          <w:p w14:paraId="1BE82CF4" w14:textId="003E5AEB"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300 558 006</w:t>
            </w:r>
          </w:p>
        </w:tc>
        <w:tc>
          <w:tcPr>
            <w:tcW w:w="2291" w:type="dxa"/>
            <w:tcBorders>
              <w:top w:val="nil"/>
              <w:left w:val="nil"/>
              <w:bottom w:val="nil"/>
              <w:right w:val="nil"/>
            </w:tcBorders>
            <w:shd w:val="clear" w:color="000000" w:fill="D9D9D9"/>
            <w:noWrap/>
            <w:vAlign w:val="center"/>
          </w:tcPr>
          <w:p w14:paraId="351147AF" w14:textId="2E607E1C"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320 544 295</w:t>
            </w:r>
          </w:p>
        </w:tc>
        <w:tc>
          <w:tcPr>
            <w:tcW w:w="1686" w:type="dxa"/>
            <w:tcBorders>
              <w:top w:val="nil"/>
              <w:left w:val="nil"/>
              <w:bottom w:val="single" w:sz="8" w:space="0" w:color="DAEEF3"/>
              <w:right w:val="nil"/>
            </w:tcBorders>
            <w:shd w:val="clear" w:color="000000" w:fill="EBF1DE"/>
            <w:noWrap/>
            <w:vAlign w:val="center"/>
          </w:tcPr>
          <w:p w14:paraId="72F7E381" w14:textId="1D1AF971"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19 986 289</w:t>
            </w:r>
          </w:p>
        </w:tc>
        <w:tc>
          <w:tcPr>
            <w:tcW w:w="1322" w:type="dxa"/>
            <w:tcBorders>
              <w:top w:val="nil"/>
              <w:left w:val="nil"/>
              <w:bottom w:val="single" w:sz="8" w:space="0" w:color="DAEEF3"/>
              <w:right w:val="nil"/>
            </w:tcBorders>
            <w:shd w:val="clear" w:color="000000" w:fill="EBF1DE"/>
            <w:noWrap/>
            <w:vAlign w:val="center"/>
          </w:tcPr>
          <w:p w14:paraId="2ADFD163" w14:textId="68774ABE"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6,65%</w:t>
            </w:r>
          </w:p>
        </w:tc>
      </w:tr>
      <w:tr w:rsidR="003C79D3" w:rsidRPr="00A60DCB" w14:paraId="77479FA6" w14:textId="77777777" w:rsidTr="00FB1490">
        <w:trPr>
          <w:trHeight w:val="296"/>
        </w:trPr>
        <w:tc>
          <w:tcPr>
            <w:tcW w:w="2406" w:type="dxa"/>
            <w:tcBorders>
              <w:top w:val="nil"/>
              <w:left w:val="nil"/>
              <w:bottom w:val="nil"/>
              <w:right w:val="nil"/>
            </w:tcBorders>
            <w:shd w:val="clear" w:color="auto" w:fill="auto"/>
            <w:noWrap/>
            <w:vAlign w:val="center"/>
            <w:hideMark/>
          </w:tcPr>
          <w:p w14:paraId="64707133" w14:textId="0AE113AD" w:rsidR="003C79D3" w:rsidRPr="00A60DCB" w:rsidRDefault="003C79D3" w:rsidP="003C79D3">
            <w:pPr>
              <w:spacing w:after="0" w:line="240" w:lineRule="auto"/>
              <w:rPr>
                <w:rFonts w:ascii="Calibri" w:eastAsia="Times New Roman" w:hAnsi="Calibri" w:cs="Calibri"/>
                <w:b/>
                <w:bCs/>
                <w:color w:val="000000"/>
                <w:sz w:val="20"/>
                <w:szCs w:val="20"/>
                <w:lang w:eastAsia="sk-SK"/>
              </w:rPr>
            </w:pPr>
            <w:r w:rsidRPr="00A60DCB">
              <w:rPr>
                <w:rFonts w:ascii="Calibri" w:eastAsia="Times New Roman" w:hAnsi="Calibri" w:cs="Calibri"/>
                <w:b/>
                <w:bCs/>
                <w:color w:val="000000"/>
                <w:sz w:val="20"/>
                <w:szCs w:val="20"/>
                <w:lang w:eastAsia="sk-SK"/>
              </w:rPr>
              <w:t>Výdavky a VFO</w:t>
            </w:r>
          </w:p>
        </w:tc>
        <w:tc>
          <w:tcPr>
            <w:tcW w:w="2684" w:type="dxa"/>
            <w:tcBorders>
              <w:top w:val="nil"/>
              <w:left w:val="nil"/>
              <w:bottom w:val="nil"/>
              <w:right w:val="nil"/>
            </w:tcBorders>
            <w:shd w:val="clear" w:color="auto" w:fill="auto"/>
            <w:noWrap/>
            <w:vAlign w:val="center"/>
          </w:tcPr>
          <w:p w14:paraId="48B3921C" w14:textId="60405FB0"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sidRPr="00D971EF">
              <w:rPr>
                <w:rFonts w:ascii="Calibri" w:hAnsi="Calibri" w:cs="Calibri"/>
                <w:color w:val="000000"/>
                <w:sz w:val="20"/>
                <w:szCs w:val="20"/>
              </w:rPr>
              <w:t>300 558 006</w:t>
            </w:r>
          </w:p>
        </w:tc>
        <w:tc>
          <w:tcPr>
            <w:tcW w:w="2291" w:type="dxa"/>
            <w:tcBorders>
              <w:top w:val="nil"/>
              <w:left w:val="nil"/>
              <w:bottom w:val="nil"/>
              <w:right w:val="nil"/>
            </w:tcBorders>
            <w:shd w:val="clear" w:color="000000" w:fill="D9D9D9"/>
            <w:noWrap/>
            <w:vAlign w:val="center"/>
          </w:tcPr>
          <w:p w14:paraId="2BF91B2F" w14:textId="6DFA56A7" w:rsidR="003C79D3" w:rsidRPr="00D971EF"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320 544 295</w:t>
            </w:r>
          </w:p>
        </w:tc>
        <w:tc>
          <w:tcPr>
            <w:tcW w:w="1686" w:type="dxa"/>
            <w:tcBorders>
              <w:top w:val="nil"/>
              <w:left w:val="nil"/>
              <w:bottom w:val="single" w:sz="8" w:space="0" w:color="DAEEF3"/>
              <w:right w:val="nil"/>
            </w:tcBorders>
            <w:shd w:val="clear" w:color="000000" w:fill="EBF1DE"/>
            <w:noWrap/>
            <w:vAlign w:val="center"/>
          </w:tcPr>
          <w:p w14:paraId="0E9499D7" w14:textId="72556C1A"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19 986 289</w:t>
            </w:r>
          </w:p>
        </w:tc>
        <w:tc>
          <w:tcPr>
            <w:tcW w:w="1322" w:type="dxa"/>
            <w:tcBorders>
              <w:top w:val="nil"/>
              <w:left w:val="nil"/>
              <w:bottom w:val="single" w:sz="8" w:space="0" w:color="DAEEF3"/>
              <w:right w:val="nil"/>
            </w:tcBorders>
            <w:shd w:val="clear" w:color="000000" w:fill="EBF1DE"/>
            <w:noWrap/>
            <w:vAlign w:val="center"/>
          </w:tcPr>
          <w:p w14:paraId="75DE96AF" w14:textId="58127D4B" w:rsidR="003C79D3" w:rsidRPr="00A60DCB" w:rsidRDefault="003C79D3" w:rsidP="003C79D3">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20"/>
                <w:szCs w:val="20"/>
              </w:rPr>
              <w:t>6,65%</w:t>
            </w:r>
          </w:p>
        </w:tc>
      </w:tr>
      <w:tr w:rsidR="00A60DCB" w:rsidRPr="00A60DCB" w14:paraId="2476135F" w14:textId="77777777" w:rsidTr="00A60DCB">
        <w:trPr>
          <w:trHeight w:val="296"/>
        </w:trPr>
        <w:tc>
          <w:tcPr>
            <w:tcW w:w="2406" w:type="dxa"/>
            <w:tcBorders>
              <w:top w:val="nil"/>
              <w:left w:val="nil"/>
              <w:bottom w:val="single" w:sz="8" w:space="0" w:color="DCE6F1"/>
              <w:right w:val="nil"/>
            </w:tcBorders>
            <w:shd w:val="clear" w:color="000000" w:fill="366092"/>
            <w:noWrap/>
            <w:vAlign w:val="center"/>
            <w:hideMark/>
          </w:tcPr>
          <w:p w14:paraId="11C488B0" w14:textId="77777777" w:rsidR="00A60DCB" w:rsidRPr="00A60DCB" w:rsidRDefault="00A60DCB" w:rsidP="00A60DCB">
            <w:pPr>
              <w:spacing w:after="0" w:line="240" w:lineRule="auto"/>
              <w:rPr>
                <w:rFonts w:ascii="Calibri" w:eastAsia="Times New Roman" w:hAnsi="Calibri" w:cs="Calibri"/>
                <w:b/>
                <w:bCs/>
                <w:color w:val="FFFFFF"/>
                <w:sz w:val="20"/>
                <w:szCs w:val="20"/>
                <w:lang w:eastAsia="sk-SK"/>
              </w:rPr>
            </w:pPr>
            <w:r w:rsidRPr="00A60DCB">
              <w:rPr>
                <w:rFonts w:ascii="Calibri" w:eastAsia="Times New Roman" w:hAnsi="Calibri" w:cs="Calibri"/>
                <w:b/>
                <w:bCs/>
                <w:color w:val="FFFFFF"/>
                <w:sz w:val="20"/>
                <w:szCs w:val="20"/>
                <w:lang w:eastAsia="sk-SK"/>
              </w:rPr>
              <w:t>Bilancia rozpočtu  vrát. FO</w:t>
            </w:r>
          </w:p>
        </w:tc>
        <w:tc>
          <w:tcPr>
            <w:tcW w:w="2684" w:type="dxa"/>
            <w:tcBorders>
              <w:top w:val="nil"/>
              <w:left w:val="nil"/>
              <w:bottom w:val="single" w:sz="8" w:space="0" w:color="DCE6F1"/>
              <w:right w:val="nil"/>
            </w:tcBorders>
            <w:shd w:val="clear" w:color="000000" w:fill="366092"/>
            <w:noWrap/>
            <w:vAlign w:val="center"/>
            <w:hideMark/>
          </w:tcPr>
          <w:p w14:paraId="3BBC7246" w14:textId="77777777" w:rsidR="00A60DCB" w:rsidRPr="00A60DCB" w:rsidRDefault="00A60DCB" w:rsidP="00A60DCB">
            <w:pPr>
              <w:spacing w:after="0" w:line="240" w:lineRule="auto"/>
              <w:jc w:val="right"/>
              <w:rPr>
                <w:rFonts w:ascii="Calibri" w:eastAsia="Times New Roman" w:hAnsi="Calibri" w:cs="Calibri"/>
                <w:b/>
                <w:bCs/>
                <w:color w:val="FFFFFF"/>
                <w:sz w:val="20"/>
                <w:szCs w:val="20"/>
                <w:lang w:eastAsia="sk-SK"/>
              </w:rPr>
            </w:pPr>
            <w:r w:rsidRPr="00A60DCB">
              <w:rPr>
                <w:rFonts w:ascii="Calibri" w:eastAsia="Times New Roman" w:hAnsi="Calibri" w:cs="Calibri"/>
                <w:b/>
                <w:bCs/>
                <w:color w:val="FFFFFF"/>
                <w:sz w:val="20"/>
                <w:szCs w:val="20"/>
                <w:lang w:eastAsia="sk-SK"/>
              </w:rPr>
              <w:t>0</w:t>
            </w:r>
          </w:p>
        </w:tc>
        <w:tc>
          <w:tcPr>
            <w:tcW w:w="2291" w:type="dxa"/>
            <w:tcBorders>
              <w:top w:val="nil"/>
              <w:left w:val="nil"/>
              <w:bottom w:val="single" w:sz="8" w:space="0" w:color="DCE6F1"/>
              <w:right w:val="nil"/>
            </w:tcBorders>
            <w:shd w:val="clear" w:color="000000" w:fill="366092"/>
            <w:noWrap/>
            <w:vAlign w:val="center"/>
            <w:hideMark/>
          </w:tcPr>
          <w:p w14:paraId="4778B2F5" w14:textId="77777777" w:rsidR="00A60DCB" w:rsidRPr="00A60DCB" w:rsidRDefault="00A60DCB" w:rsidP="00A60DCB">
            <w:pPr>
              <w:spacing w:after="0" w:line="240" w:lineRule="auto"/>
              <w:jc w:val="right"/>
              <w:rPr>
                <w:rFonts w:ascii="Calibri" w:eastAsia="Times New Roman" w:hAnsi="Calibri" w:cs="Calibri"/>
                <w:b/>
                <w:bCs/>
                <w:color w:val="FFFFFF"/>
                <w:sz w:val="20"/>
                <w:szCs w:val="20"/>
                <w:lang w:eastAsia="sk-SK"/>
              </w:rPr>
            </w:pPr>
            <w:r w:rsidRPr="00A60DCB">
              <w:rPr>
                <w:rFonts w:ascii="Calibri" w:eastAsia="Times New Roman" w:hAnsi="Calibri" w:cs="Calibri"/>
                <w:b/>
                <w:bCs/>
                <w:color w:val="FFFFFF"/>
                <w:sz w:val="20"/>
                <w:szCs w:val="20"/>
                <w:lang w:eastAsia="sk-SK"/>
              </w:rPr>
              <w:t>0</w:t>
            </w:r>
          </w:p>
        </w:tc>
        <w:tc>
          <w:tcPr>
            <w:tcW w:w="1686" w:type="dxa"/>
            <w:tcBorders>
              <w:top w:val="nil"/>
              <w:left w:val="nil"/>
              <w:bottom w:val="single" w:sz="8" w:space="0" w:color="DCE6F1"/>
              <w:right w:val="nil"/>
            </w:tcBorders>
            <w:shd w:val="clear" w:color="000000" w:fill="366092"/>
            <w:noWrap/>
            <w:vAlign w:val="center"/>
            <w:hideMark/>
          </w:tcPr>
          <w:p w14:paraId="7C763E70" w14:textId="77777777" w:rsidR="00A60DCB" w:rsidRPr="00A60DCB" w:rsidRDefault="00A60DCB" w:rsidP="00A60DCB">
            <w:pPr>
              <w:spacing w:after="0" w:line="240" w:lineRule="auto"/>
              <w:jc w:val="right"/>
              <w:rPr>
                <w:rFonts w:ascii="Calibri" w:eastAsia="Times New Roman" w:hAnsi="Calibri" w:cs="Calibri"/>
                <w:b/>
                <w:bCs/>
                <w:color w:val="FFFFFF"/>
                <w:sz w:val="20"/>
                <w:szCs w:val="20"/>
                <w:lang w:eastAsia="sk-SK"/>
              </w:rPr>
            </w:pPr>
            <w:r w:rsidRPr="00A60DCB">
              <w:rPr>
                <w:rFonts w:ascii="Calibri" w:eastAsia="Times New Roman" w:hAnsi="Calibri" w:cs="Calibri"/>
                <w:b/>
                <w:bCs/>
                <w:color w:val="FFFFFF"/>
                <w:sz w:val="20"/>
                <w:szCs w:val="20"/>
                <w:lang w:eastAsia="sk-SK"/>
              </w:rPr>
              <w:t>0</w:t>
            </w:r>
          </w:p>
        </w:tc>
        <w:tc>
          <w:tcPr>
            <w:tcW w:w="1322" w:type="dxa"/>
            <w:tcBorders>
              <w:top w:val="nil"/>
              <w:left w:val="nil"/>
              <w:bottom w:val="single" w:sz="8" w:space="0" w:color="DCE6F1"/>
              <w:right w:val="nil"/>
            </w:tcBorders>
            <w:shd w:val="clear" w:color="000000" w:fill="366092"/>
            <w:noWrap/>
            <w:vAlign w:val="center"/>
            <w:hideMark/>
          </w:tcPr>
          <w:p w14:paraId="5F463BEE" w14:textId="77777777" w:rsidR="00A60DCB" w:rsidRPr="00A60DCB" w:rsidRDefault="00A60DCB" w:rsidP="00A60DCB">
            <w:pPr>
              <w:spacing w:after="0" w:line="240" w:lineRule="auto"/>
              <w:jc w:val="right"/>
              <w:rPr>
                <w:rFonts w:ascii="Calibri" w:eastAsia="Times New Roman" w:hAnsi="Calibri" w:cs="Calibri"/>
                <w:b/>
                <w:bCs/>
                <w:color w:val="FFFFFF"/>
                <w:sz w:val="20"/>
                <w:szCs w:val="20"/>
                <w:lang w:eastAsia="sk-SK"/>
              </w:rPr>
            </w:pPr>
            <w:r w:rsidRPr="00A60DCB">
              <w:rPr>
                <w:rFonts w:ascii="Calibri" w:eastAsia="Times New Roman" w:hAnsi="Calibri" w:cs="Calibri"/>
                <w:b/>
                <w:bCs/>
                <w:color w:val="FFFFFF"/>
                <w:sz w:val="20"/>
                <w:szCs w:val="20"/>
                <w:lang w:eastAsia="sk-SK"/>
              </w:rPr>
              <w:t>0</w:t>
            </w:r>
          </w:p>
        </w:tc>
      </w:tr>
    </w:tbl>
    <w:p w14:paraId="5EA90AD7" w14:textId="77777777" w:rsidR="004C628F" w:rsidRDefault="004C628F" w:rsidP="006876D7">
      <w:pPr>
        <w:spacing w:after="0"/>
        <w:jc w:val="both"/>
        <w:rPr>
          <w:rFonts w:cstheme="minorHAnsi"/>
          <w:sz w:val="24"/>
          <w:szCs w:val="24"/>
        </w:rPr>
      </w:pPr>
    </w:p>
    <w:p w14:paraId="44E7A52B" w14:textId="77777777" w:rsidR="00AC24B5" w:rsidRDefault="00AC24B5" w:rsidP="006876D7">
      <w:pPr>
        <w:spacing w:after="0"/>
        <w:jc w:val="both"/>
        <w:rPr>
          <w:rFonts w:cstheme="minorHAnsi"/>
          <w:sz w:val="24"/>
          <w:szCs w:val="24"/>
        </w:rPr>
      </w:pPr>
    </w:p>
    <w:p w14:paraId="636629D2" w14:textId="77777777" w:rsidR="00C8280C" w:rsidRPr="00C61F34" w:rsidRDefault="00C8280C" w:rsidP="00C8280C">
      <w:pPr>
        <w:pStyle w:val="Odsekzoznamu"/>
        <w:numPr>
          <w:ilvl w:val="0"/>
          <w:numId w:val="1"/>
        </w:numPr>
        <w:rPr>
          <w:rFonts w:asciiTheme="minorHAnsi" w:hAnsiTheme="minorHAnsi" w:cstheme="minorHAnsi"/>
          <w:b/>
          <w:sz w:val="32"/>
          <w:szCs w:val="32"/>
        </w:rPr>
      </w:pPr>
      <w:r w:rsidRPr="00C61F34">
        <w:rPr>
          <w:rFonts w:asciiTheme="minorHAnsi" w:hAnsiTheme="minorHAnsi" w:cstheme="minorHAnsi"/>
          <w:b/>
          <w:sz w:val="32"/>
          <w:szCs w:val="32"/>
        </w:rPr>
        <w:lastRenderedPageBreak/>
        <w:t>Príjmy a príjmové finančné operácie rozpočtu BSK</w:t>
      </w:r>
    </w:p>
    <w:p w14:paraId="615F38C7" w14:textId="07C17E72" w:rsidR="00C8280C" w:rsidRPr="00714E50" w:rsidRDefault="00C8280C" w:rsidP="00AC24B5">
      <w:pPr>
        <w:spacing w:line="240" w:lineRule="auto"/>
        <w:jc w:val="both"/>
        <w:rPr>
          <w:rFonts w:ascii="Calibri" w:eastAsia="Times New Roman" w:hAnsi="Calibri" w:cs="Calibri"/>
          <w:color w:val="000000"/>
          <w:sz w:val="24"/>
          <w:szCs w:val="24"/>
          <w:lang w:eastAsia="sk-SK"/>
        </w:rPr>
      </w:pPr>
      <w:r w:rsidRPr="00714E50">
        <w:rPr>
          <w:rFonts w:cstheme="minorHAnsi"/>
          <w:b/>
          <w:sz w:val="24"/>
          <w:szCs w:val="24"/>
        </w:rPr>
        <w:t>Príjmy na rok 202</w:t>
      </w:r>
      <w:r w:rsidR="009F752E" w:rsidRPr="00714E50">
        <w:rPr>
          <w:rFonts w:cstheme="minorHAnsi"/>
          <w:b/>
          <w:sz w:val="24"/>
          <w:szCs w:val="24"/>
        </w:rPr>
        <w:t>5</w:t>
      </w:r>
      <w:r w:rsidRPr="00714E50">
        <w:rPr>
          <w:rFonts w:cstheme="minorHAnsi"/>
          <w:b/>
          <w:sz w:val="24"/>
          <w:szCs w:val="24"/>
        </w:rPr>
        <w:t xml:space="preserve"> </w:t>
      </w:r>
      <w:r w:rsidRPr="00714E50">
        <w:rPr>
          <w:rFonts w:cstheme="minorHAnsi"/>
          <w:sz w:val="24"/>
          <w:szCs w:val="24"/>
        </w:rPr>
        <w:t xml:space="preserve">sú plánované v celkovej výške </w:t>
      </w:r>
      <w:r w:rsidR="00440020" w:rsidRPr="00714E50">
        <w:rPr>
          <w:rFonts w:eastAsia="Times New Roman" w:cstheme="minorHAnsi"/>
          <w:b/>
          <w:bCs/>
          <w:color w:val="000000"/>
          <w:sz w:val="24"/>
          <w:szCs w:val="24"/>
          <w:lang w:eastAsia="sk-SK"/>
        </w:rPr>
        <w:t xml:space="preserve">320 544 295 </w:t>
      </w:r>
      <w:r w:rsidRPr="00714E50">
        <w:rPr>
          <w:rFonts w:cstheme="minorHAnsi"/>
          <w:b/>
          <w:sz w:val="24"/>
          <w:szCs w:val="24"/>
        </w:rPr>
        <w:t xml:space="preserve">€, </w:t>
      </w:r>
      <w:r w:rsidRPr="00714E50">
        <w:rPr>
          <w:rFonts w:cstheme="minorHAnsi"/>
          <w:bCs/>
          <w:sz w:val="24"/>
          <w:szCs w:val="24"/>
        </w:rPr>
        <w:t>čo je o</w:t>
      </w:r>
      <w:r w:rsidR="00440020" w:rsidRPr="00714E50">
        <w:rPr>
          <w:rFonts w:cstheme="minorHAnsi"/>
          <w:b/>
          <w:sz w:val="24"/>
          <w:szCs w:val="24"/>
        </w:rPr>
        <w:t> </w:t>
      </w:r>
      <w:r w:rsidR="00440020" w:rsidRPr="00714E50">
        <w:rPr>
          <w:rFonts w:ascii="Calibri" w:eastAsia="Times New Roman" w:hAnsi="Calibri" w:cs="Calibri"/>
          <w:color w:val="000000"/>
          <w:sz w:val="24"/>
          <w:szCs w:val="24"/>
          <w:lang w:eastAsia="sk-SK"/>
        </w:rPr>
        <w:t>19,99</w:t>
      </w:r>
      <w:r w:rsidRPr="00714E50">
        <w:rPr>
          <w:rFonts w:ascii="Calibri" w:eastAsia="Times New Roman" w:hAnsi="Calibri" w:cs="Calibri"/>
          <w:color w:val="000000"/>
          <w:sz w:val="24"/>
          <w:szCs w:val="24"/>
          <w:lang w:eastAsia="sk-SK"/>
        </w:rPr>
        <w:t xml:space="preserve"> mil. € viac oproti SR 202</w:t>
      </w:r>
      <w:r w:rsidR="00D026B9" w:rsidRPr="00714E50">
        <w:rPr>
          <w:rFonts w:ascii="Calibri" w:eastAsia="Times New Roman" w:hAnsi="Calibri" w:cs="Calibri"/>
          <w:color w:val="000000"/>
          <w:sz w:val="24"/>
          <w:szCs w:val="24"/>
          <w:lang w:eastAsia="sk-SK"/>
        </w:rPr>
        <w:t>4</w:t>
      </w:r>
      <w:r w:rsidRPr="00714E50">
        <w:rPr>
          <w:rFonts w:ascii="Calibri" w:eastAsia="Times New Roman" w:hAnsi="Calibri" w:cs="Calibri"/>
          <w:color w:val="000000"/>
          <w:sz w:val="24"/>
          <w:szCs w:val="24"/>
          <w:lang w:eastAsia="sk-SK"/>
        </w:rPr>
        <w:t>, t. z. nárast o</w:t>
      </w:r>
      <w:r w:rsidR="00D026B9" w:rsidRPr="00714E50">
        <w:rPr>
          <w:rFonts w:ascii="Calibri" w:eastAsia="Times New Roman" w:hAnsi="Calibri" w:cs="Calibri"/>
          <w:color w:val="000000"/>
          <w:sz w:val="24"/>
          <w:szCs w:val="24"/>
          <w:lang w:eastAsia="sk-SK"/>
        </w:rPr>
        <w:t> 6,65</w:t>
      </w:r>
      <w:r w:rsidRPr="00714E50">
        <w:rPr>
          <w:rFonts w:ascii="Calibri" w:eastAsia="Times New Roman" w:hAnsi="Calibri" w:cs="Calibri"/>
          <w:color w:val="000000"/>
          <w:sz w:val="24"/>
          <w:szCs w:val="24"/>
          <w:lang w:eastAsia="sk-SK"/>
        </w:rPr>
        <w:t xml:space="preserve">%. </w:t>
      </w:r>
      <w:r w:rsidRPr="00714E50">
        <w:rPr>
          <w:rFonts w:cstheme="minorHAnsi"/>
          <w:sz w:val="24"/>
          <w:szCs w:val="24"/>
        </w:rPr>
        <w:t xml:space="preserve">Bežné príjmy vo výške </w:t>
      </w:r>
      <w:r w:rsidR="00D026B9" w:rsidRPr="00714E50">
        <w:rPr>
          <w:rFonts w:ascii="Calibri" w:eastAsia="Times New Roman" w:hAnsi="Calibri" w:cs="Calibri"/>
          <w:color w:val="000000"/>
          <w:sz w:val="24"/>
          <w:szCs w:val="24"/>
          <w:lang w:eastAsia="sk-SK"/>
        </w:rPr>
        <w:t xml:space="preserve">240 483 346 </w:t>
      </w:r>
      <w:r w:rsidRPr="00714E50">
        <w:rPr>
          <w:rFonts w:cstheme="minorHAnsi"/>
          <w:sz w:val="24"/>
          <w:szCs w:val="24"/>
        </w:rPr>
        <w:t>€ (7</w:t>
      </w:r>
      <w:r w:rsidR="008B4417" w:rsidRPr="00714E50">
        <w:rPr>
          <w:rFonts w:cstheme="minorHAnsi"/>
          <w:sz w:val="24"/>
          <w:szCs w:val="24"/>
        </w:rPr>
        <w:t>8,44</w:t>
      </w:r>
      <w:r w:rsidRPr="00714E50">
        <w:rPr>
          <w:rFonts w:cstheme="minorHAnsi"/>
          <w:sz w:val="24"/>
          <w:szCs w:val="24"/>
        </w:rPr>
        <w:t>% z celkových príjmov, nárast oproti roku 202</w:t>
      </w:r>
      <w:r w:rsidR="00813C82" w:rsidRPr="00714E50">
        <w:rPr>
          <w:rFonts w:cstheme="minorHAnsi"/>
          <w:sz w:val="24"/>
          <w:szCs w:val="24"/>
        </w:rPr>
        <w:t>4</w:t>
      </w:r>
      <w:r w:rsidR="00954B31" w:rsidRPr="00714E50">
        <w:rPr>
          <w:rFonts w:cstheme="minorHAnsi"/>
          <w:sz w:val="24"/>
          <w:szCs w:val="24"/>
        </w:rPr>
        <w:t xml:space="preserve"> </w:t>
      </w:r>
      <w:r w:rsidRPr="00714E50">
        <w:rPr>
          <w:rFonts w:cstheme="minorHAnsi"/>
          <w:sz w:val="24"/>
          <w:szCs w:val="24"/>
        </w:rPr>
        <w:t>o</w:t>
      </w:r>
      <w:r w:rsidR="00813C82" w:rsidRPr="00714E50">
        <w:rPr>
          <w:rFonts w:cstheme="minorHAnsi"/>
          <w:sz w:val="24"/>
          <w:szCs w:val="24"/>
        </w:rPr>
        <w:t> 7,96</w:t>
      </w:r>
      <w:r w:rsidRPr="00714E50">
        <w:rPr>
          <w:rFonts w:cstheme="minorHAnsi"/>
          <w:sz w:val="24"/>
          <w:szCs w:val="24"/>
        </w:rPr>
        <w:t xml:space="preserve">%), kapitálové príjmy vo výške </w:t>
      </w:r>
      <w:r w:rsidR="00E74BC8" w:rsidRPr="00714E50">
        <w:rPr>
          <w:rFonts w:ascii="Calibri" w:eastAsia="Times New Roman" w:hAnsi="Calibri" w:cs="Calibri"/>
          <w:color w:val="000000"/>
          <w:sz w:val="24"/>
          <w:szCs w:val="24"/>
          <w:lang w:eastAsia="sk-SK"/>
        </w:rPr>
        <w:t xml:space="preserve">21 326 797 </w:t>
      </w:r>
      <w:r w:rsidRPr="00714E50">
        <w:rPr>
          <w:rFonts w:cstheme="minorHAnsi"/>
          <w:sz w:val="24"/>
          <w:szCs w:val="24"/>
        </w:rPr>
        <w:t>€ (</w:t>
      </w:r>
      <w:r w:rsidR="00813C82" w:rsidRPr="00714E50">
        <w:rPr>
          <w:rFonts w:cstheme="minorHAnsi"/>
          <w:sz w:val="24"/>
          <w:szCs w:val="24"/>
        </w:rPr>
        <w:t>6,67</w:t>
      </w:r>
      <w:r w:rsidRPr="00714E50">
        <w:rPr>
          <w:rFonts w:cstheme="minorHAnsi"/>
          <w:sz w:val="24"/>
          <w:szCs w:val="24"/>
        </w:rPr>
        <w:t xml:space="preserve">% z celkových príjmov, </w:t>
      </w:r>
      <w:r w:rsidR="00D13E87" w:rsidRPr="00714E50">
        <w:rPr>
          <w:rFonts w:cstheme="minorHAnsi"/>
          <w:sz w:val="24"/>
          <w:szCs w:val="24"/>
        </w:rPr>
        <w:t>nárast</w:t>
      </w:r>
      <w:r w:rsidRPr="00714E50">
        <w:rPr>
          <w:rFonts w:cstheme="minorHAnsi"/>
          <w:sz w:val="24"/>
          <w:szCs w:val="24"/>
        </w:rPr>
        <w:t xml:space="preserve"> oproti roku 202</w:t>
      </w:r>
      <w:r w:rsidR="00813C82" w:rsidRPr="00714E50">
        <w:rPr>
          <w:rFonts w:cstheme="minorHAnsi"/>
          <w:sz w:val="24"/>
          <w:szCs w:val="24"/>
        </w:rPr>
        <w:t>4</w:t>
      </w:r>
      <w:r w:rsidRPr="00714E50">
        <w:rPr>
          <w:rFonts w:cstheme="minorHAnsi"/>
          <w:sz w:val="24"/>
          <w:szCs w:val="24"/>
        </w:rPr>
        <w:t xml:space="preserve"> o</w:t>
      </w:r>
      <w:r w:rsidR="00D13E87" w:rsidRPr="00714E50">
        <w:rPr>
          <w:rFonts w:cstheme="minorHAnsi"/>
          <w:sz w:val="24"/>
          <w:szCs w:val="24"/>
        </w:rPr>
        <w:t> 98,87</w:t>
      </w:r>
      <w:r w:rsidRPr="00714E50">
        <w:rPr>
          <w:rFonts w:cstheme="minorHAnsi"/>
          <w:sz w:val="24"/>
          <w:szCs w:val="24"/>
        </w:rPr>
        <w:t xml:space="preserve">%) a príjmy z finančných operácii vo výške </w:t>
      </w:r>
      <w:r w:rsidR="006413C3" w:rsidRPr="00714E50">
        <w:rPr>
          <w:rFonts w:ascii="Calibri" w:eastAsia="Times New Roman" w:hAnsi="Calibri" w:cs="Calibri"/>
          <w:color w:val="000000"/>
          <w:sz w:val="24"/>
          <w:szCs w:val="24"/>
          <w:lang w:eastAsia="sk-SK"/>
        </w:rPr>
        <w:t xml:space="preserve">47 777 674 </w:t>
      </w:r>
      <w:r w:rsidRPr="00714E50">
        <w:rPr>
          <w:rFonts w:cstheme="minorHAnsi"/>
          <w:sz w:val="24"/>
          <w:szCs w:val="24"/>
        </w:rPr>
        <w:t>€ (</w:t>
      </w:r>
      <w:r w:rsidR="006413C3" w:rsidRPr="00714E50">
        <w:rPr>
          <w:rFonts w:cstheme="minorHAnsi"/>
          <w:sz w:val="24"/>
          <w:szCs w:val="24"/>
        </w:rPr>
        <w:t>14,91</w:t>
      </w:r>
      <w:r w:rsidRPr="00714E50">
        <w:rPr>
          <w:rFonts w:cstheme="minorHAnsi"/>
          <w:sz w:val="24"/>
          <w:szCs w:val="24"/>
        </w:rPr>
        <w:t xml:space="preserve"> % z celkových príjmov, </w:t>
      </w:r>
      <w:r w:rsidR="006413C3" w:rsidRPr="00714E50">
        <w:rPr>
          <w:rFonts w:cstheme="minorHAnsi"/>
          <w:sz w:val="24"/>
          <w:szCs w:val="24"/>
        </w:rPr>
        <w:t>pokles</w:t>
      </w:r>
      <w:r w:rsidR="00E41562" w:rsidRPr="00714E50">
        <w:rPr>
          <w:rFonts w:cstheme="minorHAnsi"/>
          <w:sz w:val="24"/>
          <w:szCs w:val="24"/>
        </w:rPr>
        <w:t xml:space="preserve"> oproti roku 202</w:t>
      </w:r>
      <w:r w:rsidR="006413C3" w:rsidRPr="00714E50">
        <w:rPr>
          <w:rFonts w:cstheme="minorHAnsi"/>
          <w:sz w:val="24"/>
          <w:szCs w:val="24"/>
        </w:rPr>
        <w:t>4</w:t>
      </w:r>
      <w:r w:rsidR="00E41562" w:rsidRPr="00714E50">
        <w:rPr>
          <w:rFonts w:cstheme="minorHAnsi"/>
          <w:sz w:val="24"/>
          <w:szCs w:val="24"/>
        </w:rPr>
        <w:t xml:space="preserve"> o</w:t>
      </w:r>
      <w:r w:rsidR="00276612" w:rsidRPr="00714E50">
        <w:rPr>
          <w:rFonts w:cstheme="minorHAnsi"/>
          <w:sz w:val="24"/>
          <w:szCs w:val="24"/>
        </w:rPr>
        <w:t> </w:t>
      </w:r>
      <w:r w:rsidR="006D641C" w:rsidRPr="00714E50">
        <w:rPr>
          <w:rFonts w:cstheme="minorHAnsi"/>
          <w:sz w:val="24"/>
          <w:szCs w:val="24"/>
        </w:rPr>
        <w:t>1</w:t>
      </w:r>
      <w:r w:rsidR="00CA6D65" w:rsidRPr="00714E50">
        <w:rPr>
          <w:rFonts w:cstheme="minorHAnsi"/>
          <w:sz w:val="24"/>
          <w:szCs w:val="24"/>
        </w:rPr>
        <w:t>6</w:t>
      </w:r>
      <w:r w:rsidR="00276612" w:rsidRPr="00714E50">
        <w:rPr>
          <w:rFonts w:cstheme="minorHAnsi"/>
          <w:sz w:val="24"/>
          <w:szCs w:val="24"/>
        </w:rPr>
        <w:t>,</w:t>
      </w:r>
      <w:r w:rsidR="00CA6D65" w:rsidRPr="00714E50">
        <w:rPr>
          <w:rFonts w:cstheme="minorHAnsi"/>
          <w:sz w:val="24"/>
          <w:szCs w:val="24"/>
        </w:rPr>
        <w:t>08</w:t>
      </w:r>
      <w:r w:rsidR="00E41562" w:rsidRPr="00714E50">
        <w:rPr>
          <w:rFonts w:cstheme="minorHAnsi"/>
          <w:sz w:val="24"/>
          <w:szCs w:val="24"/>
        </w:rPr>
        <w:t>%)</w:t>
      </w:r>
      <w:r w:rsidRPr="00714E50">
        <w:rPr>
          <w:rFonts w:cstheme="minorHAnsi"/>
          <w:sz w:val="24"/>
          <w:szCs w:val="24"/>
        </w:rPr>
        <w:t>.</w:t>
      </w:r>
    </w:p>
    <w:p w14:paraId="1D1212D2" w14:textId="2659C5C5" w:rsidR="00C8280C" w:rsidRDefault="00C8280C" w:rsidP="00AC24B5">
      <w:pPr>
        <w:spacing w:line="240" w:lineRule="auto"/>
        <w:jc w:val="both"/>
        <w:rPr>
          <w:rFonts w:cstheme="minorHAnsi"/>
          <w:sz w:val="24"/>
          <w:szCs w:val="24"/>
        </w:rPr>
      </w:pPr>
      <w:r w:rsidRPr="005702D8">
        <w:rPr>
          <w:rFonts w:cstheme="minorHAnsi"/>
          <w:sz w:val="24"/>
        </w:rPr>
        <w:t xml:space="preserve">Predpoklad vývoja príjmov BSK </w:t>
      </w:r>
      <w:r w:rsidRPr="005702D8">
        <w:rPr>
          <w:rFonts w:cstheme="minorHAnsi"/>
          <w:sz w:val="24"/>
          <w:szCs w:val="24"/>
        </w:rPr>
        <w:t>v rokoch 20</w:t>
      </w:r>
      <w:r>
        <w:rPr>
          <w:rFonts w:cstheme="minorHAnsi"/>
          <w:sz w:val="24"/>
          <w:szCs w:val="24"/>
        </w:rPr>
        <w:t>2</w:t>
      </w:r>
      <w:r w:rsidR="00CA5FA5">
        <w:rPr>
          <w:rFonts w:cstheme="minorHAnsi"/>
          <w:sz w:val="24"/>
          <w:szCs w:val="24"/>
        </w:rPr>
        <w:t>5</w:t>
      </w:r>
      <w:r w:rsidRPr="005702D8">
        <w:rPr>
          <w:rFonts w:cstheme="minorHAnsi"/>
          <w:sz w:val="24"/>
          <w:szCs w:val="24"/>
        </w:rPr>
        <w:t xml:space="preserve"> až 202</w:t>
      </w:r>
      <w:r w:rsidR="00CA5FA5">
        <w:rPr>
          <w:rFonts w:cstheme="minorHAnsi"/>
          <w:sz w:val="24"/>
          <w:szCs w:val="24"/>
        </w:rPr>
        <w:t>7</w:t>
      </w:r>
      <w:r w:rsidRPr="005702D8">
        <w:rPr>
          <w:rFonts w:cstheme="minorHAnsi"/>
          <w:sz w:val="24"/>
          <w:szCs w:val="24"/>
        </w:rPr>
        <w:t xml:space="preserve"> v porovnaní s očakávanou skutočnosťou v roku 20</w:t>
      </w:r>
      <w:r>
        <w:rPr>
          <w:rFonts w:cstheme="minorHAnsi"/>
          <w:sz w:val="24"/>
          <w:szCs w:val="24"/>
        </w:rPr>
        <w:t>2</w:t>
      </w:r>
      <w:r w:rsidR="00CA5FA5">
        <w:rPr>
          <w:rFonts w:cstheme="minorHAnsi"/>
          <w:sz w:val="24"/>
          <w:szCs w:val="24"/>
        </w:rPr>
        <w:t>4</w:t>
      </w:r>
      <w:r w:rsidRPr="005702D8">
        <w:rPr>
          <w:rFonts w:cstheme="minorHAnsi"/>
          <w:sz w:val="24"/>
          <w:szCs w:val="24"/>
        </w:rPr>
        <w:t xml:space="preserve"> a skutočnosťou za roky 20</w:t>
      </w:r>
      <w:r w:rsidR="00D942DC">
        <w:rPr>
          <w:rFonts w:cstheme="minorHAnsi"/>
          <w:sz w:val="24"/>
          <w:szCs w:val="24"/>
        </w:rPr>
        <w:t>2</w:t>
      </w:r>
      <w:r w:rsidR="00CA5FA5">
        <w:rPr>
          <w:rFonts w:cstheme="minorHAnsi"/>
          <w:sz w:val="24"/>
          <w:szCs w:val="24"/>
        </w:rPr>
        <w:t>2</w:t>
      </w:r>
      <w:r w:rsidRPr="005702D8">
        <w:rPr>
          <w:rFonts w:cstheme="minorHAnsi"/>
          <w:sz w:val="24"/>
          <w:szCs w:val="24"/>
        </w:rPr>
        <w:t xml:space="preserve"> a 20</w:t>
      </w:r>
      <w:r>
        <w:rPr>
          <w:rFonts w:cstheme="minorHAnsi"/>
          <w:sz w:val="24"/>
          <w:szCs w:val="24"/>
        </w:rPr>
        <w:t>2</w:t>
      </w:r>
      <w:r w:rsidR="00CA5FA5">
        <w:rPr>
          <w:rFonts w:cstheme="minorHAnsi"/>
          <w:sz w:val="24"/>
          <w:szCs w:val="24"/>
        </w:rPr>
        <w:t>3</w:t>
      </w:r>
      <w:r w:rsidRPr="005702D8">
        <w:rPr>
          <w:rFonts w:cstheme="minorHAnsi"/>
          <w:sz w:val="24"/>
          <w:szCs w:val="24"/>
        </w:rPr>
        <w:t xml:space="preserve"> je nasledovný:</w:t>
      </w:r>
    </w:p>
    <w:tbl>
      <w:tblPr>
        <w:tblW w:w="10780" w:type="dxa"/>
        <w:tblCellMar>
          <w:left w:w="70" w:type="dxa"/>
          <w:right w:w="70" w:type="dxa"/>
        </w:tblCellMar>
        <w:tblLook w:val="04A0" w:firstRow="1" w:lastRow="0" w:firstColumn="1" w:lastColumn="0" w:noHBand="0" w:noVBand="1"/>
      </w:tblPr>
      <w:tblGrid>
        <w:gridCol w:w="2800"/>
        <w:gridCol w:w="1140"/>
        <w:gridCol w:w="1140"/>
        <w:gridCol w:w="1140"/>
        <w:gridCol w:w="1140"/>
        <w:gridCol w:w="1140"/>
        <w:gridCol w:w="1140"/>
        <w:gridCol w:w="1140"/>
      </w:tblGrid>
      <w:tr w:rsidR="009C5D4C" w:rsidRPr="009C5D4C" w14:paraId="3F448379" w14:textId="77777777" w:rsidTr="009C5D4C">
        <w:trPr>
          <w:trHeight w:val="315"/>
        </w:trPr>
        <w:tc>
          <w:tcPr>
            <w:tcW w:w="2800" w:type="dxa"/>
            <w:tcBorders>
              <w:top w:val="single" w:sz="8" w:space="0" w:color="366092"/>
              <w:left w:val="nil"/>
              <w:bottom w:val="single" w:sz="8" w:space="0" w:color="F2F2F2"/>
              <w:right w:val="nil"/>
            </w:tcBorders>
            <w:shd w:val="clear" w:color="000000" w:fill="366092"/>
            <w:noWrap/>
            <w:vAlign w:val="center"/>
            <w:hideMark/>
          </w:tcPr>
          <w:p w14:paraId="522BAFA5" w14:textId="77777777" w:rsidR="009C5D4C" w:rsidRPr="009C5D4C" w:rsidRDefault="009C5D4C" w:rsidP="009C5D4C">
            <w:pPr>
              <w:spacing w:after="0" w:line="240" w:lineRule="auto"/>
              <w:rPr>
                <w:rFonts w:ascii="Calibri" w:eastAsia="Times New Roman" w:hAnsi="Calibri" w:cs="Calibri"/>
                <w:b/>
                <w:bCs/>
                <w:color w:val="FFFFFF"/>
                <w:sz w:val="18"/>
                <w:szCs w:val="18"/>
                <w:lang w:eastAsia="sk-SK"/>
              </w:rPr>
            </w:pPr>
            <w:r w:rsidRPr="009C5D4C">
              <w:rPr>
                <w:rFonts w:ascii="Calibri" w:eastAsia="Times New Roman" w:hAnsi="Calibri" w:cs="Calibri"/>
                <w:b/>
                <w:bCs/>
                <w:color w:val="FFFFFF"/>
                <w:sz w:val="18"/>
                <w:szCs w:val="18"/>
                <w:lang w:eastAsia="sk-SK"/>
              </w:rPr>
              <w:t>Ukazovateľ</w:t>
            </w:r>
          </w:p>
        </w:tc>
        <w:tc>
          <w:tcPr>
            <w:tcW w:w="1140" w:type="dxa"/>
            <w:tcBorders>
              <w:top w:val="nil"/>
              <w:left w:val="nil"/>
              <w:bottom w:val="single" w:sz="8" w:space="0" w:color="F2F2F2"/>
              <w:right w:val="nil"/>
            </w:tcBorders>
            <w:shd w:val="clear" w:color="000000" w:fill="366092"/>
            <w:noWrap/>
            <w:vAlign w:val="center"/>
            <w:hideMark/>
          </w:tcPr>
          <w:p w14:paraId="70FE28E0" w14:textId="77777777" w:rsidR="009C5D4C" w:rsidRPr="009C5D4C" w:rsidRDefault="009C5D4C" w:rsidP="00D57D41">
            <w:pPr>
              <w:spacing w:after="0" w:line="240" w:lineRule="auto"/>
              <w:jc w:val="center"/>
              <w:rPr>
                <w:rFonts w:ascii="Calibri" w:eastAsia="Times New Roman" w:hAnsi="Calibri" w:cs="Calibri"/>
                <w:b/>
                <w:bCs/>
                <w:color w:val="FFFFFF"/>
                <w:sz w:val="18"/>
                <w:szCs w:val="18"/>
                <w:lang w:eastAsia="sk-SK"/>
              </w:rPr>
            </w:pPr>
            <w:r w:rsidRPr="009C5D4C">
              <w:rPr>
                <w:rFonts w:ascii="Calibri" w:eastAsia="Times New Roman" w:hAnsi="Calibri" w:cs="Calibri"/>
                <w:b/>
                <w:bCs/>
                <w:color w:val="FFFFFF"/>
                <w:sz w:val="18"/>
                <w:szCs w:val="18"/>
                <w:lang w:eastAsia="sk-SK"/>
              </w:rPr>
              <w:t>2022 (S)</w:t>
            </w:r>
          </w:p>
        </w:tc>
        <w:tc>
          <w:tcPr>
            <w:tcW w:w="1140" w:type="dxa"/>
            <w:tcBorders>
              <w:top w:val="nil"/>
              <w:left w:val="nil"/>
              <w:bottom w:val="single" w:sz="8" w:space="0" w:color="F2F2F2"/>
              <w:right w:val="nil"/>
            </w:tcBorders>
            <w:shd w:val="clear" w:color="000000" w:fill="366092"/>
            <w:noWrap/>
            <w:vAlign w:val="center"/>
            <w:hideMark/>
          </w:tcPr>
          <w:p w14:paraId="617314B5" w14:textId="77777777" w:rsidR="009C5D4C" w:rsidRPr="009C5D4C" w:rsidRDefault="009C5D4C" w:rsidP="00D57D41">
            <w:pPr>
              <w:spacing w:after="0" w:line="240" w:lineRule="auto"/>
              <w:jc w:val="center"/>
              <w:rPr>
                <w:rFonts w:ascii="Calibri" w:eastAsia="Times New Roman" w:hAnsi="Calibri" w:cs="Calibri"/>
                <w:b/>
                <w:bCs/>
                <w:color w:val="FFFFFF"/>
                <w:sz w:val="18"/>
                <w:szCs w:val="18"/>
                <w:lang w:eastAsia="sk-SK"/>
              </w:rPr>
            </w:pPr>
            <w:r w:rsidRPr="009C5D4C">
              <w:rPr>
                <w:rFonts w:ascii="Calibri" w:eastAsia="Times New Roman" w:hAnsi="Calibri" w:cs="Calibri"/>
                <w:b/>
                <w:bCs/>
                <w:color w:val="FFFFFF"/>
                <w:sz w:val="18"/>
                <w:szCs w:val="18"/>
                <w:lang w:eastAsia="sk-SK"/>
              </w:rPr>
              <w:t>2023 (S)</w:t>
            </w:r>
          </w:p>
        </w:tc>
        <w:tc>
          <w:tcPr>
            <w:tcW w:w="1140" w:type="dxa"/>
            <w:tcBorders>
              <w:top w:val="nil"/>
              <w:left w:val="nil"/>
              <w:bottom w:val="single" w:sz="8" w:space="0" w:color="F2F2F2"/>
              <w:right w:val="nil"/>
            </w:tcBorders>
            <w:shd w:val="clear" w:color="000000" w:fill="366092"/>
            <w:noWrap/>
            <w:vAlign w:val="center"/>
            <w:hideMark/>
          </w:tcPr>
          <w:p w14:paraId="16EE3CFF" w14:textId="77777777" w:rsidR="009C5D4C" w:rsidRPr="009C5D4C" w:rsidRDefault="009C5D4C" w:rsidP="00D57D41">
            <w:pPr>
              <w:spacing w:after="0" w:line="240" w:lineRule="auto"/>
              <w:jc w:val="center"/>
              <w:rPr>
                <w:rFonts w:ascii="Calibri" w:eastAsia="Times New Roman" w:hAnsi="Calibri" w:cs="Calibri"/>
                <w:b/>
                <w:bCs/>
                <w:color w:val="FFFFFF"/>
                <w:sz w:val="18"/>
                <w:szCs w:val="18"/>
                <w:lang w:eastAsia="sk-SK"/>
              </w:rPr>
            </w:pPr>
            <w:r w:rsidRPr="009C5D4C">
              <w:rPr>
                <w:rFonts w:ascii="Calibri" w:eastAsia="Times New Roman" w:hAnsi="Calibri" w:cs="Calibri"/>
                <w:b/>
                <w:bCs/>
                <w:color w:val="FFFFFF"/>
                <w:sz w:val="18"/>
                <w:szCs w:val="18"/>
                <w:lang w:eastAsia="sk-SK"/>
              </w:rPr>
              <w:t>2024 (SR)</w:t>
            </w:r>
          </w:p>
        </w:tc>
        <w:tc>
          <w:tcPr>
            <w:tcW w:w="1140" w:type="dxa"/>
            <w:tcBorders>
              <w:top w:val="nil"/>
              <w:left w:val="nil"/>
              <w:bottom w:val="single" w:sz="8" w:space="0" w:color="F2F2F2"/>
              <w:right w:val="nil"/>
            </w:tcBorders>
            <w:shd w:val="clear" w:color="000000" w:fill="366092"/>
            <w:noWrap/>
            <w:vAlign w:val="center"/>
            <w:hideMark/>
          </w:tcPr>
          <w:p w14:paraId="4CA6C2ED" w14:textId="77777777" w:rsidR="009C5D4C" w:rsidRPr="009C5D4C" w:rsidRDefault="009C5D4C" w:rsidP="00D57D41">
            <w:pPr>
              <w:spacing w:after="0" w:line="240" w:lineRule="auto"/>
              <w:jc w:val="center"/>
              <w:rPr>
                <w:rFonts w:ascii="Calibri" w:eastAsia="Times New Roman" w:hAnsi="Calibri" w:cs="Calibri"/>
                <w:b/>
                <w:bCs/>
                <w:color w:val="FFFFFF"/>
                <w:sz w:val="18"/>
                <w:szCs w:val="18"/>
                <w:lang w:eastAsia="sk-SK"/>
              </w:rPr>
            </w:pPr>
            <w:r w:rsidRPr="009C5D4C">
              <w:rPr>
                <w:rFonts w:ascii="Calibri" w:eastAsia="Times New Roman" w:hAnsi="Calibri" w:cs="Calibri"/>
                <w:b/>
                <w:bCs/>
                <w:color w:val="FFFFFF"/>
                <w:sz w:val="18"/>
                <w:szCs w:val="18"/>
                <w:lang w:eastAsia="sk-SK"/>
              </w:rPr>
              <w:t>2024 (OS)</w:t>
            </w:r>
          </w:p>
        </w:tc>
        <w:tc>
          <w:tcPr>
            <w:tcW w:w="1140" w:type="dxa"/>
            <w:tcBorders>
              <w:top w:val="nil"/>
              <w:left w:val="nil"/>
              <w:bottom w:val="single" w:sz="8" w:space="0" w:color="F2F2F2"/>
              <w:right w:val="nil"/>
            </w:tcBorders>
            <w:shd w:val="clear" w:color="000000" w:fill="366092"/>
            <w:noWrap/>
            <w:vAlign w:val="center"/>
            <w:hideMark/>
          </w:tcPr>
          <w:p w14:paraId="3490D218" w14:textId="77777777" w:rsidR="009C5D4C" w:rsidRPr="009C5D4C" w:rsidRDefault="009C5D4C" w:rsidP="00D57D41">
            <w:pPr>
              <w:spacing w:after="0" w:line="240" w:lineRule="auto"/>
              <w:jc w:val="center"/>
              <w:rPr>
                <w:rFonts w:ascii="Calibri" w:eastAsia="Times New Roman" w:hAnsi="Calibri" w:cs="Calibri"/>
                <w:b/>
                <w:bCs/>
                <w:color w:val="FFFFFF"/>
                <w:sz w:val="18"/>
                <w:szCs w:val="18"/>
                <w:lang w:eastAsia="sk-SK"/>
              </w:rPr>
            </w:pPr>
            <w:r w:rsidRPr="009C5D4C">
              <w:rPr>
                <w:rFonts w:ascii="Calibri" w:eastAsia="Times New Roman" w:hAnsi="Calibri" w:cs="Calibri"/>
                <w:b/>
                <w:bCs/>
                <w:color w:val="FFFFFF"/>
                <w:sz w:val="18"/>
                <w:szCs w:val="18"/>
                <w:lang w:eastAsia="sk-SK"/>
              </w:rPr>
              <w:t>2025 (N)</w:t>
            </w:r>
          </w:p>
        </w:tc>
        <w:tc>
          <w:tcPr>
            <w:tcW w:w="1140" w:type="dxa"/>
            <w:tcBorders>
              <w:top w:val="nil"/>
              <w:left w:val="nil"/>
              <w:bottom w:val="single" w:sz="8" w:space="0" w:color="F2F2F2"/>
              <w:right w:val="nil"/>
            </w:tcBorders>
            <w:shd w:val="clear" w:color="000000" w:fill="366092"/>
            <w:noWrap/>
            <w:vAlign w:val="center"/>
            <w:hideMark/>
          </w:tcPr>
          <w:p w14:paraId="32D8ADF3" w14:textId="77777777" w:rsidR="009C5D4C" w:rsidRPr="009C5D4C" w:rsidRDefault="009C5D4C" w:rsidP="00D57D41">
            <w:pPr>
              <w:spacing w:after="0" w:line="240" w:lineRule="auto"/>
              <w:jc w:val="center"/>
              <w:rPr>
                <w:rFonts w:ascii="Calibri" w:eastAsia="Times New Roman" w:hAnsi="Calibri" w:cs="Calibri"/>
                <w:b/>
                <w:bCs/>
                <w:color w:val="FFFFFF"/>
                <w:sz w:val="18"/>
                <w:szCs w:val="18"/>
                <w:lang w:eastAsia="sk-SK"/>
              </w:rPr>
            </w:pPr>
            <w:r w:rsidRPr="009C5D4C">
              <w:rPr>
                <w:rFonts w:ascii="Calibri" w:eastAsia="Times New Roman" w:hAnsi="Calibri" w:cs="Calibri"/>
                <w:b/>
                <w:bCs/>
                <w:color w:val="FFFFFF"/>
                <w:sz w:val="18"/>
                <w:szCs w:val="18"/>
                <w:lang w:eastAsia="sk-SK"/>
              </w:rPr>
              <w:t>2026 (N)</w:t>
            </w:r>
          </w:p>
        </w:tc>
        <w:tc>
          <w:tcPr>
            <w:tcW w:w="1140" w:type="dxa"/>
            <w:tcBorders>
              <w:top w:val="nil"/>
              <w:left w:val="nil"/>
              <w:bottom w:val="single" w:sz="8" w:space="0" w:color="F2F2F2"/>
              <w:right w:val="nil"/>
            </w:tcBorders>
            <w:shd w:val="clear" w:color="000000" w:fill="366092"/>
            <w:noWrap/>
            <w:vAlign w:val="center"/>
            <w:hideMark/>
          </w:tcPr>
          <w:p w14:paraId="3D9604D7" w14:textId="77777777" w:rsidR="009C5D4C" w:rsidRPr="009C5D4C" w:rsidRDefault="009C5D4C" w:rsidP="00D57D41">
            <w:pPr>
              <w:spacing w:after="0" w:line="240" w:lineRule="auto"/>
              <w:jc w:val="center"/>
              <w:rPr>
                <w:rFonts w:ascii="Calibri" w:eastAsia="Times New Roman" w:hAnsi="Calibri" w:cs="Calibri"/>
                <w:b/>
                <w:bCs/>
                <w:color w:val="FFFFFF"/>
                <w:sz w:val="18"/>
                <w:szCs w:val="18"/>
                <w:lang w:eastAsia="sk-SK"/>
              </w:rPr>
            </w:pPr>
            <w:r w:rsidRPr="009C5D4C">
              <w:rPr>
                <w:rFonts w:ascii="Calibri" w:eastAsia="Times New Roman" w:hAnsi="Calibri" w:cs="Calibri"/>
                <w:b/>
                <w:bCs/>
                <w:color w:val="FFFFFF"/>
                <w:sz w:val="18"/>
                <w:szCs w:val="18"/>
                <w:lang w:eastAsia="sk-SK"/>
              </w:rPr>
              <w:t>2027 (N)</w:t>
            </w:r>
          </w:p>
        </w:tc>
      </w:tr>
      <w:tr w:rsidR="009C5D4C" w:rsidRPr="009C5D4C" w14:paraId="48EDBEE4" w14:textId="77777777" w:rsidTr="009C5D4C">
        <w:trPr>
          <w:trHeight w:val="300"/>
        </w:trPr>
        <w:tc>
          <w:tcPr>
            <w:tcW w:w="2800" w:type="dxa"/>
            <w:tcBorders>
              <w:top w:val="nil"/>
              <w:left w:val="nil"/>
              <w:bottom w:val="nil"/>
              <w:right w:val="nil"/>
            </w:tcBorders>
            <w:shd w:val="clear" w:color="000000" w:fill="DCE6F1"/>
            <w:noWrap/>
            <w:vAlign w:val="center"/>
            <w:hideMark/>
          </w:tcPr>
          <w:p w14:paraId="42748ADB" w14:textId="77777777" w:rsidR="009C5D4C" w:rsidRPr="009C5D4C" w:rsidRDefault="009C5D4C" w:rsidP="009C5D4C">
            <w:pPr>
              <w:spacing w:after="0" w:line="240" w:lineRule="auto"/>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PRÍJMY v EUR</w:t>
            </w:r>
          </w:p>
        </w:tc>
        <w:tc>
          <w:tcPr>
            <w:tcW w:w="1140" w:type="dxa"/>
            <w:tcBorders>
              <w:top w:val="nil"/>
              <w:left w:val="nil"/>
              <w:bottom w:val="nil"/>
              <w:right w:val="nil"/>
            </w:tcBorders>
            <w:shd w:val="clear" w:color="000000" w:fill="DCE6F1"/>
            <w:noWrap/>
            <w:vAlign w:val="center"/>
            <w:hideMark/>
          </w:tcPr>
          <w:p w14:paraId="0BFFBB7E"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251 663 281</w:t>
            </w:r>
          </w:p>
        </w:tc>
        <w:tc>
          <w:tcPr>
            <w:tcW w:w="1140" w:type="dxa"/>
            <w:tcBorders>
              <w:top w:val="nil"/>
              <w:left w:val="nil"/>
              <w:bottom w:val="nil"/>
              <w:right w:val="nil"/>
            </w:tcBorders>
            <w:shd w:val="clear" w:color="000000" w:fill="DCE6F1"/>
            <w:noWrap/>
            <w:vAlign w:val="center"/>
            <w:hideMark/>
          </w:tcPr>
          <w:p w14:paraId="6CC892A2"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311 317 418</w:t>
            </w:r>
          </w:p>
        </w:tc>
        <w:tc>
          <w:tcPr>
            <w:tcW w:w="1140" w:type="dxa"/>
            <w:tcBorders>
              <w:top w:val="nil"/>
              <w:left w:val="nil"/>
              <w:bottom w:val="nil"/>
              <w:right w:val="nil"/>
            </w:tcBorders>
            <w:shd w:val="clear" w:color="000000" w:fill="DCE6F1"/>
            <w:noWrap/>
            <w:vAlign w:val="center"/>
            <w:hideMark/>
          </w:tcPr>
          <w:p w14:paraId="65AE4417"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300 558 006</w:t>
            </w:r>
          </w:p>
        </w:tc>
        <w:tc>
          <w:tcPr>
            <w:tcW w:w="1140" w:type="dxa"/>
            <w:tcBorders>
              <w:top w:val="nil"/>
              <w:left w:val="nil"/>
              <w:bottom w:val="nil"/>
              <w:right w:val="nil"/>
            </w:tcBorders>
            <w:shd w:val="clear" w:color="000000" w:fill="DCE6F1"/>
            <w:noWrap/>
            <w:vAlign w:val="center"/>
            <w:hideMark/>
          </w:tcPr>
          <w:p w14:paraId="69770E47"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282 541 073</w:t>
            </w:r>
          </w:p>
        </w:tc>
        <w:tc>
          <w:tcPr>
            <w:tcW w:w="1140" w:type="dxa"/>
            <w:tcBorders>
              <w:top w:val="nil"/>
              <w:left w:val="nil"/>
              <w:bottom w:val="nil"/>
              <w:right w:val="nil"/>
            </w:tcBorders>
            <w:shd w:val="clear" w:color="000000" w:fill="D9D9D9"/>
            <w:noWrap/>
            <w:vAlign w:val="center"/>
            <w:hideMark/>
          </w:tcPr>
          <w:p w14:paraId="176BB787"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320 544 295</w:t>
            </w:r>
          </w:p>
        </w:tc>
        <w:tc>
          <w:tcPr>
            <w:tcW w:w="1140" w:type="dxa"/>
            <w:tcBorders>
              <w:top w:val="nil"/>
              <w:left w:val="nil"/>
              <w:bottom w:val="nil"/>
              <w:right w:val="nil"/>
            </w:tcBorders>
            <w:shd w:val="clear" w:color="000000" w:fill="DCE6F1"/>
            <w:noWrap/>
            <w:vAlign w:val="center"/>
            <w:hideMark/>
          </w:tcPr>
          <w:p w14:paraId="1A6C6194"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345 485 364</w:t>
            </w:r>
          </w:p>
        </w:tc>
        <w:tc>
          <w:tcPr>
            <w:tcW w:w="1140" w:type="dxa"/>
            <w:tcBorders>
              <w:top w:val="nil"/>
              <w:left w:val="nil"/>
              <w:bottom w:val="nil"/>
              <w:right w:val="nil"/>
            </w:tcBorders>
            <w:shd w:val="clear" w:color="000000" w:fill="DCE6F1"/>
            <w:noWrap/>
            <w:vAlign w:val="center"/>
            <w:hideMark/>
          </w:tcPr>
          <w:p w14:paraId="4AE832B2"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360 454 035</w:t>
            </w:r>
          </w:p>
        </w:tc>
      </w:tr>
      <w:tr w:rsidR="009C5D4C" w:rsidRPr="009C5D4C" w14:paraId="624C2217" w14:textId="77777777" w:rsidTr="009C5D4C">
        <w:trPr>
          <w:trHeight w:val="300"/>
        </w:trPr>
        <w:tc>
          <w:tcPr>
            <w:tcW w:w="2800" w:type="dxa"/>
            <w:tcBorders>
              <w:top w:val="nil"/>
              <w:left w:val="nil"/>
              <w:bottom w:val="nil"/>
              <w:right w:val="nil"/>
            </w:tcBorders>
            <w:shd w:val="clear" w:color="000000" w:fill="8DB4E2"/>
            <w:noWrap/>
            <w:vAlign w:val="center"/>
            <w:hideMark/>
          </w:tcPr>
          <w:p w14:paraId="63C0FDB4" w14:textId="77777777" w:rsidR="009C5D4C" w:rsidRPr="009C5D4C" w:rsidRDefault="009C5D4C" w:rsidP="009C5D4C">
            <w:pPr>
              <w:spacing w:after="0" w:line="240" w:lineRule="auto"/>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BEŽNÉ PRÍJMY</w:t>
            </w:r>
          </w:p>
        </w:tc>
        <w:tc>
          <w:tcPr>
            <w:tcW w:w="1140" w:type="dxa"/>
            <w:tcBorders>
              <w:top w:val="nil"/>
              <w:left w:val="nil"/>
              <w:bottom w:val="nil"/>
              <w:right w:val="nil"/>
            </w:tcBorders>
            <w:shd w:val="clear" w:color="000000" w:fill="8DB4E2"/>
            <w:noWrap/>
            <w:vAlign w:val="center"/>
            <w:hideMark/>
          </w:tcPr>
          <w:p w14:paraId="7DD1CA2A"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208 201 421</w:t>
            </w:r>
          </w:p>
        </w:tc>
        <w:tc>
          <w:tcPr>
            <w:tcW w:w="1140" w:type="dxa"/>
            <w:tcBorders>
              <w:top w:val="nil"/>
              <w:left w:val="nil"/>
              <w:bottom w:val="nil"/>
              <w:right w:val="nil"/>
            </w:tcBorders>
            <w:shd w:val="clear" w:color="000000" w:fill="8DB4E2"/>
            <w:noWrap/>
            <w:vAlign w:val="center"/>
            <w:hideMark/>
          </w:tcPr>
          <w:p w14:paraId="74459D0C"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242 768 414</w:t>
            </w:r>
          </w:p>
        </w:tc>
        <w:tc>
          <w:tcPr>
            <w:tcW w:w="1140" w:type="dxa"/>
            <w:tcBorders>
              <w:top w:val="nil"/>
              <w:left w:val="nil"/>
              <w:bottom w:val="nil"/>
              <w:right w:val="nil"/>
            </w:tcBorders>
            <w:shd w:val="clear" w:color="000000" w:fill="8DB4E2"/>
            <w:noWrap/>
            <w:vAlign w:val="center"/>
            <w:hideMark/>
          </w:tcPr>
          <w:p w14:paraId="2DA6D5DD"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232 903 576</w:t>
            </w:r>
          </w:p>
        </w:tc>
        <w:tc>
          <w:tcPr>
            <w:tcW w:w="1140" w:type="dxa"/>
            <w:tcBorders>
              <w:top w:val="nil"/>
              <w:left w:val="nil"/>
              <w:bottom w:val="nil"/>
              <w:right w:val="nil"/>
            </w:tcBorders>
            <w:shd w:val="clear" w:color="000000" w:fill="8DB4E2"/>
            <w:noWrap/>
            <w:vAlign w:val="center"/>
            <w:hideMark/>
          </w:tcPr>
          <w:p w14:paraId="7467468A"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245 282 691</w:t>
            </w:r>
          </w:p>
        </w:tc>
        <w:tc>
          <w:tcPr>
            <w:tcW w:w="1140" w:type="dxa"/>
            <w:tcBorders>
              <w:top w:val="nil"/>
              <w:left w:val="nil"/>
              <w:bottom w:val="nil"/>
              <w:right w:val="nil"/>
            </w:tcBorders>
            <w:shd w:val="clear" w:color="000000" w:fill="D9D9D9"/>
            <w:noWrap/>
            <w:vAlign w:val="center"/>
            <w:hideMark/>
          </w:tcPr>
          <w:p w14:paraId="390A125F"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251 439 824</w:t>
            </w:r>
          </w:p>
        </w:tc>
        <w:tc>
          <w:tcPr>
            <w:tcW w:w="1140" w:type="dxa"/>
            <w:tcBorders>
              <w:top w:val="nil"/>
              <w:left w:val="nil"/>
              <w:bottom w:val="nil"/>
              <w:right w:val="nil"/>
            </w:tcBorders>
            <w:shd w:val="clear" w:color="000000" w:fill="8DB4E2"/>
            <w:noWrap/>
            <w:vAlign w:val="center"/>
            <w:hideMark/>
          </w:tcPr>
          <w:p w14:paraId="526F9243"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272 231 173</w:t>
            </w:r>
          </w:p>
        </w:tc>
        <w:tc>
          <w:tcPr>
            <w:tcW w:w="1140" w:type="dxa"/>
            <w:tcBorders>
              <w:top w:val="nil"/>
              <w:left w:val="nil"/>
              <w:bottom w:val="nil"/>
              <w:right w:val="nil"/>
            </w:tcBorders>
            <w:shd w:val="clear" w:color="000000" w:fill="8DB4E2"/>
            <w:noWrap/>
            <w:vAlign w:val="center"/>
            <w:hideMark/>
          </w:tcPr>
          <w:p w14:paraId="1D4B06AF"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280 641 742</w:t>
            </w:r>
          </w:p>
        </w:tc>
      </w:tr>
      <w:tr w:rsidR="009C5D4C" w:rsidRPr="009C5D4C" w14:paraId="605B56B6" w14:textId="77777777" w:rsidTr="009C5D4C">
        <w:trPr>
          <w:trHeight w:val="300"/>
        </w:trPr>
        <w:tc>
          <w:tcPr>
            <w:tcW w:w="2800" w:type="dxa"/>
            <w:tcBorders>
              <w:top w:val="nil"/>
              <w:left w:val="nil"/>
              <w:bottom w:val="nil"/>
              <w:right w:val="nil"/>
            </w:tcBorders>
            <w:shd w:val="clear" w:color="000000" w:fill="DCE6F1"/>
            <w:noWrap/>
            <w:vAlign w:val="center"/>
            <w:hideMark/>
          </w:tcPr>
          <w:p w14:paraId="1DC4C73E" w14:textId="77777777" w:rsidR="009C5D4C" w:rsidRPr="009C5D4C" w:rsidRDefault="009C5D4C" w:rsidP="009C5D4C">
            <w:pPr>
              <w:spacing w:after="0" w:line="240" w:lineRule="auto"/>
              <w:ind w:firstLineChars="300" w:firstLine="542"/>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Daňové príjmy</w:t>
            </w:r>
          </w:p>
        </w:tc>
        <w:tc>
          <w:tcPr>
            <w:tcW w:w="1140" w:type="dxa"/>
            <w:tcBorders>
              <w:top w:val="nil"/>
              <w:left w:val="nil"/>
              <w:bottom w:val="nil"/>
              <w:right w:val="nil"/>
            </w:tcBorders>
            <w:shd w:val="clear" w:color="000000" w:fill="DCE6F1"/>
            <w:noWrap/>
            <w:vAlign w:val="center"/>
            <w:hideMark/>
          </w:tcPr>
          <w:p w14:paraId="211C44CE"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120 000 505</w:t>
            </w:r>
          </w:p>
        </w:tc>
        <w:tc>
          <w:tcPr>
            <w:tcW w:w="1140" w:type="dxa"/>
            <w:tcBorders>
              <w:top w:val="nil"/>
              <w:left w:val="nil"/>
              <w:bottom w:val="nil"/>
              <w:right w:val="nil"/>
            </w:tcBorders>
            <w:shd w:val="clear" w:color="000000" w:fill="DCE6F1"/>
            <w:noWrap/>
            <w:vAlign w:val="center"/>
            <w:hideMark/>
          </w:tcPr>
          <w:p w14:paraId="54885DEA"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135 722 483</w:t>
            </w:r>
          </w:p>
        </w:tc>
        <w:tc>
          <w:tcPr>
            <w:tcW w:w="1140" w:type="dxa"/>
            <w:tcBorders>
              <w:top w:val="nil"/>
              <w:left w:val="nil"/>
              <w:bottom w:val="nil"/>
              <w:right w:val="nil"/>
            </w:tcBorders>
            <w:shd w:val="clear" w:color="000000" w:fill="DCE6F1"/>
            <w:noWrap/>
            <w:vAlign w:val="center"/>
            <w:hideMark/>
          </w:tcPr>
          <w:p w14:paraId="0E87B400"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133 510 310</w:t>
            </w:r>
          </w:p>
        </w:tc>
        <w:tc>
          <w:tcPr>
            <w:tcW w:w="1140" w:type="dxa"/>
            <w:tcBorders>
              <w:top w:val="nil"/>
              <w:left w:val="nil"/>
              <w:bottom w:val="nil"/>
              <w:right w:val="nil"/>
            </w:tcBorders>
            <w:shd w:val="clear" w:color="000000" w:fill="DCE6F1"/>
            <w:noWrap/>
            <w:vAlign w:val="center"/>
            <w:hideMark/>
          </w:tcPr>
          <w:p w14:paraId="07111D40"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134 350 000</w:t>
            </w:r>
          </w:p>
        </w:tc>
        <w:tc>
          <w:tcPr>
            <w:tcW w:w="1140" w:type="dxa"/>
            <w:tcBorders>
              <w:top w:val="nil"/>
              <w:left w:val="nil"/>
              <w:bottom w:val="nil"/>
              <w:right w:val="nil"/>
            </w:tcBorders>
            <w:shd w:val="clear" w:color="000000" w:fill="D9D9D9"/>
            <w:noWrap/>
            <w:vAlign w:val="center"/>
            <w:hideMark/>
          </w:tcPr>
          <w:p w14:paraId="369BCB09"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142 300 000</w:t>
            </w:r>
          </w:p>
        </w:tc>
        <w:tc>
          <w:tcPr>
            <w:tcW w:w="1140" w:type="dxa"/>
            <w:tcBorders>
              <w:top w:val="nil"/>
              <w:left w:val="nil"/>
              <w:bottom w:val="nil"/>
              <w:right w:val="nil"/>
            </w:tcBorders>
            <w:shd w:val="clear" w:color="000000" w:fill="DCE6F1"/>
            <w:noWrap/>
            <w:vAlign w:val="center"/>
            <w:hideMark/>
          </w:tcPr>
          <w:p w14:paraId="11C8E73F"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159 400 000</w:t>
            </w:r>
          </w:p>
        </w:tc>
        <w:tc>
          <w:tcPr>
            <w:tcW w:w="1140" w:type="dxa"/>
            <w:tcBorders>
              <w:top w:val="nil"/>
              <w:left w:val="nil"/>
              <w:bottom w:val="nil"/>
              <w:right w:val="nil"/>
            </w:tcBorders>
            <w:shd w:val="clear" w:color="000000" w:fill="DCE6F1"/>
            <w:noWrap/>
            <w:vAlign w:val="center"/>
            <w:hideMark/>
          </w:tcPr>
          <w:p w14:paraId="635C2098"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164 000 000</w:t>
            </w:r>
          </w:p>
        </w:tc>
      </w:tr>
      <w:tr w:rsidR="009C5D4C" w:rsidRPr="009C5D4C" w14:paraId="5257B643" w14:textId="77777777" w:rsidTr="009C5D4C">
        <w:trPr>
          <w:trHeight w:val="300"/>
        </w:trPr>
        <w:tc>
          <w:tcPr>
            <w:tcW w:w="2800" w:type="dxa"/>
            <w:tcBorders>
              <w:top w:val="nil"/>
              <w:left w:val="nil"/>
              <w:bottom w:val="nil"/>
              <w:right w:val="nil"/>
            </w:tcBorders>
            <w:shd w:val="clear" w:color="auto" w:fill="auto"/>
            <w:noWrap/>
            <w:vAlign w:val="center"/>
            <w:hideMark/>
          </w:tcPr>
          <w:p w14:paraId="2B1A68BF"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111 – Daň  z príjmov FO</w:t>
            </w:r>
          </w:p>
        </w:tc>
        <w:tc>
          <w:tcPr>
            <w:tcW w:w="1140" w:type="dxa"/>
            <w:tcBorders>
              <w:top w:val="nil"/>
              <w:left w:val="nil"/>
              <w:bottom w:val="nil"/>
              <w:right w:val="nil"/>
            </w:tcBorders>
            <w:shd w:val="clear" w:color="auto" w:fill="auto"/>
            <w:noWrap/>
            <w:vAlign w:val="center"/>
            <w:hideMark/>
          </w:tcPr>
          <w:p w14:paraId="2F313F0E"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120 000 505</w:t>
            </w:r>
          </w:p>
        </w:tc>
        <w:tc>
          <w:tcPr>
            <w:tcW w:w="1140" w:type="dxa"/>
            <w:tcBorders>
              <w:top w:val="nil"/>
              <w:left w:val="nil"/>
              <w:bottom w:val="nil"/>
              <w:right w:val="nil"/>
            </w:tcBorders>
            <w:shd w:val="clear" w:color="auto" w:fill="auto"/>
            <w:noWrap/>
            <w:vAlign w:val="center"/>
            <w:hideMark/>
          </w:tcPr>
          <w:p w14:paraId="0F4CC37F"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135 722 483</w:t>
            </w:r>
          </w:p>
        </w:tc>
        <w:tc>
          <w:tcPr>
            <w:tcW w:w="1140" w:type="dxa"/>
            <w:tcBorders>
              <w:top w:val="nil"/>
              <w:left w:val="nil"/>
              <w:bottom w:val="nil"/>
              <w:right w:val="nil"/>
            </w:tcBorders>
            <w:shd w:val="clear" w:color="auto" w:fill="auto"/>
            <w:noWrap/>
            <w:vAlign w:val="center"/>
            <w:hideMark/>
          </w:tcPr>
          <w:p w14:paraId="0EF4969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133 510 310</w:t>
            </w:r>
          </w:p>
        </w:tc>
        <w:tc>
          <w:tcPr>
            <w:tcW w:w="1140" w:type="dxa"/>
            <w:tcBorders>
              <w:top w:val="nil"/>
              <w:left w:val="nil"/>
              <w:bottom w:val="nil"/>
              <w:right w:val="nil"/>
            </w:tcBorders>
            <w:shd w:val="clear" w:color="auto" w:fill="auto"/>
            <w:noWrap/>
            <w:vAlign w:val="center"/>
            <w:hideMark/>
          </w:tcPr>
          <w:p w14:paraId="5841BBDA"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134 350 000</w:t>
            </w:r>
          </w:p>
        </w:tc>
        <w:tc>
          <w:tcPr>
            <w:tcW w:w="1140" w:type="dxa"/>
            <w:tcBorders>
              <w:top w:val="nil"/>
              <w:left w:val="nil"/>
              <w:bottom w:val="nil"/>
              <w:right w:val="nil"/>
            </w:tcBorders>
            <w:shd w:val="clear" w:color="000000" w:fill="D9D9D9"/>
            <w:noWrap/>
            <w:vAlign w:val="center"/>
            <w:hideMark/>
          </w:tcPr>
          <w:p w14:paraId="6CD07F59"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142 300 000</w:t>
            </w:r>
          </w:p>
        </w:tc>
        <w:tc>
          <w:tcPr>
            <w:tcW w:w="1140" w:type="dxa"/>
            <w:tcBorders>
              <w:top w:val="nil"/>
              <w:left w:val="nil"/>
              <w:bottom w:val="nil"/>
              <w:right w:val="nil"/>
            </w:tcBorders>
            <w:shd w:val="clear" w:color="auto" w:fill="auto"/>
            <w:noWrap/>
            <w:vAlign w:val="center"/>
            <w:hideMark/>
          </w:tcPr>
          <w:p w14:paraId="15B25B6B"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159 400 000</w:t>
            </w:r>
          </w:p>
        </w:tc>
        <w:tc>
          <w:tcPr>
            <w:tcW w:w="1140" w:type="dxa"/>
            <w:tcBorders>
              <w:top w:val="nil"/>
              <w:left w:val="nil"/>
              <w:bottom w:val="nil"/>
              <w:right w:val="nil"/>
            </w:tcBorders>
            <w:shd w:val="clear" w:color="auto" w:fill="auto"/>
            <w:noWrap/>
            <w:vAlign w:val="center"/>
            <w:hideMark/>
          </w:tcPr>
          <w:p w14:paraId="7669C281"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164 000 000</w:t>
            </w:r>
          </w:p>
        </w:tc>
      </w:tr>
      <w:tr w:rsidR="009C5D4C" w:rsidRPr="009C5D4C" w14:paraId="243A269E" w14:textId="77777777" w:rsidTr="009C5D4C">
        <w:trPr>
          <w:trHeight w:val="300"/>
        </w:trPr>
        <w:tc>
          <w:tcPr>
            <w:tcW w:w="2800" w:type="dxa"/>
            <w:tcBorders>
              <w:top w:val="nil"/>
              <w:left w:val="nil"/>
              <w:bottom w:val="nil"/>
              <w:right w:val="nil"/>
            </w:tcBorders>
            <w:shd w:val="clear" w:color="000000" w:fill="DCE6F1"/>
            <w:noWrap/>
            <w:vAlign w:val="center"/>
            <w:hideMark/>
          </w:tcPr>
          <w:p w14:paraId="09F81BA8" w14:textId="77777777" w:rsidR="009C5D4C" w:rsidRPr="009C5D4C" w:rsidRDefault="009C5D4C" w:rsidP="009C5D4C">
            <w:pPr>
              <w:spacing w:after="0" w:line="240" w:lineRule="auto"/>
              <w:ind w:firstLineChars="300" w:firstLine="542"/>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Nedaňové príjmy</w:t>
            </w:r>
          </w:p>
        </w:tc>
        <w:tc>
          <w:tcPr>
            <w:tcW w:w="1140" w:type="dxa"/>
            <w:tcBorders>
              <w:top w:val="nil"/>
              <w:left w:val="nil"/>
              <w:bottom w:val="nil"/>
              <w:right w:val="nil"/>
            </w:tcBorders>
            <w:shd w:val="clear" w:color="000000" w:fill="DCE6F1"/>
            <w:noWrap/>
            <w:vAlign w:val="center"/>
            <w:hideMark/>
          </w:tcPr>
          <w:p w14:paraId="0E49C46A"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12 585 199</w:t>
            </w:r>
          </w:p>
        </w:tc>
        <w:tc>
          <w:tcPr>
            <w:tcW w:w="1140" w:type="dxa"/>
            <w:tcBorders>
              <w:top w:val="nil"/>
              <w:left w:val="nil"/>
              <w:bottom w:val="nil"/>
              <w:right w:val="nil"/>
            </w:tcBorders>
            <w:shd w:val="clear" w:color="000000" w:fill="DCE6F1"/>
            <w:noWrap/>
            <w:vAlign w:val="center"/>
            <w:hideMark/>
          </w:tcPr>
          <w:p w14:paraId="3F00DBD1"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11 767 102</w:t>
            </w:r>
          </w:p>
        </w:tc>
        <w:tc>
          <w:tcPr>
            <w:tcW w:w="1140" w:type="dxa"/>
            <w:tcBorders>
              <w:top w:val="nil"/>
              <w:left w:val="nil"/>
              <w:bottom w:val="nil"/>
              <w:right w:val="nil"/>
            </w:tcBorders>
            <w:shd w:val="clear" w:color="000000" w:fill="DCE6F1"/>
            <w:noWrap/>
            <w:vAlign w:val="center"/>
            <w:hideMark/>
          </w:tcPr>
          <w:p w14:paraId="1EFDBB71"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12 185 569</w:t>
            </w:r>
          </w:p>
        </w:tc>
        <w:tc>
          <w:tcPr>
            <w:tcW w:w="1140" w:type="dxa"/>
            <w:tcBorders>
              <w:top w:val="nil"/>
              <w:left w:val="nil"/>
              <w:bottom w:val="nil"/>
              <w:right w:val="nil"/>
            </w:tcBorders>
            <w:shd w:val="clear" w:color="000000" w:fill="DCE6F1"/>
            <w:noWrap/>
            <w:vAlign w:val="center"/>
            <w:hideMark/>
          </w:tcPr>
          <w:p w14:paraId="070CA1B7"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14 226 014</w:t>
            </w:r>
          </w:p>
        </w:tc>
        <w:tc>
          <w:tcPr>
            <w:tcW w:w="1140" w:type="dxa"/>
            <w:tcBorders>
              <w:top w:val="nil"/>
              <w:left w:val="nil"/>
              <w:bottom w:val="nil"/>
              <w:right w:val="nil"/>
            </w:tcBorders>
            <w:shd w:val="clear" w:color="000000" w:fill="D9D9D9"/>
            <w:noWrap/>
            <w:vAlign w:val="center"/>
            <w:hideMark/>
          </w:tcPr>
          <w:p w14:paraId="0AA49DC9"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12 724 443</w:t>
            </w:r>
          </w:p>
        </w:tc>
        <w:tc>
          <w:tcPr>
            <w:tcW w:w="1140" w:type="dxa"/>
            <w:tcBorders>
              <w:top w:val="nil"/>
              <w:left w:val="nil"/>
              <w:bottom w:val="nil"/>
              <w:right w:val="nil"/>
            </w:tcBorders>
            <w:shd w:val="clear" w:color="000000" w:fill="DCE6F1"/>
            <w:noWrap/>
            <w:vAlign w:val="center"/>
            <w:hideMark/>
          </w:tcPr>
          <w:p w14:paraId="6845D340"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12 462 073</w:t>
            </w:r>
          </w:p>
        </w:tc>
        <w:tc>
          <w:tcPr>
            <w:tcW w:w="1140" w:type="dxa"/>
            <w:tcBorders>
              <w:top w:val="nil"/>
              <w:left w:val="nil"/>
              <w:bottom w:val="nil"/>
              <w:right w:val="nil"/>
            </w:tcBorders>
            <w:shd w:val="clear" w:color="000000" w:fill="DCE6F1"/>
            <w:noWrap/>
            <w:vAlign w:val="center"/>
            <w:hideMark/>
          </w:tcPr>
          <w:p w14:paraId="59C63708"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12 555 225</w:t>
            </w:r>
          </w:p>
        </w:tc>
      </w:tr>
      <w:tr w:rsidR="009C5D4C" w:rsidRPr="009C5D4C" w14:paraId="3AD8394A" w14:textId="77777777" w:rsidTr="009C5D4C">
        <w:trPr>
          <w:trHeight w:val="300"/>
        </w:trPr>
        <w:tc>
          <w:tcPr>
            <w:tcW w:w="2800" w:type="dxa"/>
            <w:tcBorders>
              <w:top w:val="nil"/>
              <w:left w:val="nil"/>
              <w:bottom w:val="nil"/>
              <w:right w:val="nil"/>
            </w:tcBorders>
            <w:shd w:val="clear" w:color="auto" w:fill="auto"/>
            <w:noWrap/>
            <w:vAlign w:val="center"/>
            <w:hideMark/>
          </w:tcPr>
          <w:p w14:paraId="65E846C6"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210 – Príjmy z prenájmu</w:t>
            </w:r>
          </w:p>
        </w:tc>
        <w:tc>
          <w:tcPr>
            <w:tcW w:w="1140" w:type="dxa"/>
            <w:tcBorders>
              <w:top w:val="nil"/>
              <w:left w:val="nil"/>
              <w:bottom w:val="nil"/>
              <w:right w:val="nil"/>
            </w:tcBorders>
            <w:shd w:val="clear" w:color="auto" w:fill="auto"/>
            <w:noWrap/>
            <w:vAlign w:val="center"/>
            <w:hideMark/>
          </w:tcPr>
          <w:p w14:paraId="1AF00FCB"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1 525 320</w:t>
            </w:r>
          </w:p>
        </w:tc>
        <w:tc>
          <w:tcPr>
            <w:tcW w:w="1140" w:type="dxa"/>
            <w:tcBorders>
              <w:top w:val="nil"/>
              <w:left w:val="nil"/>
              <w:bottom w:val="nil"/>
              <w:right w:val="nil"/>
            </w:tcBorders>
            <w:shd w:val="clear" w:color="auto" w:fill="auto"/>
            <w:noWrap/>
            <w:vAlign w:val="center"/>
            <w:hideMark/>
          </w:tcPr>
          <w:p w14:paraId="069AADE0"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1 926 729</w:t>
            </w:r>
          </w:p>
        </w:tc>
        <w:tc>
          <w:tcPr>
            <w:tcW w:w="1140" w:type="dxa"/>
            <w:tcBorders>
              <w:top w:val="nil"/>
              <w:left w:val="nil"/>
              <w:bottom w:val="nil"/>
              <w:right w:val="nil"/>
            </w:tcBorders>
            <w:shd w:val="clear" w:color="auto" w:fill="auto"/>
            <w:noWrap/>
            <w:vAlign w:val="center"/>
            <w:hideMark/>
          </w:tcPr>
          <w:p w14:paraId="770D16A8"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1 847 559</w:t>
            </w:r>
          </w:p>
        </w:tc>
        <w:tc>
          <w:tcPr>
            <w:tcW w:w="1140" w:type="dxa"/>
            <w:tcBorders>
              <w:top w:val="nil"/>
              <w:left w:val="nil"/>
              <w:bottom w:val="nil"/>
              <w:right w:val="nil"/>
            </w:tcBorders>
            <w:shd w:val="clear" w:color="auto" w:fill="auto"/>
            <w:noWrap/>
            <w:vAlign w:val="center"/>
            <w:hideMark/>
          </w:tcPr>
          <w:p w14:paraId="4C2B1248"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2 090 886</w:t>
            </w:r>
          </w:p>
        </w:tc>
        <w:tc>
          <w:tcPr>
            <w:tcW w:w="1140" w:type="dxa"/>
            <w:tcBorders>
              <w:top w:val="nil"/>
              <w:left w:val="nil"/>
              <w:bottom w:val="nil"/>
              <w:right w:val="nil"/>
            </w:tcBorders>
            <w:shd w:val="clear" w:color="000000" w:fill="D9D9D9"/>
            <w:noWrap/>
            <w:vAlign w:val="center"/>
            <w:hideMark/>
          </w:tcPr>
          <w:p w14:paraId="2B6939B0"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1 852 357</w:t>
            </w:r>
          </w:p>
        </w:tc>
        <w:tc>
          <w:tcPr>
            <w:tcW w:w="1140" w:type="dxa"/>
            <w:tcBorders>
              <w:top w:val="nil"/>
              <w:left w:val="nil"/>
              <w:bottom w:val="nil"/>
              <w:right w:val="nil"/>
            </w:tcBorders>
            <w:shd w:val="clear" w:color="auto" w:fill="auto"/>
            <w:noWrap/>
            <w:vAlign w:val="center"/>
            <w:hideMark/>
          </w:tcPr>
          <w:p w14:paraId="7ED6CD21"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1 859 006</w:t>
            </w:r>
          </w:p>
        </w:tc>
        <w:tc>
          <w:tcPr>
            <w:tcW w:w="1140" w:type="dxa"/>
            <w:tcBorders>
              <w:top w:val="nil"/>
              <w:left w:val="nil"/>
              <w:bottom w:val="nil"/>
              <w:right w:val="nil"/>
            </w:tcBorders>
            <w:shd w:val="clear" w:color="auto" w:fill="auto"/>
            <w:noWrap/>
            <w:vAlign w:val="center"/>
            <w:hideMark/>
          </w:tcPr>
          <w:p w14:paraId="11887409"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1 876 475</w:t>
            </w:r>
          </w:p>
        </w:tc>
      </w:tr>
      <w:tr w:rsidR="009C5D4C" w:rsidRPr="009C5D4C" w14:paraId="65292998" w14:textId="77777777" w:rsidTr="009C5D4C">
        <w:trPr>
          <w:trHeight w:val="300"/>
        </w:trPr>
        <w:tc>
          <w:tcPr>
            <w:tcW w:w="2800" w:type="dxa"/>
            <w:tcBorders>
              <w:top w:val="nil"/>
              <w:left w:val="nil"/>
              <w:bottom w:val="nil"/>
              <w:right w:val="nil"/>
            </w:tcBorders>
            <w:shd w:val="clear" w:color="auto" w:fill="auto"/>
            <w:noWrap/>
            <w:vAlign w:val="center"/>
            <w:hideMark/>
          </w:tcPr>
          <w:p w14:paraId="141A9252"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220 – Admin. poplatky a platby</w:t>
            </w:r>
          </w:p>
        </w:tc>
        <w:tc>
          <w:tcPr>
            <w:tcW w:w="1140" w:type="dxa"/>
            <w:tcBorders>
              <w:top w:val="nil"/>
              <w:left w:val="nil"/>
              <w:bottom w:val="nil"/>
              <w:right w:val="nil"/>
            </w:tcBorders>
            <w:shd w:val="clear" w:color="auto" w:fill="auto"/>
            <w:noWrap/>
            <w:vAlign w:val="center"/>
            <w:hideMark/>
          </w:tcPr>
          <w:p w14:paraId="5A6BFD5F"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8 680 931</w:t>
            </w:r>
          </w:p>
        </w:tc>
        <w:tc>
          <w:tcPr>
            <w:tcW w:w="1140" w:type="dxa"/>
            <w:tcBorders>
              <w:top w:val="nil"/>
              <w:left w:val="nil"/>
              <w:bottom w:val="nil"/>
              <w:right w:val="nil"/>
            </w:tcBorders>
            <w:shd w:val="clear" w:color="auto" w:fill="auto"/>
            <w:noWrap/>
            <w:vAlign w:val="center"/>
            <w:hideMark/>
          </w:tcPr>
          <w:p w14:paraId="7BE41E71"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8 911 273</w:t>
            </w:r>
          </w:p>
        </w:tc>
        <w:tc>
          <w:tcPr>
            <w:tcW w:w="1140" w:type="dxa"/>
            <w:tcBorders>
              <w:top w:val="nil"/>
              <w:left w:val="nil"/>
              <w:bottom w:val="nil"/>
              <w:right w:val="nil"/>
            </w:tcBorders>
            <w:shd w:val="clear" w:color="auto" w:fill="auto"/>
            <w:noWrap/>
            <w:vAlign w:val="center"/>
            <w:hideMark/>
          </w:tcPr>
          <w:p w14:paraId="7970DBB2"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9 018 485</w:t>
            </w:r>
          </w:p>
        </w:tc>
        <w:tc>
          <w:tcPr>
            <w:tcW w:w="1140" w:type="dxa"/>
            <w:tcBorders>
              <w:top w:val="nil"/>
              <w:left w:val="nil"/>
              <w:bottom w:val="nil"/>
              <w:right w:val="nil"/>
            </w:tcBorders>
            <w:shd w:val="clear" w:color="auto" w:fill="auto"/>
            <w:noWrap/>
            <w:vAlign w:val="center"/>
            <w:hideMark/>
          </w:tcPr>
          <w:p w14:paraId="79A9253C"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9 052 452</w:t>
            </w:r>
          </w:p>
        </w:tc>
        <w:tc>
          <w:tcPr>
            <w:tcW w:w="1140" w:type="dxa"/>
            <w:tcBorders>
              <w:top w:val="nil"/>
              <w:left w:val="nil"/>
              <w:bottom w:val="nil"/>
              <w:right w:val="nil"/>
            </w:tcBorders>
            <w:shd w:val="clear" w:color="000000" w:fill="D9D9D9"/>
            <w:noWrap/>
            <w:vAlign w:val="center"/>
            <w:hideMark/>
          </w:tcPr>
          <w:p w14:paraId="69066C73"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9 954 271</w:t>
            </w:r>
          </w:p>
        </w:tc>
        <w:tc>
          <w:tcPr>
            <w:tcW w:w="1140" w:type="dxa"/>
            <w:tcBorders>
              <w:top w:val="nil"/>
              <w:left w:val="nil"/>
              <w:bottom w:val="nil"/>
              <w:right w:val="nil"/>
            </w:tcBorders>
            <w:shd w:val="clear" w:color="auto" w:fill="auto"/>
            <w:noWrap/>
            <w:vAlign w:val="center"/>
            <w:hideMark/>
          </w:tcPr>
          <w:p w14:paraId="367B6925"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10 048 145</w:t>
            </w:r>
          </w:p>
        </w:tc>
        <w:tc>
          <w:tcPr>
            <w:tcW w:w="1140" w:type="dxa"/>
            <w:tcBorders>
              <w:top w:val="nil"/>
              <w:left w:val="nil"/>
              <w:bottom w:val="nil"/>
              <w:right w:val="nil"/>
            </w:tcBorders>
            <w:shd w:val="clear" w:color="auto" w:fill="auto"/>
            <w:noWrap/>
            <w:vAlign w:val="center"/>
            <w:hideMark/>
          </w:tcPr>
          <w:p w14:paraId="377D837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10 123 328</w:t>
            </w:r>
          </w:p>
        </w:tc>
      </w:tr>
      <w:tr w:rsidR="009C5D4C" w:rsidRPr="009C5D4C" w14:paraId="598A310E" w14:textId="77777777" w:rsidTr="009C5D4C">
        <w:trPr>
          <w:trHeight w:val="300"/>
        </w:trPr>
        <w:tc>
          <w:tcPr>
            <w:tcW w:w="2800" w:type="dxa"/>
            <w:tcBorders>
              <w:top w:val="nil"/>
              <w:left w:val="nil"/>
              <w:bottom w:val="nil"/>
              <w:right w:val="nil"/>
            </w:tcBorders>
            <w:shd w:val="clear" w:color="auto" w:fill="auto"/>
            <w:noWrap/>
            <w:vAlign w:val="center"/>
            <w:hideMark/>
          </w:tcPr>
          <w:p w14:paraId="772DA35A"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 xml:space="preserve">240 – Úroky z vkladov, fin. </w:t>
            </w:r>
            <w:proofErr w:type="spellStart"/>
            <w:r w:rsidRPr="009C5D4C">
              <w:rPr>
                <w:rFonts w:ascii="Calibri" w:eastAsia="Times New Roman" w:hAnsi="Calibri" w:cs="Calibri"/>
                <w:color w:val="000000"/>
                <w:sz w:val="18"/>
                <w:szCs w:val="18"/>
                <w:lang w:eastAsia="sk-SK"/>
              </w:rPr>
              <w:t>zabez</w:t>
            </w:r>
            <w:proofErr w:type="spellEnd"/>
            <w:r w:rsidRPr="009C5D4C">
              <w:rPr>
                <w:rFonts w:ascii="Calibri" w:eastAsia="Times New Roman" w:hAnsi="Calibri" w:cs="Calibri"/>
                <w:color w:val="000000"/>
                <w:sz w:val="18"/>
                <w:szCs w:val="18"/>
                <w:lang w:eastAsia="sk-SK"/>
              </w:rPr>
              <w:t>..</w:t>
            </w:r>
          </w:p>
        </w:tc>
        <w:tc>
          <w:tcPr>
            <w:tcW w:w="1140" w:type="dxa"/>
            <w:tcBorders>
              <w:top w:val="nil"/>
              <w:left w:val="nil"/>
              <w:bottom w:val="nil"/>
              <w:right w:val="nil"/>
            </w:tcBorders>
            <w:shd w:val="clear" w:color="auto" w:fill="auto"/>
            <w:noWrap/>
            <w:vAlign w:val="center"/>
            <w:hideMark/>
          </w:tcPr>
          <w:p w14:paraId="2CE0AC8E"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298</w:t>
            </w:r>
          </w:p>
        </w:tc>
        <w:tc>
          <w:tcPr>
            <w:tcW w:w="1140" w:type="dxa"/>
            <w:tcBorders>
              <w:top w:val="nil"/>
              <w:left w:val="nil"/>
              <w:bottom w:val="nil"/>
              <w:right w:val="nil"/>
            </w:tcBorders>
            <w:shd w:val="clear" w:color="auto" w:fill="auto"/>
            <w:noWrap/>
            <w:vAlign w:val="center"/>
            <w:hideMark/>
          </w:tcPr>
          <w:p w14:paraId="42489CFA"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242 901</w:t>
            </w:r>
          </w:p>
        </w:tc>
        <w:tc>
          <w:tcPr>
            <w:tcW w:w="1140" w:type="dxa"/>
            <w:tcBorders>
              <w:top w:val="nil"/>
              <w:left w:val="nil"/>
              <w:bottom w:val="nil"/>
              <w:right w:val="nil"/>
            </w:tcBorders>
            <w:shd w:val="clear" w:color="auto" w:fill="auto"/>
            <w:noWrap/>
            <w:vAlign w:val="center"/>
            <w:hideMark/>
          </w:tcPr>
          <w:p w14:paraId="76BAF10B"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924 601</w:t>
            </w:r>
          </w:p>
        </w:tc>
        <w:tc>
          <w:tcPr>
            <w:tcW w:w="1140" w:type="dxa"/>
            <w:tcBorders>
              <w:top w:val="nil"/>
              <w:left w:val="nil"/>
              <w:bottom w:val="nil"/>
              <w:right w:val="nil"/>
            </w:tcBorders>
            <w:shd w:val="clear" w:color="auto" w:fill="auto"/>
            <w:noWrap/>
            <w:vAlign w:val="center"/>
            <w:hideMark/>
          </w:tcPr>
          <w:p w14:paraId="7CBE251C"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1 450 000</w:t>
            </w:r>
          </w:p>
        </w:tc>
        <w:tc>
          <w:tcPr>
            <w:tcW w:w="1140" w:type="dxa"/>
            <w:tcBorders>
              <w:top w:val="nil"/>
              <w:left w:val="nil"/>
              <w:bottom w:val="nil"/>
              <w:right w:val="nil"/>
            </w:tcBorders>
            <w:shd w:val="clear" w:color="000000" w:fill="D9D9D9"/>
            <w:noWrap/>
            <w:vAlign w:val="center"/>
            <w:hideMark/>
          </w:tcPr>
          <w:p w14:paraId="25A29597"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510 000</w:t>
            </w:r>
          </w:p>
        </w:tc>
        <w:tc>
          <w:tcPr>
            <w:tcW w:w="1140" w:type="dxa"/>
            <w:tcBorders>
              <w:top w:val="nil"/>
              <w:left w:val="nil"/>
              <w:bottom w:val="nil"/>
              <w:right w:val="nil"/>
            </w:tcBorders>
            <w:shd w:val="clear" w:color="auto" w:fill="auto"/>
            <w:noWrap/>
            <w:vAlign w:val="center"/>
            <w:hideMark/>
          </w:tcPr>
          <w:p w14:paraId="6951836A"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150 000</w:t>
            </w:r>
          </w:p>
        </w:tc>
        <w:tc>
          <w:tcPr>
            <w:tcW w:w="1140" w:type="dxa"/>
            <w:tcBorders>
              <w:top w:val="nil"/>
              <w:left w:val="nil"/>
              <w:bottom w:val="nil"/>
              <w:right w:val="nil"/>
            </w:tcBorders>
            <w:shd w:val="clear" w:color="auto" w:fill="auto"/>
            <w:noWrap/>
            <w:vAlign w:val="center"/>
            <w:hideMark/>
          </w:tcPr>
          <w:p w14:paraId="772B773C"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150 000</w:t>
            </w:r>
          </w:p>
        </w:tc>
      </w:tr>
      <w:tr w:rsidR="009C5D4C" w:rsidRPr="009C5D4C" w14:paraId="6ACE6514" w14:textId="77777777" w:rsidTr="009C5D4C">
        <w:trPr>
          <w:trHeight w:val="300"/>
        </w:trPr>
        <w:tc>
          <w:tcPr>
            <w:tcW w:w="2800" w:type="dxa"/>
            <w:tcBorders>
              <w:top w:val="nil"/>
              <w:left w:val="nil"/>
              <w:bottom w:val="nil"/>
              <w:right w:val="nil"/>
            </w:tcBorders>
            <w:shd w:val="clear" w:color="auto" w:fill="auto"/>
            <w:noWrap/>
            <w:vAlign w:val="center"/>
            <w:hideMark/>
          </w:tcPr>
          <w:p w14:paraId="2588D475"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290 – Iné nedaňové príjmy</w:t>
            </w:r>
          </w:p>
        </w:tc>
        <w:tc>
          <w:tcPr>
            <w:tcW w:w="1140" w:type="dxa"/>
            <w:tcBorders>
              <w:top w:val="nil"/>
              <w:left w:val="nil"/>
              <w:bottom w:val="nil"/>
              <w:right w:val="nil"/>
            </w:tcBorders>
            <w:shd w:val="clear" w:color="auto" w:fill="auto"/>
            <w:noWrap/>
            <w:vAlign w:val="center"/>
            <w:hideMark/>
          </w:tcPr>
          <w:p w14:paraId="0D4B555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2 378 650</w:t>
            </w:r>
          </w:p>
        </w:tc>
        <w:tc>
          <w:tcPr>
            <w:tcW w:w="1140" w:type="dxa"/>
            <w:tcBorders>
              <w:top w:val="nil"/>
              <w:left w:val="nil"/>
              <w:bottom w:val="nil"/>
              <w:right w:val="nil"/>
            </w:tcBorders>
            <w:shd w:val="clear" w:color="auto" w:fill="auto"/>
            <w:noWrap/>
            <w:vAlign w:val="center"/>
            <w:hideMark/>
          </w:tcPr>
          <w:p w14:paraId="1E158D00"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686 199</w:t>
            </w:r>
          </w:p>
        </w:tc>
        <w:tc>
          <w:tcPr>
            <w:tcW w:w="1140" w:type="dxa"/>
            <w:tcBorders>
              <w:top w:val="nil"/>
              <w:left w:val="nil"/>
              <w:bottom w:val="nil"/>
              <w:right w:val="nil"/>
            </w:tcBorders>
            <w:shd w:val="clear" w:color="auto" w:fill="auto"/>
            <w:noWrap/>
            <w:vAlign w:val="center"/>
            <w:hideMark/>
          </w:tcPr>
          <w:p w14:paraId="3BCEFACA"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394 925</w:t>
            </w:r>
          </w:p>
        </w:tc>
        <w:tc>
          <w:tcPr>
            <w:tcW w:w="1140" w:type="dxa"/>
            <w:tcBorders>
              <w:top w:val="nil"/>
              <w:left w:val="nil"/>
              <w:bottom w:val="nil"/>
              <w:right w:val="nil"/>
            </w:tcBorders>
            <w:shd w:val="clear" w:color="auto" w:fill="auto"/>
            <w:noWrap/>
            <w:vAlign w:val="center"/>
            <w:hideMark/>
          </w:tcPr>
          <w:p w14:paraId="0E77DD4B"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1 632 676</w:t>
            </w:r>
          </w:p>
        </w:tc>
        <w:tc>
          <w:tcPr>
            <w:tcW w:w="1140" w:type="dxa"/>
            <w:tcBorders>
              <w:top w:val="nil"/>
              <w:left w:val="nil"/>
              <w:bottom w:val="nil"/>
              <w:right w:val="nil"/>
            </w:tcBorders>
            <w:shd w:val="clear" w:color="000000" w:fill="D9D9D9"/>
            <w:noWrap/>
            <w:vAlign w:val="center"/>
            <w:hideMark/>
          </w:tcPr>
          <w:p w14:paraId="27714BC8"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407 815</w:t>
            </w:r>
          </w:p>
        </w:tc>
        <w:tc>
          <w:tcPr>
            <w:tcW w:w="1140" w:type="dxa"/>
            <w:tcBorders>
              <w:top w:val="nil"/>
              <w:left w:val="nil"/>
              <w:bottom w:val="nil"/>
              <w:right w:val="nil"/>
            </w:tcBorders>
            <w:shd w:val="clear" w:color="auto" w:fill="auto"/>
            <w:noWrap/>
            <w:vAlign w:val="center"/>
            <w:hideMark/>
          </w:tcPr>
          <w:p w14:paraId="407500B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404 921</w:t>
            </w:r>
          </w:p>
        </w:tc>
        <w:tc>
          <w:tcPr>
            <w:tcW w:w="1140" w:type="dxa"/>
            <w:tcBorders>
              <w:top w:val="nil"/>
              <w:left w:val="nil"/>
              <w:bottom w:val="nil"/>
              <w:right w:val="nil"/>
            </w:tcBorders>
            <w:shd w:val="clear" w:color="auto" w:fill="auto"/>
            <w:noWrap/>
            <w:vAlign w:val="center"/>
            <w:hideMark/>
          </w:tcPr>
          <w:p w14:paraId="63A923C7"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405 421</w:t>
            </w:r>
          </w:p>
        </w:tc>
      </w:tr>
      <w:tr w:rsidR="009C5D4C" w:rsidRPr="009C5D4C" w14:paraId="3209B0B7" w14:textId="77777777" w:rsidTr="009C5D4C">
        <w:trPr>
          <w:trHeight w:val="300"/>
        </w:trPr>
        <w:tc>
          <w:tcPr>
            <w:tcW w:w="2800" w:type="dxa"/>
            <w:tcBorders>
              <w:top w:val="nil"/>
              <w:left w:val="nil"/>
              <w:bottom w:val="nil"/>
              <w:right w:val="nil"/>
            </w:tcBorders>
            <w:shd w:val="clear" w:color="000000" w:fill="DCE6F1"/>
            <w:noWrap/>
            <w:vAlign w:val="center"/>
            <w:hideMark/>
          </w:tcPr>
          <w:p w14:paraId="0B089DAA" w14:textId="77777777" w:rsidR="009C5D4C" w:rsidRPr="009C5D4C" w:rsidRDefault="009C5D4C" w:rsidP="009C5D4C">
            <w:pPr>
              <w:spacing w:after="0" w:line="240" w:lineRule="auto"/>
              <w:ind w:firstLineChars="300" w:firstLine="542"/>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Granty a transfery</w:t>
            </w:r>
          </w:p>
        </w:tc>
        <w:tc>
          <w:tcPr>
            <w:tcW w:w="1140" w:type="dxa"/>
            <w:tcBorders>
              <w:top w:val="nil"/>
              <w:left w:val="nil"/>
              <w:bottom w:val="nil"/>
              <w:right w:val="nil"/>
            </w:tcBorders>
            <w:shd w:val="clear" w:color="000000" w:fill="DCE6F1"/>
            <w:noWrap/>
            <w:vAlign w:val="center"/>
            <w:hideMark/>
          </w:tcPr>
          <w:p w14:paraId="64953DB9"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75 615 717</w:t>
            </w:r>
          </w:p>
        </w:tc>
        <w:tc>
          <w:tcPr>
            <w:tcW w:w="1140" w:type="dxa"/>
            <w:tcBorders>
              <w:top w:val="nil"/>
              <w:left w:val="nil"/>
              <w:bottom w:val="nil"/>
              <w:right w:val="nil"/>
            </w:tcBorders>
            <w:shd w:val="clear" w:color="000000" w:fill="DCE6F1"/>
            <w:noWrap/>
            <w:vAlign w:val="center"/>
            <w:hideMark/>
          </w:tcPr>
          <w:p w14:paraId="4C6DE089"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95 278 829</w:t>
            </w:r>
          </w:p>
        </w:tc>
        <w:tc>
          <w:tcPr>
            <w:tcW w:w="1140" w:type="dxa"/>
            <w:tcBorders>
              <w:top w:val="nil"/>
              <w:left w:val="nil"/>
              <w:bottom w:val="nil"/>
              <w:right w:val="nil"/>
            </w:tcBorders>
            <w:shd w:val="clear" w:color="000000" w:fill="DCE6F1"/>
            <w:noWrap/>
            <w:vAlign w:val="center"/>
            <w:hideMark/>
          </w:tcPr>
          <w:p w14:paraId="2E4BCB0D"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87 207 697</w:t>
            </w:r>
          </w:p>
        </w:tc>
        <w:tc>
          <w:tcPr>
            <w:tcW w:w="1140" w:type="dxa"/>
            <w:tcBorders>
              <w:top w:val="nil"/>
              <w:left w:val="nil"/>
              <w:bottom w:val="nil"/>
              <w:right w:val="nil"/>
            </w:tcBorders>
            <w:shd w:val="clear" w:color="000000" w:fill="DCE6F1"/>
            <w:noWrap/>
            <w:vAlign w:val="center"/>
            <w:hideMark/>
          </w:tcPr>
          <w:p w14:paraId="2CB97F0D"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96 706 677</w:t>
            </w:r>
          </w:p>
        </w:tc>
        <w:tc>
          <w:tcPr>
            <w:tcW w:w="1140" w:type="dxa"/>
            <w:tcBorders>
              <w:top w:val="nil"/>
              <w:left w:val="nil"/>
              <w:bottom w:val="nil"/>
              <w:right w:val="nil"/>
            </w:tcBorders>
            <w:shd w:val="clear" w:color="000000" w:fill="D9D9D9"/>
            <w:noWrap/>
            <w:vAlign w:val="center"/>
            <w:hideMark/>
          </w:tcPr>
          <w:p w14:paraId="634BDA94"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96 415 381</w:t>
            </w:r>
          </w:p>
        </w:tc>
        <w:tc>
          <w:tcPr>
            <w:tcW w:w="1140" w:type="dxa"/>
            <w:tcBorders>
              <w:top w:val="nil"/>
              <w:left w:val="nil"/>
              <w:bottom w:val="nil"/>
              <w:right w:val="nil"/>
            </w:tcBorders>
            <w:shd w:val="clear" w:color="000000" w:fill="DCE6F1"/>
            <w:noWrap/>
            <w:vAlign w:val="center"/>
            <w:hideMark/>
          </w:tcPr>
          <w:p w14:paraId="700D5D31"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100 369 100</w:t>
            </w:r>
          </w:p>
        </w:tc>
        <w:tc>
          <w:tcPr>
            <w:tcW w:w="1140" w:type="dxa"/>
            <w:tcBorders>
              <w:top w:val="nil"/>
              <w:left w:val="nil"/>
              <w:bottom w:val="nil"/>
              <w:right w:val="nil"/>
            </w:tcBorders>
            <w:shd w:val="clear" w:color="000000" w:fill="DCE6F1"/>
            <w:noWrap/>
            <w:vAlign w:val="center"/>
            <w:hideMark/>
          </w:tcPr>
          <w:p w14:paraId="4BBD238D"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104 086 517</w:t>
            </w:r>
          </w:p>
        </w:tc>
      </w:tr>
      <w:tr w:rsidR="009C5D4C" w:rsidRPr="009C5D4C" w14:paraId="1BCF65EF" w14:textId="77777777" w:rsidTr="009C5D4C">
        <w:trPr>
          <w:trHeight w:val="300"/>
        </w:trPr>
        <w:tc>
          <w:tcPr>
            <w:tcW w:w="2800" w:type="dxa"/>
            <w:tcBorders>
              <w:top w:val="nil"/>
              <w:left w:val="nil"/>
              <w:bottom w:val="nil"/>
              <w:right w:val="nil"/>
            </w:tcBorders>
            <w:shd w:val="clear" w:color="auto" w:fill="auto"/>
            <w:noWrap/>
            <w:vAlign w:val="center"/>
            <w:hideMark/>
          </w:tcPr>
          <w:p w14:paraId="38CD23D0"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310 – Tuzemské granty a transfery</w:t>
            </w:r>
          </w:p>
        </w:tc>
        <w:tc>
          <w:tcPr>
            <w:tcW w:w="1140" w:type="dxa"/>
            <w:tcBorders>
              <w:top w:val="nil"/>
              <w:left w:val="nil"/>
              <w:bottom w:val="nil"/>
              <w:right w:val="nil"/>
            </w:tcBorders>
            <w:shd w:val="clear" w:color="auto" w:fill="auto"/>
            <w:noWrap/>
            <w:vAlign w:val="center"/>
            <w:hideMark/>
          </w:tcPr>
          <w:p w14:paraId="30E3B968"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75 615 717</w:t>
            </w:r>
          </w:p>
        </w:tc>
        <w:tc>
          <w:tcPr>
            <w:tcW w:w="1140" w:type="dxa"/>
            <w:tcBorders>
              <w:top w:val="nil"/>
              <w:left w:val="nil"/>
              <w:bottom w:val="nil"/>
              <w:right w:val="nil"/>
            </w:tcBorders>
            <w:shd w:val="clear" w:color="auto" w:fill="auto"/>
            <w:noWrap/>
            <w:vAlign w:val="center"/>
            <w:hideMark/>
          </w:tcPr>
          <w:p w14:paraId="2B4C9244"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95 278 829</w:t>
            </w:r>
          </w:p>
        </w:tc>
        <w:tc>
          <w:tcPr>
            <w:tcW w:w="1140" w:type="dxa"/>
            <w:tcBorders>
              <w:top w:val="nil"/>
              <w:left w:val="nil"/>
              <w:bottom w:val="nil"/>
              <w:right w:val="nil"/>
            </w:tcBorders>
            <w:shd w:val="clear" w:color="auto" w:fill="auto"/>
            <w:noWrap/>
            <w:vAlign w:val="center"/>
            <w:hideMark/>
          </w:tcPr>
          <w:p w14:paraId="3393F91F"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87 207 697</w:t>
            </w:r>
          </w:p>
        </w:tc>
        <w:tc>
          <w:tcPr>
            <w:tcW w:w="1140" w:type="dxa"/>
            <w:tcBorders>
              <w:top w:val="nil"/>
              <w:left w:val="nil"/>
              <w:bottom w:val="nil"/>
              <w:right w:val="nil"/>
            </w:tcBorders>
            <w:shd w:val="clear" w:color="auto" w:fill="auto"/>
            <w:noWrap/>
            <w:vAlign w:val="center"/>
            <w:hideMark/>
          </w:tcPr>
          <w:p w14:paraId="4EC8D980"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96 706 677</w:t>
            </w:r>
          </w:p>
        </w:tc>
        <w:tc>
          <w:tcPr>
            <w:tcW w:w="1140" w:type="dxa"/>
            <w:tcBorders>
              <w:top w:val="nil"/>
              <w:left w:val="nil"/>
              <w:bottom w:val="nil"/>
              <w:right w:val="nil"/>
            </w:tcBorders>
            <w:shd w:val="clear" w:color="000000" w:fill="D9D9D9"/>
            <w:noWrap/>
            <w:vAlign w:val="center"/>
            <w:hideMark/>
          </w:tcPr>
          <w:p w14:paraId="0A4CE908"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96 415 381</w:t>
            </w:r>
          </w:p>
        </w:tc>
        <w:tc>
          <w:tcPr>
            <w:tcW w:w="1140" w:type="dxa"/>
            <w:tcBorders>
              <w:top w:val="nil"/>
              <w:left w:val="nil"/>
              <w:bottom w:val="nil"/>
              <w:right w:val="nil"/>
            </w:tcBorders>
            <w:shd w:val="clear" w:color="auto" w:fill="auto"/>
            <w:noWrap/>
            <w:vAlign w:val="center"/>
            <w:hideMark/>
          </w:tcPr>
          <w:p w14:paraId="4394901A"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100 369 100</w:t>
            </w:r>
          </w:p>
        </w:tc>
        <w:tc>
          <w:tcPr>
            <w:tcW w:w="1140" w:type="dxa"/>
            <w:tcBorders>
              <w:top w:val="nil"/>
              <w:left w:val="nil"/>
              <w:bottom w:val="nil"/>
              <w:right w:val="nil"/>
            </w:tcBorders>
            <w:shd w:val="clear" w:color="auto" w:fill="auto"/>
            <w:noWrap/>
            <w:vAlign w:val="center"/>
            <w:hideMark/>
          </w:tcPr>
          <w:p w14:paraId="35691820"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104 086 517</w:t>
            </w:r>
          </w:p>
        </w:tc>
      </w:tr>
      <w:tr w:rsidR="009C5D4C" w:rsidRPr="009C5D4C" w14:paraId="73FD4FDE" w14:textId="77777777" w:rsidTr="009C5D4C">
        <w:trPr>
          <w:trHeight w:val="300"/>
        </w:trPr>
        <w:tc>
          <w:tcPr>
            <w:tcW w:w="2800" w:type="dxa"/>
            <w:tcBorders>
              <w:top w:val="nil"/>
              <w:left w:val="nil"/>
              <w:bottom w:val="nil"/>
              <w:right w:val="nil"/>
            </w:tcBorders>
            <w:shd w:val="clear" w:color="auto" w:fill="auto"/>
            <w:noWrap/>
            <w:vAlign w:val="center"/>
            <w:hideMark/>
          </w:tcPr>
          <w:p w14:paraId="7E864149"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 xml:space="preserve">331 - Zahraničné granty </w:t>
            </w:r>
          </w:p>
        </w:tc>
        <w:tc>
          <w:tcPr>
            <w:tcW w:w="1140" w:type="dxa"/>
            <w:tcBorders>
              <w:top w:val="nil"/>
              <w:left w:val="nil"/>
              <w:bottom w:val="nil"/>
              <w:right w:val="nil"/>
            </w:tcBorders>
            <w:shd w:val="clear" w:color="auto" w:fill="auto"/>
            <w:noWrap/>
            <w:vAlign w:val="center"/>
            <w:hideMark/>
          </w:tcPr>
          <w:p w14:paraId="7F8387F3"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74036DFC"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429F4E5D"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748E1C53"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000000" w:fill="D9D9D9"/>
            <w:noWrap/>
            <w:vAlign w:val="center"/>
            <w:hideMark/>
          </w:tcPr>
          <w:p w14:paraId="0AE1947E"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0B0A4E77"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2570D08C"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r>
      <w:tr w:rsidR="009C5D4C" w:rsidRPr="009C5D4C" w14:paraId="08E3BBEB" w14:textId="77777777" w:rsidTr="009C5D4C">
        <w:trPr>
          <w:trHeight w:val="300"/>
        </w:trPr>
        <w:tc>
          <w:tcPr>
            <w:tcW w:w="2800" w:type="dxa"/>
            <w:tcBorders>
              <w:top w:val="nil"/>
              <w:left w:val="nil"/>
              <w:bottom w:val="nil"/>
              <w:right w:val="nil"/>
            </w:tcBorders>
            <w:shd w:val="clear" w:color="000000" w:fill="8DB4E2"/>
            <w:noWrap/>
            <w:vAlign w:val="center"/>
            <w:hideMark/>
          </w:tcPr>
          <w:p w14:paraId="57EDDCA7" w14:textId="77777777" w:rsidR="009C5D4C" w:rsidRPr="009C5D4C" w:rsidRDefault="009C5D4C" w:rsidP="009C5D4C">
            <w:pPr>
              <w:spacing w:after="0" w:line="240" w:lineRule="auto"/>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KAPITÁLOVÉ PRÍJMY</w:t>
            </w:r>
          </w:p>
        </w:tc>
        <w:tc>
          <w:tcPr>
            <w:tcW w:w="1140" w:type="dxa"/>
            <w:tcBorders>
              <w:top w:val="nil"/>
              <w:left w:val="nil"/>
              <w:bottom w:val="nil"/>
              <w:right w:val="nil"/>
            </w:tcBorders>
            <w:shd w:val="clear" w:color="000000" w:fill="8DB4E2"/>
            <w:noWrap/>
            <w:vAlign w:val="center"/>
            <w:hideMark/>
          </w:tcPr>
          <w:p w14:paraId="5B36C6D0"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9 132 467</w:t>
            </w:r>
          </w:p>
        </w:tc>
        <w:tc>
          <w:tcPr>
            <w:tcW w:w="1140" w:type="dxa"/>
            <w:tcBorders>
              <w:top w:val="nil"/>
              <w:left w:val="nil"/>
              <w:bottom w:val="nil"/>
              <w:right w:val="nil"/>
            </w:tcBorders>
            <w:shd w:val="clear" w:color="000000" w:fill="8DB4E2"/>
            <w:noWrap/>
            <w:vAlign w:val="center"/>
            <w:hideMark/>
          </w:tcPr>
          <w:p w14:paraId="5F75F2BA"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8 932 107</w:t>
            </w:r>
          </w:p>
        </w:tc>
        <w:tc>
          <w:tcPr>
            <w:tcW w:w="1140" w:type="dxa"/>
            <w:tcBorders>
              <w:top w:val="nil"/>
              <w:left w:val="nil"/>
              <w:bottom w:val="nil"/>
              <w:right w:val="nil"/>
            </w:tcBorders>
            <w:shd w:val="clear" w:color="000000" w:fill="8DB4E2"/>
            <w:noWrap/>
            <w:vAlign w:val="center"/>
            <w:hideMark/>
          </w:tcPr>
          <w:p w14:paraId="4AEDA941"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10 724 094</w:t>
            </w:r>
          </w:p>
        </w:tc>
        <w:tc>
          <w:tcPr>
            <w:tcW w:w="1140" w:type="dxa"/>
            <w:tcBorders>
              <w:top w:val="nil"/>
              <w:left w:val="nil"/>
              <w:bottom w:val="nil"/>
              <w:right w:val="nil"/>
            </w:tcBorders>
            <w:shd w:val="clear" w:color="000000" w:fill="8DB4E2"/>
            <w:noWrap/>
            <w:vAlign w:val="center"/>
            <w:hideMark/>
          </w:tcPr>
          <w:p w14:paraId="1A82FABB"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8 207 615</w:t>
            </w:r>
          </w:p>
        </w:tc>
        <w:tc>
          <w:tcPr>
            <w:tcW w:w="1140" w:type="dxa"/>
            <w:tcBorders>
              <w:top w:val="nil"/>
              <w:left w:val="nil"/>
              <w:bottom w:val="nil"/>
              <w:right w:val="nil"/>
            </w:tcBorders>
            <w:shd w:val="clear" w:color="000000" w:fill="D9D9D9"/>
            <w:noWrap/>
            <w:vAlign w:val="center"/>
            <w:hideMark/>
          </w:tcPr>
          <w:p w14:paraId="2DD9A2CA"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21 326 797</w:t>
            </w:r>
          </w:p>
        </w:tc>
        <w:tc>
          <w:tcPr>
            <w:tcW w:w="1140" w:type="dxa"/>
            <w:tcBorders>
              <w:top w:val="nil"/>
              <w:left w:val="nil"/>
              <w:bottom w:val="nil"/>
              <w:right w:val="nil"/>
            </w:tcBorders>
            <w:shd w:val="clear" w:color="000000" w:fill="8DB4E2"/>
            <w:noWrap/>
            <w:vAlign w:val="center"/>
            <w:hideMark/>
          </w:tcPr>
          <w:p w14:paraId="1146E478"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43 068 673</w:t>
            </w:r>
          </w:p>
        </w:tc>
        <w:tc>
          <w:tcPr>
            <w:tcW w:w="1140" w:type="dxa"/>
            <w:tcBorders>
              <w:top w:val="nil"/>
              <w:left w:val="nil"/>
              <w:bottom w:val="nil"/>
              <w:right w:val="nil"/>
            </w:tcBorders>
            <w:shd w:val="clear" w:color="000000" w:fill="8DB4E2"/>
            <w:noWrap/>
            <w:vAlign w:val="center"/>
            <w:hideMark/>
          </w:tcPr>
          <w:p w14:paraId="67B79533"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39 621 775</w:t>
            </w:r>
          </w:p>
        </w:tc>
      </w:tr>
      <w:tr w:rsidR="009C5D4C" w:rsidRPr="009C5D4C" w14:paraId="4C1074F4" w14:textId="77777777" w:rsidTr="009C5D4C">
        <w:trPr>
          <w:trHeight w:val="300"/>
        </w:trPr>
        <w:tc>
          <w:tcPr>
            <w:tcW w:w="2800" w:type="dxa"/>
            <w:tcBorders>
              <w:top w:val="nil"/>
              <w:left w:val="nil"/>
              <w:bottom w:val="nil"/>
              <w:right w:val="nil"/>
            </w:tcBorders>
            <w:shd w:val="clear" w:color="000000" w:fill="DCE6F1"/>
            <w:noWrap/>
            <w:vAlign w:val="center"/>
            <w:hideMark/>
          </w:tcPr>
          <w:p w14:paraId="23ACD98D" w14:textId="77777777" w:rsidR="009C5D4C" w:rsidRPr="009C5D4C" w:rsidRDefault="009C5D4C" w:rsidP="009C5D4C">
            <w:pPr>
              <w:spacing w:after="0" w:line="240" w:lineRule="auto"/>
              <w:ind w:firstLineChars="300" w:firstLine="542"/>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Nedaňové príjmy</w:t>
            </w:r>
          </w:p>
        </w:tc>
        <w:tc>
          <w:tcPr>
            <w:tcW w:w="1140" w:type="dxa"/>
            <w:tcBorders>
              <w:top w:val="nil"/>
              <w:left w:val="nil"/>
              <w:bottom w:val="nil"/>
              <w:right w:val="nil"/>
            </w:tcBorders>
            <w:shd w:val="clear" w:color="000000" w:fill="DCE6F1"/>
            <w:noWrap/>
            <w:vAlign w:val="center"/>
            <w:hideMark/>
          </w:tcPr>
          <w:p w14:paraId="3922AC06"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108 378</w:t>
            </w:r>
          </w:p>
        </w:tc>
        <w:tc>
          <w:tcPr>
            <w:tcW w:w="1140" w:type="dxa"/>
            <w:tcBorders>
              <w:top w:val="nil"/>
              <w:left w:val="nil"/>
              <w:bottom w:val="nil"/>
              <w:right w:val="nil"/>
            </w:tcBorders>
            <w:shd w:val="clear" w:color="000000" w:fill="DCE6F1"/>
            <w:noWrap/>
            <w:vAlign w:val="center"/>
            <w:hideMark/>
          </w:tcPr>
          <w:p w14:paraId="022E25B2"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107 282</w:t>
            </w:r>
          </w:p>
        </w:tc>
        <w:tc>
          <w:tcPr>
            <w:tcW w:w="1140" w:type="dxa"/>
            <w:tcBorders>
              <w:top w:val="nil"/>
              <w:left w:val="nil"/>
              <w:bottom w:val="nil"/>
              <w:right w:val="nil"/>
            </w:tcBorders>
            <w:shd w:val="clear" w:color="000000" w:fill="DCE6F1"/>
            <w:noWrap/>
            <w:vAlign w:val="center"/>
            <w:hideMark/>
          </w:tcPr>
          <w:p w14:paraId="3F68C407"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250 000</w:t>
            </w:r>
          </w:p>
        </w:tc>
        <w:tc>
          <w:tcPr>
            <w:tcW w:w="1140" w:type="dxa"/>
            <w:tcBorders>
              <w:top w:val="nil"/>
              <w:left w:val="nil"/>
              <w:bottom w:val="nil"/>
              <w:right w:val="nil"/>
            </w:tcBorders>
            <w:shd w:val="clear" w:color="000000" w:fill="DCE6F1"/>
            <w:noWrap/>
            <w:vAlign w:val="center"/>
            <w:hideMark/>
          </w:tcPr>
          <w:p w14:paraId="31351A63"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321 602</w:t>
            </w:r>
          </w:p>
        </w:tc>
        <w:tc>
          <w:tcPr>
            <w:tcW w:w="1140" w:type="dxa"/>
            <w:tcBorders>
              <w:top w:val="nil"/>
              <w:left w:val="nil"/>
              <w:bottom w:val="nil"/>
              <w:right w:val="nil"/>
            </w:tcBorders>
            <w:shd w:val="clear" w:color="000000" w:fill="D9D9D9"/>
            <w:noWrap/>
            <w:vAlign w:val="center"/>
            <w:hideMark/>
          </w:tcPr>
          <w:p w14:paraId="5D420A46"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0</w:t>
            </w:r>
          </w:p>
        </w:tc>
        <w:tc>
          <w:tcPr>
            <w:tcW w:w="1140" w:type="dxa"/>
            <w:tcBorders>
              <w:top w:val="nil"/>
              <w:left w:val="nil"/>
              <w:bottom w:val="nil"/>
              <w:right w:val="nil"/>
            </w:tcBorders>
            <w:shd w:val="clear" w:color="000000" w:fill="DCE6F1"/>
            <w:noWrap/>
            <w:vAlign w:val="center"/>
            <w:hideMark/>
          </w:tcPr>
          <w:p w14:paraId="4991161E"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0</w:t>
            </w:r>
          </w:p>
        </w:tc>
        <w:tc>
          <w:tcPr>
            <w:tcW w:w="1140" w:type="dxa"/>
            <w:tcBorders>
              <w:top w:val="nil"/>
              <w:left w:val="nil"/>
              <w:bottom w:val="nil"/>
              <w:right w:val="nil"/>
            </w:tcBorders>
            <w:shd w:val="clear" w:color="000000" w:fill="DCE6F1"/>
            <w:noWrap/>
            <w:vAlign w:val="center"/>
            <w:hideMark/>
          </w:tcPr>
          <w:p w14:paraId="5E0A4BF2"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0</w:t>
            </w:r>
          </w:p>
        </w:tc>
      </w:tr>
      <w:tr w:rsidR="009C5D4C" w:rsidRPr="009C5D4C" w14:paraId="4D8C3479" w14:textId="77777777" w:rsidTr="009C5D4C">
        <w:trPr>
          <w:trHeight w:val="300"/>
        </w:trPr>
        <w:tc>
          <w:tcPr>
            <w:tcW w:w="2800" w:type="dxa"/>
            <w:tcBorders>
              <w:top w:val="nil"/>
              <w:left w:val="nil"/>
              <w:bottom w:val="nil"/>
              <w:right w:val="nil"/>
            </w:tcBorders>
            <w:shd w:val="clear" w:color="auto" w:fill="auto"/>
            <w:noWrap/>
            <w:vAlign w:val="center"/>
            <w:hideMark/>
          </w:tcPr>
          <w:p w14:paraId="2E63A004"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230 – Nedaňové kapitálové príjmy</w:t>
            </w:r>
          </w:p>
        </w:tc>
        <w:tc>
          <w:tcPr>
            <w:tcW w:w="1140" w:type="dxa"/>
            <w:tcBorders>
              <w:top w:val="nil"/>
              <w:left w:val="nil"/>
              <w:bottom w:val="nil"/>
              <w:right w:val="nil"/>
            </w:tcBorders>
            <w:shd w:val="clear" w:color="auto" w:fill="auto"/>
            <w:noWrap/>
            <w:vAlign w:val="center"/>
            <w:hideMark/>
          </w:tcPr>
          <w:p w14:paraId="3EFE7818"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108 378</w:t>
            </w:r>
          </w:p>
        </w:tc>
        <w:tc>
          <w:tcPr>
            <w:tcW w:w="1140" w:type="dxa"/>
            <w:tcBorders>
              <w:top w:val="nil"/>
              <w:left w:val="nil"/>
              <w:bottom w:val="nil"/>
              <w:right w:val="nil"/>
            </w:tcBorders>
            <w:shd w:val="clear" w:color="auto" w:fill="auto"/>
            <w:noWrap/>
            <w:vAlign w:val="center"/>
            <w:hideMark/>
          </w:tcPr>
          <w:p w14:paraId="435204DD"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107 282</w:t>
            </w:r>
          </w:p>
        </w:tc>
        <w:tc>
          <w:tcPr>
            <w:tcW w:w="1140" w:type="dxa"/>
            <w:tcBorders>
              <w:top w:val="nil"/>
              <w:left w:val="nil"/>
              <w:bottom w:val="nil"/>
              <w:right w:val="nil"/>
            </w:tcBorders>
            <w:shd w:val="clear" w:color="auto" w:fill="auto"/>
            <w:noWrap/>
            <w:vAlign w:val="center"/>
            <w:hideMark/>
          </w:tcPr>
          <w:p w14:paraId="3C916B73"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250 000</w:t>
            </w:r>
          </w:p>
        </w:tc>
        <w:tc>
          <w:tcPr>
            <w:tcW w:w="1140" w:type="dxa"/>
            <w:tcBorders>
              <w:top w:val="nil"/>
              <w:left w:val="nil"/>
              <w:bottom w:val="nil"/>
              <w:right w:val="nil"/>
            </w:tcBorders>
            <w:shd w:val="clear" w:color="auto" w:fill="auto"/>
            <w:noWrap/>
            <w:vAlign w:val="center"/>
            <w:hideMark/>
          </w:tcPr>
          <w:p w14:paraId="31D3FA7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321 602</w:t>
            </w:r>
          </w:p>
        </w:tc>
        <w:tc>
          <w:tcPr>
            <w:tcW w:w="1140" w:type="dxa"/>
            <w:tcBorders>
              <w:top w:val="nil"/>
              <w:left w:val="nil"/>
              <w:bottom w:val="nil"/>
              <w:right w:val="nil"/>
            </w:tcBorders>
            <w:shd w:val="clear" w:color="000000" w:fill="D9D9D9"/>
            <w:noWrap/>
            <w:vAlign w:val="center"/>
            <w:hideMark/>
          </w:tcPr>
          <w:p w14:paraId="2C3C58FC"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222E8667"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6DE6E280"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r>
      <w:tr w:rsidR="009C5D4C" w:rsidRPr="009C5D4C" w14:paraId="580FF227" w14:textId="77777777" w:rsidTr="009C5D4C">
        <w:trPr>
          <w:trHeight w:val="300"/>
        </w:trPr>
        <w:tc>
          <w:tcPr>
            <w:tcW w:w="2800" w:type="dxa"/>
            <w:tcBorders>
              <w:top w:val="nil"/>
              <w:left w:val="nil"/>
              <w:bottom w:val="nil"/>
              <w:right w:val="nil"/>
            </w:tcBorders>
            <w:shd w:val="clear" w:color="000000" w:fill="DCE6F1"/>
            <w:noWrap/>
            <w:vAlign w:val="center"/>
            <w:hideMark/>
          </w:tcPr>
          <w:p w14:paraId="16C5D60F" w14:textId="77777777" w:rsidR="009C5D4C" w:rsidRPr="009C5D4C" w:rsidRDefault="009C5D4C" w:rsidP="009C5D4C">
            <w:pPr>
              <w:spacing w:after="0" w:line="240" w:lineRule="auto"/>
              <w:ind w:firstLineChars="300" w:firstLine="542"/>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Granty a transfery</w:t>
            </w:r>
          </w:p>
        </w:tc>
        <w:tc>
          <w:tcPr>
            <w:tcW w:w="1140" w:type="dxa"/>
            <w:tcBorders>
              <w:top w:val="nil"/>
              <w:left w:val="nil"/>
              <w:bottom w:val="nil"/>
              <w:right w:val="nil"/>
            </w:tcBorders>
            <w:shd w:val="clear" w:color="000000" w:fill="DCE6F1"/>
            <w:noWrap/>
            <w:vAlign w:val="center"/>
            <w:hideMark/>
          </w:tcPr>
          <w:p w14:paraId="3EB1B798"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9 024 090</w:t>
            </w:r>
          </w:p>
        </w:tc>
        <w:tc>
          <w:tcPr>
            <w:tcW w:w="1140" w:type="dxa"/>
            <w:tcBorders>
              <w:top w:val="nil"/>
              <w:left w:val="nil"/>
              <w:bottom w:val="nil"/>
              <w:right w:val="nil"/>
            </w:tcBorders>
            <w:shd w:val="clear" w:color="000000" w:fill="DCE6F1"/>
            <w:noWrap/>
            <w:vAlign w:val="center"/>
            <w:hideMark/>
          </w:tcPr>
          <w:p w14:paraId="42DD1A42"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8 824 825</w:t>
            </w:r>
          </w:p>
        </w:tc>
        <w:tc>
          <w:tcPr>
            <w:tcW w:w="1140" w:type="dxa"/>
            <w:tcBorders>
              <w:top w:val="nil"/>
              <w:left w:val="nil"/>
              <w:bottom w:val="nil"/>
              <w:right w:val="nil"/>
            </w:tcBorders>
            <w:shd w:val="clear" w:color="000000" w:fill="DCE6F1"/>
            <w:noWrap/>
            <w:vAlign w:val="center"/>
            <w:hideMark/>
          </w:tcPr>
          <w:p w14:paraId="3745403A"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10 474 094</w:t>
            </w:r>
          </w:p>
        </w:tc>
        <w:tc>
          <w:tcPr>
            <w:tcW w:w="1140" w:type="dxa"/>
            <w:tcBorders>
              <w:top w:val="nil"/>
              <w:left w:val="nil"/>
              <w:bottom w:val="nil"/>
              <w:right w:val="nil"/>
            </w:tcBorders>
            <w:shd w:val="clear" w:color="000000" w:fill="DCE6F1"/>
            <w:noWrap/>
            <w:vAlign w:val="center"/>
            <w:hideMark/>
          </w:tcPr>
          <w:p w14:paraId="76BDBA46"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7 886 014</w:t>
            </w:r>
          </w:p>
        </w:tc>
        <w:tc>
          <w:tcPr>
            <w:tcW w:w="1140" w:type="dxa"/>
            <w:tcBorders>
              <w:top w:val="nil"/>
              <w:left w:val="nil"/>
              <w:bottom w:val="nil"/>
              <w:right w:val="nil"/>
            </w:tcBorders>
            <w:shd w:val="clear" w:color="000000" w:fill="D9D9D9"/>
            <w:noWrap/>
            <w:vAlign w:val="center"/>
            <w:hideMark/>
          </w:tcPr>
          <w:p w14:paraId="679FFB06"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21 326 797</w:t>
            </w:r>
          </w:p>
        </w:tc>
        <w:tc>
          <w:tcPr>
            <w:tcW w:w="1140" w:type="dxa"/>
            <w:tcBorders>
              <w:top w:val="nil"/>
              <w:left w:val="nil"/>
              <w:bottom w:val="nil"/>
              <w:right w:val="nil"/>
            </w:tcBorders>
            <w:shd w:val="clear" w:color="000000" w:fill="DCE6F1"/>
            <w:noWrap/>
            <w:vAlign w:val="center"/>
            <w:hideMark/>
          </w:tcPr>
          <w:p w14:paraId="7F6E0F16"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43 068 673</w:t>
            </w:r>
          </w:p>
        </w:tc>
        <w:tc>
          <w:tcPr>
            <w:tcW w:w="1140" w:type="dxa"/>
            <w:tcBorders>
              <w:top w:val="nil"/>
              <w:left w:val="nil"/>
              <w:bottom w:val="nil"/>
              <w:right w:val="nil"/>
            </w:tcBorders>
            <w:shd w:val="clear" w:color="000000" w:fill="DCE6F1"/>
            <w:noWrap/>
            <w:vAlign w:val="center"/>
            <w:hideMark/>
          </w:tcPr>
          <w:p w14:paraId="3C45AD23"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39 621 775</w:t>
            </w:r>
          </w:p>
        </w:tc>
      </w:tr>
      <w:tr w:rsidR="009C5D4C" w:rsidRPr="009C5D4C" w14:paraId="6C2D0B2B" w14:textId="77777777" w:rsidTr="009C5D4C">
        <w:trPr>
          <w:trHeight w:val="300"/>
        </w:trPr>
        <w:tc>
          <w:tcPr>
            <w:tcW w:w="2800" w:type="dxa"/>
            <w:tcBorders>
              <w:top w:val="nil"/>
              <w:left w:val="nil"/>
              <w:bottom w:val="nil"/>
              <w:right w:val="nil"/>
            </w:tcBorders>
            <w:shd w:val="clear" w:color="auto" w:fill="auto"/>
            <w:noWrap/>
            <w:vAlign w:val="center"/>
            <w:hideMark/>
          </w:tcPr>
          <w:p w14:paraId="76C9A538"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320 – Tuzemské granty a transfery</w:t>
            </w:r>
          </w:p>
        </w:tc>
        <w:tc>
          <w:tcPr>
            <w:tcW w:w="1140" w:type="dxa"/>
            <w:tcBorders>
              <w:top w:val="nil"/>
              <w:left w:val="nil"/>
              <w:bottom w:val="nil"/>
              <w:right w:val="nil"/>
            </w:tcBorders>
            <w:shd w:val="clear" w:color="auto" w:fill="auto"/>
            <w:noWrap/>
            <w:vAlign w:val="center"/>
            <w:hideMark/>
          </w:tcPr>
          <w:p w14:paraId="30D45A7E"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9 024 090</w:t>
            </w:r>
          </w:p>
        </w:tc>
        <w:tc>
          <w:tcPr>
            <w:tcW w:w="1140" w:type="dxa"/>
            <w:tcBorders>
              <w:top w:val="nil"/>
              <w:left w:val="nil"/>
              <w:bottom w:val="nil"/>
              <w:right w:val="nil"/>
            </w:tcBorders>
            <w:shd w:val="clear" w:color="auto" w:fill="auto"/>
            <w:noWrap/>
            <w:vAlign w:val="center"/>
            <w:hideMark/>
          </w:tcPr>
          <w:p w14:paraId="5DA06512"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8 824 825</w:t>
            </w:r>
          </w:p>
        </w:tc>
        <w:tc>
          <w:tcPr>
            <w:tcW w:w="1140" w:type="dxa"/>
            <w:tcBorders>
              <w:top w:val="nil"/>
              <w:left w:val="nil"/>
              <w:bottom w:val="nil"/>
              <w:right w:val="nil"/>
            </w:tcBorders>
            <w:shd w:val="clear" w:color="auto" w:fill="auto"/>
            <w:noWrap/>
            <w:vAlign w:val="center"/>
            <w:hideMark/>
          </w:tcPr>
          <w:p w14:paraId="6D524073"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10 474 094</w:t>
            </w:r>
          </w:p>
        </w:tc>
        <w:tc>
          <w:tcPr>
            <w:tcW w:w="1140" w:type="dxa"/>
            <w:tcBorders>
              <w:top w:val="nil"/>
              <w:left w:val="nil"/>
              <w:bottom w:val="nil"/>
              <w:right w:val="nil"/>
            </w:tcBorders>
            <w:shd w:val="clear" w:color="auto" w:fill="auto"/>
            <w:noWrap/>
            <w:vAlign w:val="center"/>
            <w:hideMark/>
          </w:tcPr>
          <w:p w14:paraId="077F5E9D"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7 886 014</w:t>
            </w:r>
          </w:p>
        </w:tc>
        <w:tc>
          <w:tcPr>
            <w:tcW w:w="1140" w:type="dxa"/>
            <w:tcBorders>
              <w:top w:val="nil"/>
              <w:left w:val="nil"/>
              <w:bottom w:val="nil"/>
              <w:right w:val="nil"/>
            </w:tcBorders>
            <w:shd w:val="clear" w:color="000000" w:fill="D9D9D9"/>
            <w:noWrap/>
            <w:vAlign w:val="center"/>
            <w:hideMark/>
          </w:tcPr>
          <w:p w14:paraId="3C5D50A0"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21 326 797</w:t>
            </w:r>
          </w:p>
        </w:tc>
        <w:tc>
          <w:tcPr>
            <w:tcW w:w="1140" w:type="dxa"/>
            <w:tcBorders>
              <w:top w:val="nil"/>
              <w:left w:val="nil"/>
              <w:bottom w:val="nil"/>
              <w:right w:val="nil"/>
            </w:tcBorders>
            <w:shd w:val="clear" w:color="auto" w:fill="auto"/>
            <w:noWrap/>
            <w:vAlign w:val="center"/>
            <w:hideMark/>
          </w:tcPr>
          <w:p w14:paraId="62EAEEAD"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43 068 673</w:t>
            </w:r>
          </w:p>
        </w:tc>
        <w:tc>
          <w:tcPr>
            <w:tcW w:w="1140" w:type="dxa"/>
            <w:tcBorders>
              <w:top w:val="nil"/>
              <w:left w:val="nil"/>
              <w:bottom w:val="nil"/>
              <w:right w:val="nil"/>
            </w:tcBorders>
            <w:shd w:val="clear" w:color="auto" w:fill="auto"/>
            <w:noWrap/>
            <w:vAlign w:val="center"/>
            <w:hideMark/>
          </w:tcPr>
          <w:p w14:paraId="69D359E8"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37 531 775</w:t>
            </w:r>
          </w:p>
        </w:tc>
      </w:tr>
      <w:tr w:rsidR="009C5D4C" w:rsidRPr="009C5D4C" w14:paraId="10F1EE3C" w14:textId="77777777" w:rsidTr="009C5D4C">
        <w:trPr>
          <w:trHeight w:val="300"/>
        </w:trPr>
        <w:tc>
          <w:tcPr>
            <w:tcW w:w="2800" w:type="dxa"/>
            <w:tcBorders>
              <w:top w:val="nil"/>
              <w:left w:val="nil"/>
              <w:bottom w:val="nil"/>
              <w:right w:val="nil"/>
            </w:tcBorders>
            <w:shd w:val="clear" w:color="auto" w:fill="auto"/>
            <w:noWrap/>
            <w:vAlign w:val="center"/>
            <w:hideMark/>
          </w:tcPr>
          <w:p w14:paraId="1712746C"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332 - Zahraničné granty</w:t>
            </w:r>
          </w:p>
        </w:tc>
        <w:tc>
          <w:tcPr>
            <w:tcW w:w="1140" w:type="dxa"/>
            <w:tcBorders>
              <w:top w:val="nil"/>
              <w:left w:val="nil"/>
              <w:bottom w:val="nil"/>
              <w:right w:val="nil"/>
            </w:tcBorders>
            <w:shd w:val="clear" w:color="auto" w:fill="auto"/>
            <w:noWrap/>
            <w:vAlign w:val="center"/>
            <w:hideMark/>
          </w:tcPr>
          <w:p w14:paraId="3A091A31"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0A3EA42B"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202CBB59"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6F1C01DF"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000000" w:fill="D9D9D9"/>
            <w:noWrap/>
            <w:vAlign w:val="center"/>
            <w:hideMark/>
          </w:tcPr>
          <w:p w14:paraId="2080BF3A"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0634C740"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31CC980D"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2 090 000</w:t>
            </w:r>
          </w:p>
        </w:tc>
      </w:tr>
      <w:tr w:rsidR="009C5D4C" w:rsidRPr="009C5D4C" w14:paraId="17540952" w14:textId="77777777" w:rsidTr="009C5D4C">
        <w:trPr>
          <w:trHeight w:val="300"/>
        </w:trPr>
        <w:tc>
          <w:tcPr>
            <w:tcW w:w="2800" w:type="dxa"/>
            <w:tcBorders>
              <w:top w:val="nil"/>
              <w:left w:val="nil"/>
              <w:bottom w:val="nil"/>
              <w:right w:val="nil"/>
            </w:tcBorders>
            <w:shd w:val="clear" w:color="000000" w:fill="8DB4E2"/>
            <w:noWrap/>
            <w:vAlign w:val="center"/>
            <w:hideMark/>
          </w:tcPr>
          <w:p w14:paraId="2C4D4086" w14:textId="77777777" w:rsidR="009C5D4C" w:rsidRPr="009C5D4C" w:rsidRDefault="009C5D4C" w:rsidP="009C5D4C">
            <w:pPr>
              <w:spacing w:after="0" w:line="240" w:lineRule="auto"/>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PRÍJMOVÉ FINANČNÉ OPERÁCIE</w:t>
            </w:r>
          </w:p>
        </w:tc>
        <w:tc>
          <w:tcPr>
            <w:tcW w:w="1140" w:type="dxa"/>
            <w:tcBorders>
              <w:top w:val="nil"/>
              <w:left w:val="nil"/>
              <w:bottom w:val="nil"/>
              <w:right w:val="nil"/>
            </w:tcBorders>
            <w:shd w:val="clear" w:color="000000" w:fill="8DB4E2"/>
            <w:noWrap/>
            <w:vAlign w:val="center"/>
            <w:hideMark/>
          </w:tcPr>
          <w:p w14:paraId="2AB12E85"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34 329 393</w:t>
            </w:r>
          </w:p>
        </w:tc>
        <w:tc>
          <w:tcPr>
            <w:tcW w:w="1140" w:type="dxa"/>
            <w:tcBorders>
              <w:top w:val="nil"/>
              <w:left w:val="nil"/>
              <w:bottom w:val="nil"/>
              <w:right w:val="nil"/>
            </w:tcBorders>
            <w:shd w:val="clear" w:color="000000" w:fill="8DB4E2"/>
            <w:noWrap/>
            <w:vAlign w:val="center"/>
            <w:hideMark/>
          </w:tcPr>
          <w:p w14:paraId="6A5275FC"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59 616 897</w:t>
            </w:r>
          </w:p>
        </w:tc>
        <w:tc>
          <w:tcPr>
            <w:tcW w:w="1140" w:type="dxa"/>
            <w:tcBorders>
              <w:top w:val="nil"/>
              <w:left w:val="nil"/>
              <w:bottom w:val="nil"/>
              <w:right w:val="nil"/>
            </w:tcBorders>
            <w:shd w:val="clear" w:color="000000" w:fill="8DB4E2"/>
            <w:noWrap/>
            <w:vAlign w:val="center"/>
            <w:hideMark/>
          </w:tcPr>
          <w:p w14:paraId="7885444C"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56 930 336</w:t>
            </w:r>
          </w:p>
        </w:tc>
        <w:tc>
          <w:tcPr>
            <w:tcW w:w="1140" w:type="dxa"/>
            <w:tcBorders>
              <w:top w:val="nil"/>
              <w:left w:val="nil"/>
              <w:bottom w:val="nil"/>
              <w:right w:val="nil"/>
            </w:tcBorders>
            <w:shd w:val="clear" w:color="000000" w:fill="8DB4E2"/>
            <w:noWrap/>
            <w:vAlign w:val="center"/>
            <w:hideMark/>
          </w:tcPr>
          <w:p w14:paraId="2B9A0C33"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29 050 766</w:t>
            </w:r>
          </w:p>
        </w:tc>
        <w:tc>
          <w:tcPr>
            <w:tcW w:w="1140" w:type="dxa"/>
            <w:tcBorders>
              <w:top w:val="nil"/>
              <w:left w:val="nil"/>
              <w:bottom w:val="nil"/>
              <w:right w:val="nil"/>
            </w:tcBorders>
            <w:shd w:val="clear" w:color="000000" w:fill="D9D9D9"/>
            <w:noWrap/>
            <w:vAlign w:val="center"/>
            <w:hideMark/>
          </w:tcPr>
          <w:p w14:paraId="4FD2CC47"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47 777 674</w:t>
            </w:r>
          </w:p>
        </w:tc>
        <w:tc>
          <w:tcPr>
            <w:tcW w:w="1140" w:type="dxa"/>
            <w:tcBorders>
              <w:top w:val="nil"/>
              <w:left w:val="nil"/>
              <w:bottom w:val="nil"/>
              <w:right w:val="nil"/>
            </w:tcBorders>
            <w:shd w:val="clear" w:color="000000" w:fill="8DB4E2"/>
            <w:noWrap/>
            <w:vAlign w:val="center"/>
            <w:hideMark/>
          </w:tcPr>
          <w:p w14:paraId="64F3B222"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30 185 518</w:t>
            </w:r>
          </w:p>
        </w:tc>
        <w:tc>
          <w:tcPr>
            <w:tcW w:w="1140" w:type="dxa"/>
            <w:tcBorders>
              <w:top w:val="nil"/>
              <w:left w:val="nil"/>
              <w:bottom w:val="nil"/>
              <w:right w:val="nil"/>
            </w:tcBorders>
            <w:shd w:val="clear" w:color="000000" w:fill="8DB4E2"/>
            <w:noWrap/>
            <w:vAlign w:val="center"/>
            <w:hideMark/>
          </w:tcPr>
          <w:p w14:paraId="7405A33B"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40 190 518</w:t>
            </w:r>
          </w:p>
        </w:tc>
      </w:tr>
      <w:tr w:rsidR="009C5D4C" w:rsidRPr="009C5D4C" w14:paraId="4BB2604B" w14:textId="77777777" w:rsidTr="009C5D4C">
        <w:trPr>
          <w:trHeight w:val="300"/>
        </w:trPr>
        <w:tc>
          <w:tcPr>
            <w:tcW w:w="2800" w:type="dxa"/>
            <w:tcBorders>
              <w:top w:val="nil"/>
              <w:left w:val="nil"/>
              <w:bottom w:val="nil"/>
              <w:right w:val="nil"/>
            </w:tcBorders>
            <w:shd w:val="clear" w:color="000000" w:fill="DCE6F1"/>
            <w:noWrap/>
            <w:vAlign w:val="center"/>
            <w:hideMark/>
          </w:tcPr>
          <w:p w14:paraId="0DF63E12" w14:textId="77777777" w:rsidR="009C5D4C" w:rsidRPr="009C5D4C" w:rsidRDefault="009C5D4C" w:rsidP="009C5D4C">
            <w:pPr>
              <w:spacing w:after="0" w:line="240" w:lineRule="auto"/>
              <w:ind w:firstLineChars="300" w:firstLine="542"/>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Príjmy z transakcií</w:t>
            </w:r>
          </w:p>
        </w:tc>
        <w:tc>
          <w:tcPr>
            <w:tcW w:w="1140" w:type="dxa"/>
            <w:tcBorders>
              <w:top w:val="nil"/>
              <w:left w:val="nil"/>
              <w:bottom w:val="nil"/>
              <w:right w:val="nil"/>
            </w:tcBorders>
            <w:shd w:val="clear" w:color="000000" w:fill="DCE6F1"/>
            <w:noWrap/>
            <w:vAlign w:val="center"/>
            <w:hideMark/>
          </w:tcPr>
          <w:p w14:paraId="3AB8039E"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20 329 393</w:t>
            </w:r>
          </w:p>
        </w:tc>
        <w:tc>
          <w:tcPr>
            <w:tcW w:w="1140" w:type="dxa"/>
            <w:tcBorders>
              <w:top w:val="nil"/>
              <w:left w:val="nil"/>
              <w:bottom w:val="nil"/>
              <w:right w:val="nil"/>
            </w:tcBorders>
            <w:shd w:val="clear" w:color="000000" w:fill="DCE6F1"/>
            <w:noWrap/>
            <w:vAlign w:val="center"/>
            <w:hideMark/>
          </w:tcPr>
          <w:p w14:paraId="406F9E63"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17 516 897</w:t>
            </w:r>
          </w:p>
        </w:tc>
        <w:tc>
          <w:tcPr>
            <w:tcW w:w="1140" w:type="dxa"/>
            <w:tcBorders>
              <w:top w:val="nil"/>
              <w:left w:val="nil"/>
              <w:bottom w:val="nil"/>
              <w:right w:val="nil"/>
            </w:tcBorders>
            <w:shd w:val="clear" w:color="000000" w:fill="DCE6F1"/>
            <w:noWrap/>
            <w:vAlign w:val="center"/>
            <w:hideMark/>
          </w:tcPr>
          <w:p w14:paraId="151C1B94"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56 930 336</w:t>
            </w:r>
          </w:p>
        </w:tc>
        <w:tc>
          <w:tcPr>
            <w:tcW w:w="1140" w:type="dxa"/>
            <w:tcBorders>
              <w:top w:val="nil"/>
              <w:left w:val="nil"/>
              <w:bottom w:val="nil"/>
              <w:right w:val="nil"/>
            </w:tcBorders>
            <w:shd w:val="clear" w:color="000000" w:fill="DCE6F1"/>
            <w:noWrap/>
            <w:vAlign w:val="center"/>
            <w:hideMark/>
          </w:tcPr>
          <w:p w14:paraId="725AA78C"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29 050 766</w:t>
            </w:r>
          </w:p>
        </w:tc>
        <w:tc>
          <w:tcPr>
            <w:tcW w:w="1140" w:type="dxa"/>
            <w:tcBorders>
              <w:top w:val="nil"/>
              <w:left w:val="nil"/>
              <w:bottom w:val="nil"/>
              <w:right w:val="nil"/>
            </w:tcBorders>
            <w:shd w:val="clear" w:color="000000" w:fill="D9D9D9"/>
            <w:noWrap/>
            <w:vAlign w:val="center"/>
            <w:hideMark/>
          </w:tcPr>
          <w:p w14:paraId="1ADA9B33"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28 797 674</w:t>
            </w:r>
          </w:p>
        </w:tc>
        <w:tc>
          <w:tcPr>
            <w:tcW w:w="1140" w:type="dxa"/>
            <w:tcBorders>
              <w:top w:val="nil"/>
              <w:left w:val="nil"/>
              <w:bottom w:val="nil"/>
              <w:right w:val="nil"/>
            </w:tcBorders>
            <w:shd w:val="clear" w:color="000000" w:fill="DCE6F1"/>
            <w:noWrap/>
            <w:vAlign w:val="center"/>
            <w:hideMark/>
          </w:tcPr>
          <w:p w14:paraId="4F80B863"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15 185 518</w:t>
            </w:r>
          </w:p>
        </w:tc>
        <w:tc>
          <w:tcPr>
            <w:tcW w:w="1140" w:type="dxa"/>
            <w:tcBorders>
              <w:top w:val="nil"/>
              <w:left w:val="nil"/>
              <w:bottom w:val="nil"/>
              <w:right w:val="nil"/>
            </w:tcBorders>
            <w:shd w:val="clear" w:color="000000" w:fill="DCE6F1"/>
            <w:noWrap/>
            <w:vAlign w:val="center"/>
            <w:hideMark/>
          </w:tcPr>
          <w:p w14:paraId="182E8509"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10 190 518</w:t>
            </w:r>
          </w:p>
        </w:tc>
      </w:tr>
      <w:tr w:rsidR="009C5D4C" w:rsidRPr="009C5D4C" w14:paraId="2C85AB1A" w14:textId="77777777" w:rsidTr="009C5D4C">
        <w:trPr>
          <w:trHeight w:val="300"/>
        </w:trPr>
        <w:tc>
          <w:tcPr>
            <w:tcW w:w="2800" w:type="dxa"/>
            <w:tcBorders>
              <w:top w:val="nil"/>
              <w:left w:val="nil"/>
              <w:bottom w:val="nil"/>
              <w:right w:val="nil"/>
            </w:tcBorders>
            <w:shd w:val="clear" w:color="auto" w:fill="auto"/>
            <w:noWrap/>
            <w:vAlign w:val="center"/>
            <w:hideMark/>
          </w:tcPr>
          <w:p w14:paraId="1524F5AA"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453 – Zostatky z minulých rokov</w:t>
            </w:r>
          </w:p>
        </w:tc>
        <w:tc>
          <w:tcPr>
            <w:tcW w:w="1140" w:type="dxa"/>
            <w:tcBorders>
              <w:top w:val="nil"/>
              <w:left w:val="nil"/>
              <w:bottom w:val="nil"/>
              <w:right w:val="nil"/>
            </w:tcBorders>
            <w:shd w:val="clear" w:color="auto" w:fill="auto"/>
            <w:noWrap/>
            <w:vAlign w:val="center"/>
            <w:hideMark/>
          </w:tcPr>
          <w:p w14:paraId="45F13B1F"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7 912 301</w:t>
            </w:r>
          </w:p>
        </w:tc>
        <w:tc>
          <w:tcPr>
            <w:tcW w:w="1140" w:type="dxa"/>
            <w:tcBorders>
              <w:top w:val="nil"/>
              <w:left w:val="nil"/>
              <w:bottom w:val="nil"/>
              <w:right w:val="nil"/>
            </w:tcBorders>
            <w:shd w:val="clear" w:color="auto" w:fill="auto"/>
            <w:noWrap/>
            <w:vAlign w:val="center"/>
            <w:hideMark/>
          </w:tcPr>
          <w:p w14:paraId="5275EF39"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4 460 766</w:t>
            </w:r>
          </w:p>
        </w:tc>
        <w:tc>
          <w:tcPr>
            <w:tcW w:w="1140" w:type="dxa"/>
            <w:tcBorders>
              <w:top w:val="nil"/>
              <w:left w:val="nil"/>
              <w:bottom w:val="nil"/>
              <w:right w:val="nil"/>
            </w:tcBorders>
            <w:shd w:val="clear" w:color="auto" w:fill="auto"/>
            <w:noWrap/>
            <w:vAlign w:val="center"/>
            <w:hideMark/>
          </w:tcPr>
          <w:p w14:paraId="11674B2E"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34 760 336</w:t>
            </w:r>
          </w:p>
        </w:tc>
        <w:tc>
          <w:tcPr>
            <w:tcW w:w="1140" w:type="dxa"/>
            <w:tcBorders>
              <w:top w:val="nil"/>
              <w:left w:val="nil"/>
              <w:bottom w:val="nil"/>
              <w:right w:val="nil"/>
            </w:tcBorders>
            <w:shd w:val="clear" w:color="auto" w:fill="auto"/>
            <w:noWrap/>
            <w:vAlign w:val="center"/>
            <w:hideMark/>
          </w:tcPr>
          <w:p w14:paraId="42BBE5A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19 050 766</w:t>
            </w:r>
          </w:p>
        </w:tc>
        <w:tc>
          <w:tcPr>
            <w:tcW w:w="1140" w:type="dxa"/>
            <w:tcBorders>
              <w:top w:val="nil"/>
              <w:left w:val="nil"/>
              <w:bottom w:val="nil"/>
              <w:right w:val="nil"/>
            </w:tcBorders>
            <w:shd w:val="clear" w:color="000000" w:fill="D9D9D9"/>
            <w:noWrap/>
            <w:vAlign w:val="center"/>
            <w:hideMark/>
          </w:tcPr>
          <w:p w14:paraId="3D65E52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11 797 674</w:t>
            </w:r>
          </w:p>
        </w:tc>
        <w:tc>
          <w:tcPr>
            <w:tcW w:w="1140" w:type="dxa"/>
            <w:tcBorders>
              <w:top w:val="nil"/>
              <w:left w:val="nil"/>
              <w:bottom w:val="nil"/>
              <w:right w:val="nil"/>
            </w:tcBorders>
            <w:shd w:val="clear" w:color="auto" w:fill="auto"/>
            <w:noWrap/>
            <w:vAlign w:val="center"/>
            <w:hideMark/>
          </w:tcPr>
          <w:p w14:paraId="0914C677"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185 518</w:t>
            </w:r>
          </w:p>
        </w:tc>
        <w:tc>
          <w:tcPr>
            <w:tcW w:w="1140" w:type="dxa"/>
            <w:tcBorders>
              <w:top w:val="nil"/>
              <w:left w:val="nil"/>
              <w:bottom w:val="nil"/>
              <w:right w:val="nil"/>
            </w:tcBorders>
            <w:shd w:val="clear" w:color="auto" w:fill="auto"/>
            <w:noWrap/>
            <w:vAlign w:val="center"/>
            <w:hideMark/>
          </w:tcPr>
          <w:p w14:paraId="7D0E66AB"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190 518</w:t>
            </w:r>
          </w:p>
        </w:tc>
      </w:tr>
      <w:tr w:rsidR="009C5D4C" w:rsidRPr="009C5D4C" w14:paraId="7BCB62C2" w14:textId="77777777" w:rsidTr="009C5D4C">
        <w:trPr>
          <w:trHeight w:val="300"/>
        </w:trPr>
        <w:tc>
          <w:tcPr>
            <w:tcW w:w="2800" w:type="dxa"/>
            <w:tcBorders>
              <w:top w:val="nil"/>
              <w:left w:val="nil"/>
              <w:bottom w:val="nil"/>
              <w:right w:val="nil"/>
            </w:tcBorders>
            <w:shd w:val="clear" w:color="auto" w:fill="auto"/>
            <w:noWrap/>
            <w:vAlign w:val="center"/>
            <w:hideMark/>
          </w:tcPr>
          <w:p w14:paraId="1F01DD63"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454 – Rezervný fond</w:t>
            </w:r>
          </w:p>
        </w:tc>
        <w:tc>
          <w:tcPr>
            <w:tcW w:w="1140" w:type="dxa"/>
            <w:tcBorders>
              <w:top w:val="nil"/>
              <w:left w:val="nil"/>
              <w:bottom w:val="nil"/>
              <w:right w:val="nil"/>
            </w:tcBorders>
            <w:shd w:val="clear" w:color="auto" w:fill="auto"/>
            <w:noWrap/>
            <w:vAlign w:val="center"/>
            <w:hideMark/>
          </w:tcPr>
          <w:p w14:paraId="2596E9BF"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11 743 886</w:t>
            </w:r>
          </w:p>
        </w:tc>
        <w:tc>
          <w:tcPr>
            <w:tcW w:w="1140" w:type="dxa"/>
            <w:tcBorders>
              <w:top w:val="nil"/>
              <w:left w:val="nil"/>
              <w:bottom w:val="nil"/>
              <w:right w:val="nil"/>
            </w:tcBorders>
            <w:shd w:val="clear" w:color="auto" w:fill="auto"/>
            <w:noWrap/>
            <w:vAlign w:val="center"/>
            <w:hideMark/>
          </w:tcPr>
          <w:p w14:paraId="29920281"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12 528 719</w:t>
            </w:r>
          </w:p>
        </w:tc>
        <w:tc>
          <w:tcPr>
            <w:tcW w:w="1140" w:type="dxa"/>
            <w:tcBorders>
              <w:top w:val="nil"/>
              <w:left w:val="nil"/>
              <w:bottom w:val="nil"/>
              <w:right w:val="nil"/>
            </w:tcBorders>
            <w:shd w:val="clear" w:color="auto" w:fill="auto"/>
            <w:noWrap/>
            <w:vAlign w:val="center"/>
            <w:hideMark/>
          </w:tcPr>
          <w:p w14:paraId="6176D897"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22 170 000</w:t>
            </w:r>
          </w:p>
        </w:tc>
        <w:tc>
          <w:tcPr>
            <w:tcW w:w="1140" w:type="dxa"/>
            <w:tcBorders>
              <w:top w:val="nil"/>
              <w:left w:val="nil"/>
              <w:bottom w:val="nil"/>
              <w:right w:val="nil"/>
            </w:tcBorders>
            <w:shd w:val="clear" w:color="auto" w:fill="auto"/>
            <w:noWrap/>
            <w:vAlign w:val="center"/>
            <w:hideMark/>
          </w:tcPr>
          <w:p w14:paraId="27600EDF"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10 000 000</w:t>
            </w:r>
          </w:p>
        </w:tc>
        <w:tc>
          <w:tcPr>
            <w:tcW w:w="1140" w:type="dxa"/>
            <w:tcBorders>
              <w:top w:val="nil"/>
              <w:left w:val="nil"/>
              <w:bottom w:val="nil"/>
              <w:right w:val="nil"/>
            </w:tcBorders>
            <w:shd w:val="clear" w:color="000000" w:fill="D9D9D9"/>
            <w:noWrap/>
            <w:vAlign w:val="center"/>
            <w:hideMark/>
          </w:tcPr>
          <w:p w14:paraId="2B2737B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17 000 000</w:t>
            </w:r>
          </w:p>
        </w:tc>
        <w:tc>
          <w:tcPr>
            <w:tcW w:w="1140" w:type="dxa"/>
            <w:tcBorders>
              <w:top w:val="nil"/>
              <w:left w:val="nil"/>
              <w:bottom w:val="nil"/>
              <w:right w:val="nil"/>
            </w:tcBorders>
            <w:shd w:val="clear" w:color="auto" w:fill="auto"/>
            <w:noWrap/>
            <w:vAlign w:val="center"/>
            <w:hideMark/>
          </w:tcPr>
          <w:p w14:paraId="1A910B8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15 000 000</w:t>
            </w:r>
          </w:p>
        </w:tc>
        <w:tc>
          <w:tcPr>
            <w:tcW w:w="1140" w:type="dxa"/>
            <w:tcBorders>
              <w:top w:val="nil"/>
              <w:left w:val="nil"/>
              <w:bottom w:val="nil"/>
              <w:right w:val="nil"/>
            </w:tcBorders>
            <w:shd w:val="clear" w:color="auto" w:fill="auto"/>
            <w:noWrap/>
            <w:vAlign w:val="center"/>
            <w:hideMark/>
          </w:tcPr>
          <w:p w14:paraId="4973D551"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10 000 000</w:t>
            </w:r>
          </w:p>
        </w:tc>
      </w:tr>
      <w:tr w:rsidR="009C5D4C" w:rsidRPr="009C5D4C" w14:paraId="41F30253" w14:textId="77777777" w:rsidTr="009C5D4C">
        <w:trPr>
          <w:trHeight w:val="300"/>
        </w:trPr>
        <w:tc>
          <w:tcPr>
            <w:tcW w:w="2800" w:type="dxa"/>
            <w:tcBorders>
              <w:top w:val="nil"/>
              <w:left w:val="nil"/>
              <w:bottom w:val="nil"/>
              <w:right w:val="nil"/>
            </w:tcBorders>
            <w:shd w:val="clear" w:color="auto" w:fill="auto"/>
            <w:noWrap/>
            <w:vAlign w:val="center"/>
            <w:hideMark/>
          </w:tcPr>
          <w:p w14:paraId="4498A09E"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456 – Prijaté zábezpeky</w:t>
            </w:r>
          </w:p>
        </w:tc>
        <w:tc>
          <w:tcPr>
            <w:tcW w:w="1140" w:type="dxa"/>
            <w:tcBorders>
              <w:top w:val="nil"/>
              <w:left w:val="nil"/>
              <w:bottom w:val="nil"/>
              <w:right w:val="nil"/>
            </w:tcBorders>
            <w:shd w:val="clear" w:color="auto" w:fill="auto"/>
            <w:noWrap/>
            <w:vAlign w:val="center"/>
            <w:hideMark/>
          </w:tcPr>
          <w:p w14:paraId="2E5695DB"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673 206</w:t>
            </w:r>
          </w:p>
        </w:tc>
        <w:tc>
          <w:tcPr>
            <w:tcW w:w="1140" w:type="dxa"/>
            <w:tcBorders>
              <w:top w:val="nil"/>
              <w:left w:val="nil"/>
              <w:bottom w:val="nil"/>
              <w:right w:val="nil"/>
            </w:tcBorders>
            <w:shd w:val="clear" w:color="auto" w:fill="auto"/>
            <w:noWrap/>
            <w:vAlign w:val="center"/>
            <w:hideMark/>
          </w:tcPr>
          <w:p w14:paraId="4ABFBED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527 412</w:t>
            </w:r>
          </w:p>
        </w:tc>
        <w:tc>
          <w:tcPr>
            <w:tcW w:w="1140" w:type="dxa"/>
            <w:tcBorders>
              <w:top w:val="nil"/>
              <w:left w:val="nil"/>
              <w:bottom w:val="nil"/>
              <w:right w:val="nil"/>
            </w:tcBorders>
            <w:shd w:val="clear" w:color="auto" w:fill="auto"/>
            <w:noWrap/>
            <w:vAlign w:val="center"/>
            <w:hideMark/>
          </w:tcPr>
          <w:p w14:paraId="3908EE23"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26A478C0"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000000" w:fill="D9D9D9"/>
            <w:noWrap/>
            <w:vAlign w:val="center"/>
            <w:hideMark/>
          </w:tcPr>
          <w:p w14:paraId="0EB934E5"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722EF22E"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0E0DC95F"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r>
      <w:tr w:rsidR="009C5D4C" w:rsidRPr="009C5D4C" w14:paraId="7CBD3ACF" w14:textId="77777777" w:rsidTr="009C5D4C">
        <w:trPr>
          <w:trHeight w:val="300"/>
        </w:trPr>
        <w:tc>
          <w:tcPr>
            <w:tcW w:w="2800" w:type="dxa"/>
            <w:tcBorders>
              <w:top w:val="nil"/>
              <w:left w:val="nil"/>
              <w:bottom w:val="nil"/>
              <w:right w:val="nil"/>
            </w:tcBorders>
            <w:shd w:val="clear" w:color="000000" w:fill="DCE6F1"/>
            <w:noWrap/>
            <w:vAlign w:val="center"/>
            <w:hideMark/>
          </w:tcPr>
          <w:p w14:paraId="22AD0890" w14:textId="77777777" w:rsidR="009C5D4C" w:rsidRPr="009C5D4C" w:rsidRDefault="009C5D4C" w:rsidP="009C5D4C">
            <w:pPr>
              <w:spacing w:after="0" w:line="240" w:lineRule="auto"/>
              <w:ind w:firstLineChars="300" w:firstLine="542"/>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Prijaté úvery, pôžičky, NFV</w:t>
            </w:r>
          </w:p>
        </w:tc>
        <w:tc>
          <w:tcPr>
            <w:tcW w:w="1140" w:type="dxa"/>
            <w:tcBorders>
              <w:top w:val="nil"/>
              <w:left w:val="nil"/>
              <w:bottom w:val="nil"/>
              <w:right w:val="nil"/>
            </w:tcBorders>
            <w:shd w:val="clear" w:color="000000" w:fill="DCE6F1"/>
            <w:noWrap/>
            <w:vAlign w:val="center"/>
            <w:hideMark/>
          </w:tcPr>
          <w:p w14:paraId="632E510E"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14 000 000</w:t>
            </w:r>
          </w:p>
        </w:tc>
        <w:tc>
          <w:tcPr>
            <w:tcW w:w="1140" w:type="dxa"/>
            <w:tcBorders>
              <w:top w:val="nil"/>
              <w:left w:val="nil"/>
              <w:bottom w:val="nil"/>
              <w:right w:val="nil"/>
            </w:tcBorders>
            <w:shd w:val="clear" w:color="000000" w:fill="DCE6F1"/>
            <w:noWrap/>
            <w:vAlign w:val="center"/>
            <w:hideMark/>
          </w:tcPr>
          <w:p w14:paraId="02E870A3"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42 100 000</w:t>
            </w:r>
          </w:p>
        </w:tc>
        <w:tc>
          <w:tcPr>
            <w:tcW w:w="1140" w:type="dxa"/>
            <w:tcBorders>
              <w:top w:val="nil"/>
              <w:left w:val="nil"/>
              <w:bottom w:val="nil"/>
              <w:right w:val="nil"/>
            </w:tcBorders>
            <w:shd w:val="clear" w:color="000000" w:fill="DCE6F1"/>
            <w:noWrap/>
            <w:vAlign w:val="center"/>
            <w:hideMark/>
          </w:tcPr>
          <w:p w14:paraId="2A35DBEE"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0</w:t>
            </w:r>
          </w:p>
        </w:tc>
        <w:tc>
          <w:tcPr>
            <w:tcW w:w="1140" w:type="dxa"/>
            <w:tcBorders>
              <w:top w:val="nil"/>
              <w:left w:val="nil"/>
              <w:bottom w:val="nil"/>
              <w:right w:val="nil"/>
            </w:tcBorders>
            <w:shd w:val="clear" w:color="000000" w:fill="DCE6F1"/>
            <w:noWrap/>
            <w:vAlign w:val="center"/>
            <w:hideMark/>
          </w:tcPr>
          <w:p w14:paraId="6F431493"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0</w:t>
            </w:r>
          </w:p>
        </w:tc>
        <w:tc>
          <w:tcPr>
            <w:tcW w:w="1140" w:type="dxa"/>
            <w:tcBorders>
              <w:top w:val="nil"/>
              <w:left w:val="nil"/>
              <w:bottom w:val="nil"/>
              <w:right w:val="nil"/>
            </w:tcBorders>
            <w:shd w:val="clear" w:color="000000" w:fill="D9D9D9"/>
            <w:noWrap/>
            <w:vAlign w:val="center"/>
            <w:hideMark/>
          </w:tcPr>
          <w:p w14:paraId="7B793772"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18 980 000</w:t>
            </w:r>
          </w:p>
        </w:tc>
        <w:tc>
          <w:tcPr>
            <w:tcW w:w="1140" w:type="dxa"/>
            <w:tcBorders>
              <w:top w:val="nil"/>
              <w:left w:val="nil"/>
              <w:bottom w:val="nil"/>
              <w:right w:val="nil"/>
            </w:tcBorders>
            <w:shd w:val="clear" w:color="000000" w:fill="DCE6F1"/>
            <w:noWrap/>
            <w:vAlign w:val="center"/>
            <w:hideMark/>
          </w:tcPr>
          <w:p w14:paraId="74510DEB"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15 000 000</w:t>
            </w:r>
          </w:p>
        </w:tc>
        <w:tc>
          <w:tcPr>
            <w:tcW w:w="1140" w:type="dxa"/>
            <w:tcBorders>
              <w:top w:val="nil"/>
              <w:left w:val="nil"/>
              <w:bottom w:val="nil"/>
              <w:right w:val="nil"/>
            </w:tcBorders>
            <w:shd w:val="clear" w:color="000000" w:fill="DCE6F1"/>
            <w:noWrap/>
            <w:vAlign w:val="center"/>
            <w:hideMark/>
          </w:tcPr>
          <w:p w14:paraId="648FD3CD" w14:textId="77777777" w:rsidR="009C5D4C" w:rsidRPr="009C5D4C" w:rsidRDefault="009C5D4C" w:rsidP="009C5D4C">
            <w:pPr>
              <w:spacing w:after="0" w:line="240" w:lineRule="auto"/>
              <w:jc w:val="right"/>
              <w:rPr>
                <w:rFonts w:ascii="Calibri" w:eastAsia="Times New Roman" w:hAnsi="Calibri" w:cs="Calibri"/>
                <w:b/>
                <w:bCs/>
                <w:color w:val="000000"/>
                <w:sz w:val="18"/>
                <w:szCs w:val="18"/>
                <w:lang w:eastAsia="sk-SK"/>
              </w:rPr>
            </w:pPr>
            <w:r w:rsidRPr="009C5D4C">
              <w:rPr>
                <w:rFonts w:ascii="Calibri" w:eastAsia="Times New Roman" w:hAnsi="Calibri" w:cs="Calibri"/>
                <w:b/>
                <w:bCs/>
                <w:color w:val="000000"/>
                <w:sz w:val="18"/>
                <w:szCs w:val="18"/>
                <w:lang w:eastAsia="sk-SK"/>
              </w:rPr>
              <w:t>30 000 000</w:t>
            </w:r>
          </w:p>
        </w:tc>
      </w:tr>
      <w:tr w:rsidR="009C5D4C" w:rsidRPr="009C5D4C" w14:paraId="68E8605E" w14:textId="77777777" w:rsidTr="009C5D4C">
        <w:trPr>
          <w:trHeight w:val="300"/>
        </w:trPr>
        <w:tc>
          <w:tcPr>
            <w:tcW w:w="2800" w:type="dxa"/>
            <w:tcBorders>
              <w:top w:val="nil"/>
              <w:left w:val="nil"/>
              <w:bottom w:val="nil"/>
              <w:right w:val="nil"/>
            </w:tcBorders>
            <w:shd w:val="clear" w:color="auto" w:fill="auto"/>
            <w:noWrap/>
            <w:vAlign w:val="center"/>
            <w:hideMark/>
          </w:tcPr>
          <w:p w14:paraId="02860127"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510 - Úvery tuzemské</w:t>
            </w:r>
          </w:p>
        </w:tc>
        <w:tc>
          <w:tcPr>
            <w:tcW w:w="1140" w:type="dxa"/>
            <w:tcBorders>
              <w:top w:val="nil"/>
              <w:left w:val="nil"/>
              <w:bottom w:val="nil"/>
              <w:right w:val="nil"/>
            </w:tcBorders>
            <w:shd w:val="clear" w:color="auto" w:fill="auto"/>
            <w:noWrap/>
            <w:vAlign w:val="center"/>
            <w:hideMark/>
          </w:tcPr>
          <w:p w14:paraId="69E6E2A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11 000 000</w:t>
            </w:r>
          </w:p>
        </w:tc>
        <w:tc>
          <w:tcPr>
            <w:tcW w:w="1140" w:type="dxa"/>
            <w:tcBorders>
              <w:top w:val="nil"/>
              <w:left w:val="nil"/>
              <w:bottom w:val="nil"/>
              <w:right w:val="nil"/>
            </w:tcBorders>
            <w:shd w:val="clear" w:color="auto" w:fill="auto"/>
            <w:noWrap/>
            <w:vAlign w:val="center"/>
            <w:hideMark/>
          </w:tcPr>
          <w:p w14:paraId="5991DDF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42 100 000</w:t>
            </w:r>
          </w:p>
        </w:tc>
        <w:tc>
          <w:tcPr>
            <w:tcW w:w="1140" w:type="dxa"/>
            <w:tcBorders>
              <w:top w:val="nil"/>
              <w:left w:val="nil"/>
              <w:bottom w:val="nil"/>
              <w:right w:val="nil"/>
            </w:tcBorders>
            <w:shd w:val="clear" w:color="auto" w:fill="auto"/>
            <w:noWrap/>
            <w:vAlign w:val="center"/>
            <w:hideMark/>
          </w:tcPr>
          <w:p w14:paraId="4BFD072D"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450916E6"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000000" w:fill="D9D9D9"/>
            <w:noWrap/>
            <w:vAlign w:val="center"/>
            <w:hideMark/>
          </w:tcPr>
          <w:p w14:paraId="08C04F53"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3 980 000</w:t>
            </w:r>
          </w:p>
        </w:tc>
        <w:tc>
          <w:tcPr>
            <w:tcW w:w="1140" w:type="dxa"/>
            <w:tcBorders>
              <w:top w:val="nil"/>
              <w:left w:val="nil"/>
              <w:bottom w:val="nil"/>
              <w:right w:val="nil"/>
            </w:tcBorders>
            <w:shd w:val="clear" w:color="auto" w:fill="auto"/>
            <w:noWrap/>
            <w:vAlign w:val="center"/>
            <w:hideMark/>
          </w:tcPr>
          <w:p w14:paraId="54AFC77E"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5 000 000</w:t>
            </w:r>
          </w:p>
        </w:tc>
        <w:tc>
          <w:tcPr>
            <w:tcW w:w="1140" w:type="dxa"/>
            <w:tcBorders>
              <w:top w:val="nil"/>
              <w:left w:val="nil"/>
              <w:bottom w:val="nil"/>
              <w:right w:val="nil"/>
            </w:tcBorders>
            <w:shd w:val="clear" w:color="auto" w:fill="auto"/>
            <w:noWrap/>
            <w:vAlign w:val="center"/>
            <w:hideMark/>
          </w:tcPr>
          <w:p w14:paraId="76850A48"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30 000 000</w:t>
            </w:r>
          </w:p>
        </w:tc>
      </w:tr>
      <w:tr w:rsidR="009C5D4C" w:rsidRPr="009C5D4C" w14:paraId="2C9A5DA8" w14:textId="77777777" w:rsidTr="009C5D4C">
        <w:trPr>
          <w:trHeight w:val="300"/>
        </w:trPr>
        <w:tc>
          <w:tcPr>
            <w:tcW w:w="2800" w:type="dxa"/>
            <w:tcBorders>
              <w:top w:val="nil"/>
              <w:left w:val="nil"/>
              <w:bottom w:val="nil"/>
              <w:right w:val="nil"/>
            </w:tcBorders>
            <w:shd w:val="clear" w:color="auto" w:fill="auto"/>
            <w:noWrap/>
            <w:vAlign w:val="center"/>
            <w:hideMark/>
          </w:tcPr>
          <w:p w14:paraId="35C5EBDD" w14:textId="77777777" w:rsidR="009C5D4C" w:rsidRPr="009C5D4C" w:rsidRDefault="009C5D4C" w:rsidP="009C5D4C">
            <w:pPr>
              <w:spacing w:after="0" w:line="240" w:lineRule="auto"/>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 xml:space="preserve">520 – Úvery zahraničné </w:t>
            </w:r>
          </w:p>
        </w:tc>
        <w:tc>
          <w:tcPr>
            <w:tcW w:w="1140" w:type="dxa"/>
            <w:tcBorders>
              <w:top w:val="nil"/>
              <w:left w:val="nil"/>
              <w:bottom w:val="nil"/>
              <w:right w:val="nil"/>
            </w:tcBorders>
            <w:shd w:val="clear" w:color="auto" w:fill="auto"/>
            <w:noWrap/>
            <w:vAlign w:val="center"/>
            <w:hideMark/>
          </w:tcPr>
          <w:p w14:paraId="04F63E7A"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3 000 000</w:t>
            </w:r>
          </w:p>
        </w:tc>
        <w:tc>
          <w:tcPr>
            <w:tcW w:w="1140" w:type="dxa"/>
            <w:tcBorders>
              <w:top w:val="nil"/>
              <w:left w:val="nil"/>
              <w:bottom w:val="nil"/>
              <w:right w:val="nil"/>
            </w:tcBorders>
            <w:shd w:val="clear" w:color="auto" w:fill="auto"/>
            <w:noWrap/>
            <w:vAlign w:val="center"/>
            <w:hideMark/>
          </w:tcPr>
          <w:p w14:paraId="75C782D8"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01F37EFA"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auto" w:fill="auto"/>
            <w:noWrap/>
            <w:vAlign w:val="center"/>
            <w:hideMark/>
          </w:tcPr>
          <w:p w14:paraId="755ADC83"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c>
          <w:tcPr>
            <w:tcW w:w="1140" w:type="dxa"/>
            <w:tcBorders>
              <w:top w:val="nil"/>
              <w:left w:val="nil"/>
              <w:bottom w:val="nil"/>
              <w:right w:val="nil"/>
            </w:tcBorders>
            <w:shd w:val="clear" w:color="000000" w:fill="D9D9D9"/>
            <w:noWrap/>
            <w:vAlign w:val="center"/>
            <w:hideMark/>
          </w:tcPr>
          <w:p w14:paraId="39CA876D"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15 000 000</w:t>
            </w:r>
          </w:p>
        </w:tc>
        <w:tc>
          <w:tcPr>
            <w:tcW w:w="1140" w:type="dxa"/>
            <w:tcBorders>
              <w:top w:val="nil"/>
              <w:left w:val="nil"/>
              <w:bottom w:val="nil"/>
              <w:right w:val="nil"/>
            </w:tcBorders>
            <w:shd w:val="clear" w:color="auto" w:fill="auto"/>
            <w:noWrap/>
            <w:vAlign w:val="center"/>
            <w:hideMark/>
          </w:tcPr>
          <w:p w14:paraId="29BA387D"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10 000 000</w:t>
            </w:r>
          </w:p>
        </w:tc>
        <w:tc>
          <w:tcPr>
            <w:tcW w:w="1140" w:type="dxa"/>
            <w:tcBorders>
              <w:top w:val="nil"/>
              <w:left w:val="nil"/>
              <w:bottom w:val="nil"/>
              <w:right w:val="nil"/>
            </w:tcBorders>
            <w:shd w:val="clear" w:color="auto" w:fill="auto"/>
            <w:noWrap/>
            <w:vAlign w:val="center"/>
            <w:hideMark/>
          </w:tcPr>
          <w:p w14:paraId="6815EFB8" w14:textId="77777777" w:rsidR="009C5D4C" w:rsidRPr="009C5D4C" w:rsidRDefault="009C5D4C" w:rsidP="009C5D4C">
            <w:pPr>
              <w:spacing w:after="0" w:line="240" w:lineRule="auto"/>
              <w:jc w:val="right"/>
              <w:rPr>
                <w:rFonts w:ascii="Calibri" w:eastAsia="Times New Roman" w:hAnsi="Calibri" w:cs="Calibri"/>
                <w:color w:val="000000"/>
                <w:sz w:val="18"/>
                <w:szCs w:val="18"/>
                <w:lang w:eastAsia="sk-SK"/>
              </w:rPr>
            </w:pPr>
            <w:r w:rsidRPr="009C5D4C">
              <w:rPr>
                <w:rFonts w:ascii="Calibri" w:eastAsia="Times New Roman" w:hAnsi="Calibri" w:cs="Calibri"/>
                <w:color w:val="000000"/>
                <w:sz w:val="18"/>
                <w:szCs w:val="18"/>
                <w:lang w:eastAsia="sk-SK"/>
              </w:rPr>
              <w:t>0</w:t>
            </w:r>
          </w:p>
        </w:tc>
      </w:tr>
    </w:tbl>
    <w:p w14:paraId="029C9D7A" w14:textId="77777777" w:rsidR="009C5D4C" w:rsidRDefault="009C5D4C" w:rsidP="00C8280C">
      <w:pPr>
        <w:jc w:val="both"/>
        <w:rPr>
          <w:rFonts w:cstheme="minorHAnsi"/>
          <w:sz w:val="24"/>
          <w:szCs w:val="24"/>
        </w:rPr>
      </w:pPr>
    </w:p>
    <w:p w14:paraId="456056E3" w14:textId="77777777" w:rsidR="00C8280C" w:rsidRDefault="00C8280C" w:rsidP="00C8280C">
      <w:pPr>
        <w:spacing w:after="0"/>
        <w:jc w:val="both"/>
        <w:rPr>
          <w:rFonts w:cstheme="minorHAnsi"/>
        </w:rPr>
      </w:pPr>
    </w:p>
    <w:p w14:paraId="1BF22AFE" w14:textId="77777777" w:rsidR="00C8280C" w:rsidRDefault="00C8280C" w:rsidP="00C8280C">
      <w:pPr>
        <w:spacing w:after="0" w:line="360" w:lineRule="auto"/>
        <w:jc w:val="both"/>
        <w:rPr>
          <w:rFonts w:cstheme="minorHAnsi"/>
          <w:b/>
          <w:sz w:val="28"/>
          <w:szCs w:val="28"/>
        </w:rPr>
      </w:pPr>
      <w:r w:rsidRPr="003A5EF6">
        <w:rPr>
          <w:rFonts w:cstheme="minorHAnsi"/>
          <w:b/>
          <w:sz w:val="28"/>
          <w:szCs w:val="28"/>
        </w:rPr>
        <w:t xml:space="preserve">      2.1 Daňové príjmy</w:t>
      </w:r>
    </w:p>
    <w:tbl>
      <w:tblPr>
        <w:tblW w:w="5000" w:type="pct"/>
        <w:tblCellMar>
          <w:left w:w="70" w:type="dxa"/>
          <w:right w:w="70" w:type="dxa"/>
        </w:tblCellMar>
        <w:tblLook w:val="04A0" w:firstRow="1" w:lastRow="0" w:firstColumn="1" w:lastColumn="0" w:noHBand="0" w:noVBand="1"/>
      </w:tblPr>
      <w:tblGrid>
        <w:gridCol w:w="2390"/>
        <w:gridCol w:w="1187"/>
        <w:gridCol w:w="1296"/>
        <w:gridCol w:w="1375"/>
        <w:gridCol w:w="963"/>
        <w:gridCol w:w="1042"/>
        <w:gridCol w:w="1139"/>
        <w:gridCol w:w="1074"/>
      </w:tblGrid>
      <w:tr w:rsidR="00C8280C" w:rsidRPr="00DD45AE" w14:paraId="62521CA5" w14:textId="77777777" w:rsidTr="00F17D0E">
        <w:trPr>
          <w:trHeight w:val="315"/>
        </w:trPr>
        <w:tc>
          <w:tcPr>
            <w:tcW w:w="1142" w:type="pct"/>
            <w:tcBorders>
              <w:top w:val="single" w:sz="8" w:space="0" w:color="366092"/>
              <w:left w:val="nil"/>
              <w:bottom w:val="single" w:sz="8" w:space="0" w:color="F2F2F2"/>
              <w:right w:val="nil"/>
            </w:tcBorders>
            <w:shd w:val="clear" w:color="000000" w:fill="366092"/>
            <w:noWrap/>
            <w:vAlign w:val="center"/>
            <w:hideMark/>
          </w:tcPr>
          <w:p w14:paraId="346814A9" w14:textId="77777777" w:rsidR="00C8280C" w:rsidRPr="00DD45AE" w:rsidRDefault="00C8280C" w:rsidP="00AD25B5">
            <w:pPr>
              <w:spacing w:after="0" w:line="240" w:lineRule="auto"/>
              <w:rPr>
                <w:rFonts w:ascii="Calibri" w:eastAsia="Times New Roman" w:hAnsi="Calibri" w:cs="Calibri"/>
                <w:b/>
                <w:bCs/>
                <w:color w:val="FFFFFF"/>
                <w:sz w:val="16"/>
                <w:szCs w:val="16"/>
                <w:lang w:eastAsia="sk-SK"/>
              </w:rPr>
            </w:pPr>
            <w:r w:rsidRPr="00DD45AE">
              <w:rPr>
                <w:rFonts w:ascii="Calibri" w:eastAsia="Times New Roman" w:hAnsi="Calibri" w:cs="Calibri"/>
                <w:b/>
                <w:bCs/>
                <w:color w:val="FFFFFF"/>
                <w:sz w:val="16"/>
                <w:szCs w:val="16"/>
                <w:lang w:eastAsia="sk-SK"/>
              </w:rPr>
              <w:t>Ukazovateľ</w:t>
            </w:r>
          </w:p>
        </w:tc>
        <w:tc>
          <w:tcPr>
            <w:tcW w:w="567" w:type="pct"/>
            <w:tcBorders>
              <w:top w:val="nil"/>
              <w:left w:val="nil"/>
              <w:bottom w:val="single" w:sz="8" w:space="0" w:color="F2F2F2"/>
              <w:right w:val="nil"/>
            </w:tcBorders>
            <w:shd w:val="clear" w:color="000000" w:fill="366092"/>
            <w:noWrap/>
            <w:vAlign w:val="center"/>
            <w:hideMark/>
          </w:tcPr>
          <w:p w14:paraId="17ED6EB0" w14:textId="64C4F619" w:rsidR="00C8280C" w:rsidRPr="00DD45AE" w:rsidRDefault="00C8280C" w:rsidP="00AD25B5">
            <w:pPr>
              <w:spacing w:after="0" w:line="240" w:lineRule="auto"/>
              <w:jc w:val="center"/>
              <w:rPr>
                <w:rFonts w:ascii="Calibri" w:eastAsia="Times New Roman" w:hAnsi="Calibri" w:cs="Calibri"/>
                <w:b/>
                <w:bCs/>
                <w:color w:val="FFFFFF"/>
                <w:sz w:val="16"/>
                <w:szCs w:val="16"/>
                <w:lang w:eastAsia="sk-SK"/>
              </w:rPr>
            </w:pPr>
            <w:r w:rsidRPr="00DD45AE">
              <w:rPr>
                <w:rFonts w:ascii="Calibri" w:eastAsia="Times New Roman" w:hAnsi="Calibri" w:cs="Calibri"/>
                <w:b/>
                <w:bCs/>
                <w:color w:val="FFFFFF"/>
                <w:sz w:val="16"/>
                <w:szCs w:val="16"/>
                <w:lang w:eastAsia="sk-SK"/>
              </w:rPr>
              <w:t>202</w:t>
            </w:r>
            <w:r w:rsidR="0075277C">
              <w:rPr>
                <w:rFonts w:ascii="Calibri" w:eastAsia="Times New Roman" w:hAnsi="Calibri" w:cs="Calibri"/>
                <w:b/>
                <w:bCs/>
                <w:color w:val="FFFFFF"/>
                <w:sz w:val="16"/>
                <w:szCs w:val="16"/>
                <w:lang w:eastAsia="sk-SK"/>
              </w:rPr>
              <w:t>2</w:t>
            </w:r>
            <w:r w:rsidRPr="00DD45AE">
              <w:rPr>
                <w:rFonts w:ascii="Calibri" w:eastAsia="Times New Roman" w:hAnsi="Calibri" w:cs="Calibri"/>
                <w:b/>
                <w:bCs/>
                <w:color w:val="FFFFFF"/>
                <w:sz w:val="16"/>
                <w:szCs w:val="16"/>
                <w:lang w:eastAsia="sk-SK"/>
              </w:rPr>
              <w:t xml:space="preserve"> (S)</w:t>
            </w:r>
          </w:p>
        </w:tc>
        <w:tc>
          <w:tcPr>
            <w:tcW w:w="619" w:type="pct"/>
            <w:tcBorders>
              <w:top w:val="nil"/>
              <w:left w:val="nil"/>
              <w:bottom w:val="single" w:sz="8" w:space="0" w:color="F2F2F2"/>
              <w:right w:val="nil"/>
            </w:tcBorders>
            <w:shd w:val="clear" w:color="000000" w:fill="366092"/>
            <w:noWrap/>
            <w:vAlign w:val="center"/>
            <w:hideMark/>
          </w:tcPr>
          <w:p w14:paraId="0ABC20DF" w14:textId="7C6606BC" w:rsidR="00C8280C" w:rsidRPr="00DD45AE" w:rsidRDefault="00C8280C" w:rsidP="00AD25B5">
            <w:pPr>
              <w:spacing w:after="0" w:line="240" w:lineRule="auto"/>
              <w:jc w:val="center"/>
              <w:rPr>
                <w:rFonts w:ascii="Calibri" w:eastAsia="Times New Roman" w:hAnsi="Calibri" w:cs="Calibri"/>
                <w:b/>
                <w:bCs/>
                <w:color w:val="FFFFFF"/>
                <w:sz w:val="16"/>
                <w:szCs w:val="16"/>
                <w:lang w:eastAsia="sk-SK"/>
              </w:rPr>
            </w:pPr>
            <w:r w:rsidRPr="00DD45AE">
              <w:rPr>
                <w:rFonts w:ascii="Calibri" w:eastAsia="Times New Roman" w:hAnsi="Calibri" w:cs="Calibri"/>
                <w:b/>
                <w:bCs/>
                <w:color w:val="FFFFFF"/>
                <w:sz w:val="16"/>
                <w:szCs w:val="16"/>
                <w:lang w:eastAsia="sk-SK"/>
              </w:rPr>
              <w:t>202</w:t>
            </w:r>
            <w:r w:rsidR="0075277C">
              <w:rPr>
                <w:rFonts w:ascii="Calibri" w:eastAsia="Times New Roman" w:hAnsi="Calibri" w:cs="Calibri"/>
                <w:b/>
                <w:bCs/>
                <w:color w:val="FFFFFF"/>
                <w:sz w:val="16"/>
                <w:szCs w:val="16"/>
                <w:lang w:eastAsia="sk-SK"/>
              </w:rPr>
              <w:t>3</w:t>
            </w:r>
            <w:r w:rsidRPr="00DD45AE">
              <w:rPr>
                <w:rFonts w:ascii="Calibri" w:eastAsia="Times New Roman" w:hAnsi="Calibri" w:cs="Calibri"/>
                <w:b/>
                <w:bCs/>
                <w:color w:val="FFFFFF"/>
                <w:sz w:val="16"/>
                <w:szCs w:val="16"/>
                <w:lang w:eastAsia="sk-SK"/>
              </w:rPr>
              <w:t xml:space="preserve"> (S)</w:t>
            </w:r>
          </w:p>
        </w:tc>
        <w:tc>
          <w:tcPr>
            <w:tcW w:w="657" w:type="pct"/>
            <w:tcBorders>
              <w:top w:val="nil"/>
              <w:left w:val="nil"/>
              <w:bottom w:val="single" w:sz="8" w:space="0" w:color="F2F2F2"/>
              <w:right w:val="nil"/>
            </w:tcBorders>
            <w:shd w:val="clear" w:color="000000" w:fill="366092"/>
            <w:noWrap/>
            <w:vAlign w:val="center"/>
            <w:hideMark/>
          </w:tcPr>
          <w:p w14:paraId="6E45B0B3" w14:textId="26909C7B" w:rsidR="00C8280C" w:rsidRPr="00DD45AE" w:rsidRDefault="00C8280C" w:rsidP="00AD25B5">
            <w:pPr>
              <w:spacing w:after="0" w:line="240" w:lineRule="auto"/>
              <w:jc w:val="center"/>
              <w:rPr>
                <w:rFonts w:ascii="Calibri" w:eastAsia="Times New Roman" w:hAnsi="Calibri" w:cs="Calibri"/>
                <w:b/>
                <w:bCs/>
                <w:color w:val="FFFFFF"/>
                <w:sz w:val="16"/>
                <w:szCs w:val="16"/>
                <w:lang w:eastAsia="sk-SK"/>
              </w:rPr>
            </w:pPr>
            <w:r w:rsidRPr="00DD45AE">
              <w:rPr>
                <w:rFonts w:ascii="Calibri" w:eastAsia="Times New Roman" w:hAnsi="Calibri" w:cs="Calibri"/>
                <w:b/>
                <w:bCs/>
                <w:color w:val="FFFFFF"/>
                <w:sz w:val="16"/>
                <w:szCs w:val="16"/>
                <w:lang w:eastAsia="sk-SK"/>
              </w:rPr>
              <w:t>202</w:t>
            </w:r>
            <w:r w:rsidR="0075277C">
              <w:rPr>
                <w:rFonts w:ascii="Calibri" w:eastAsia="Times New Roman" w:hAnsi="Calibri" w:cs="Calibri"/>
                <w:b/>
                <w:bCs/>
                <w:color w:val="FFFFFF"/>
                <w:sz w:val="16"/>
                <w:szCs w:val="16"/>
                <w:lang w:eastAsia="sk-SK"/>
              </w:rPr>
              <w:t>4</w:t>
            </w:r>
            <w:r w:rsidRPr="00DD45AE">
              <w:rPr>
                <w:rFonts w:ascii="Calibri" w:eastAsia="Times New Roman" w:hAnsi="Calibri" w:cs="Calibri"/>
                <w:b/>
                <w:bCs/>
                <w:color w:val="FFFFFF"/>
                <w:sz w:val="16"/>
                <w:szCs w:val="16"/>
                <w:lang w:eastAsia="sk-SK"/>
              </w:rPr>
              <w:t xml:space="preserve"> (SR)</w:t>
            </w:r>
          </w:p>
        </w:tc>
        <w:tc>
          <w:tcPr>
            <w:tcW w:w="460" w:type="pct"/>
            <w:tcBorders>
              <w:top w:val="nil"/>
              <w:left w:val="nil"/>
              <w:bottom w:val="single" w:sz="8" w:space="0" w:color="F2F2F2"/>
              <w:right w:val="nil"/>
            </w:tcBorders>
            <w:shd w:val="clear" w:color="000000" w:fill="366092"/>
            <w:noWrap/>
            <w:vAlign w:val="center"/>
            <w:hideMark/>
          </w:tcPr>
          <w:p w14:paraId="0298AAE2" w14:textId="76461440" w:rsidR="00C8280C" w:rsidRPr="00DD45AE" w:rsidRDefault="00C8280C" w:rsidP="00AD25B5">
            <w:pPr>
              <w:spacing w:after="0" w:line="240" w:lineRule="auto"/>
              <w:jc w:val="center"/>
              <w:rPr>
                <w:rFonts w:ascii="Calibri" w:eastAsia="Times New Roman" w:hAnsi="Calibri" w:cs="Calibri"/>
                <w:b/>
                <w:bCs/>
                <w:color w:val="FFFFFF"/>
                <w:sz w:val="16"/>
                <w:szCs w:val="16"/>
                <w:lang w:eastAsia="sk-SK"/>
              </w:rPr>
            </w:pPr>
            <w:r w:rsidRPr="00DD45AE">
              <w:rPr>
                <w:rFonts w:ascii="Calibri" w:eastAsia="Times New Roman" w:hAnsi="Calibri" w:cs="Calibri"/>
                <w:b/>
                <w:bCs/>
                <w:color w:val="FFFFFF"/>
                <w:sz w:val="16"/>
                <w:szCs w:val="16"/>
                <w:lang w:eastAsia="sk-SK"/>
              </w:rPr>
              <w:t>202</w:t>
            </w:r>
            <w:r w:rsidR="0075277C">
              <w:rPr>
                <w:rFonts w:ascii="Calibri" w:eastAsia="Times New Roman" w:hAnsi="Calibri" w:cs="Calibri"/>
                <w:b/>
                <w:bCs/>
                <w:color w:val="FFFFFF"/>
                <w:sz w:val="16"/>
                <w:szCs w:val="16"/>
                <w:lang w:eastAsia="sk-SK"/>
              </w:rPr>
              <w:t>4</w:t>
            </w:r>
            <w:r w:rsidRPr="00DD45AE">
              <w:rPr>
                <w:rFonts w:ascii="Calibri" w:eastAsia="Times New Roman" w:hAnsi="Calibri" w:cs="Calibri"/>
                <w:b/>
                <w:bCs/>
                <w:color w:val="FFFFFF"/>
                <w:sz w:val="16"/>
                <w:szCs w:val="16"/>
                <w:lang w:eastAsia="sk-SK"/>
              </w:rPr>
              <w:t xml:space="preserve"> (OS)</w:t>
            </w:r>
          </w:p>
        </w:tc>
        <w:tc>
          <w:tcPr>
            <w:tcW w:w="498" w:type="pct"/>
            <w:tcBorders>
              <w:top w:val="nil"/>
              <w:left w:val="nil"/>
              <w:bottom w:val="single" w:sz="8" w:space="0" w:color="F2F2F2"/>
              <w:right w:val="nil"/>
            </w:tcBorders>
            <w:shd w:val="clear" w:color="000000" w:fill="366092"/>
            <w:noWrap/>
            <w:vAlign w:val="center"/>
            <w:hideMark/>
          </w:tcPr>
          <w:p w14:paraId="35E04A4A" w14:textId="4EDDAD0C" w:rsidR="00C8280C" w:rsidRPr="00DD45AE" w:rsidRDefault="00C8280C" w:rsidP="00AD25B5">
            <w:pPr>
              <w:spacing w:after="0" w:line="240" w:lineRule="auto"/>
              <w:jc w:val="center"/>
              <w:rPr>
                <w:rFonts w:ascii="Calibri" w:eastAsia="Times New Roman" w:hAnsi="Calibri" w:cs="Calibri"/>
                <w:b/>
                <w:bCs/>
                <w:color w:val="FFFFFF"/>
                <w:sz w:val="16"/>
                <w:szCs w:val="16"/>
                <w:lang w:eastAsia="sk-SK"/>
              </w:rPr>
            </w:pPr>
            <w:r w:rsidRPr="00DD45AE">
              <w:rPr>
                <w:rFonts w:ascii="Calibri" w:eastAsia="Times New Roman" w:hAnsi="Calibri" w:cs="Calibri"/>
                <w:b/>
                <w:bCs/>
                <w:color w:val="FFFFFF"/>
                <w:sz w:val="16"/>
                <w:szCs w:val="16"/>
                <w:lang w:eastAsia="sk-SK"/>
              </w:rPr>
              <w:t>20</w:t>
            </w:r>
            <w:r w:rsidR="00ED7309">
              <w:rPr>
                <w:rFonts w:ascii="Calibri" w:eastAsia="Times New Roman" w:hAnsi="Calibri" w:cs="Calibri"/>
                <w:b/>
                <w:bCs/>
                <w:color w:val="FFFFFF"/>
                <w:sz w:val="16"/>
                <w:szCs w:val="16"/>
                <w:lang w:eastAsia="sk-SK"/>
              </w:rPr>
              <w:t>2</w:t>
            </w:r>
            <w:r w:rsidR="0075277C">
              <w:rPr>
                <w:rFonts w:ascii="Calibri" w:eastAsia="Times New Roman" w:hAnsi="Calibri" w:cs="Calibri"/>
                <w:b/>
                <w:bCs/>
                <w:color w:val="FFFFFF"/>
                <w:sz w:val="16"/>
                <w:szCs w:val="16"/>
                <w:lang w:eastAsia="sk-SK"/>
              </w:rPr>
              <w:t>5</w:t>
            </w:r>
            <w:r w:rsidRPr="00DD45AE">
              <w:rPr>
                <w:rFonts w:ascii="Calibri" w:eastAsia="Times New Roman" w:hAnsi="Calibri" w:cs="Calibri"/>
                <w:b/>
                <w:bCs/>
                <w:color w:val="FFFFFF"/>
                <w:sz w:val="16"/>
                <w:szCs w:val="16"/>
                <w:lang w:eastAsia="sk-SK"/>
              </w:rPr>
              <w:t xml:space="preserve"> (N)</w:t>
            </w:r>
          </w:p>
        </w:tc>
        <w:tc>
          <w:tcPr>
            <w:tcW w:w="544" w:type="pct"/>
            <w:tcBorders>
              <w:top w:val="nil"/>
              <w:left w:val="nil"/>
              <w:bottom w:val="single" w:sz="8" w:space="0" w:color="F2F2F2"/>
              <w:right w:val="nil"/>
            </w:tcBorders>
            <w:shd w:val="clear" w:color="000000" w:fill="366092"/>
            <w:noWrap/>
            <w:vAlign w:val="center"/>
            <w:hideMark/>
          </w:tcPr>
          <w:p w14:paraId="788EB679" w14:textId="44EA4C86" w:rsidR="00C8280C" w:rsidRPr="00DD45AE" w:rsidRDefault="00C8280C" w:rsidP="00AD25B5">
            <w:pPr>
              <w:spacing w:after="0" w:line="240" w:lineRule="auto"/>
              <w:jc w:val="center"/>
              <w:rPr>
                <w:rFonts w:ascii="Calibri" w:eastAsia="Times New Roman" w:hAnsi="Calibri" w:cs="Calibri"/>
                <w:b/>
                <w:bCs/>
                <w:color w:val="FFFFFF"/>
                <w:sz w:val="16"/>
                <w:szCs w:val="16"/>
                <w:lang w:eastAsia="sk-SK"/>
              </w:rPr>
            </w:pPr>
            <w:r w:rsidRPr="00DD45AE">
              <w:rPr>
                <w:rFonts w:ascii="Calibri" w:eastAsia="Times New Roman" w:hAnsi="Calibri" w:cs="Calibri"/>
                <w:b/>
                <w:bCs/>
                <w:color w:val="FFFFFF"/>
                <w:sz w:val="16"/>
                <w:szCs w:val="16"/>
                <w:lang w:eastAsia="sk-SK"/>
              </w:rPr>
              <w:t>202</w:t>
            </w:r>
            <w:r w:rsidR="0075277C">
              <w:rPr>
                <w:rFonts w:ascii="Calibri" w:eastAsia="Times New Roman" w:hAnsi="Calibri" w:cs="Calibri"/>
                <w:b/>
                <w:bCs/>
                <w:color w:val="FFFFFF"/>
                <w:sz w:val="16"/>
                <w:szCs w:val="16"/>
                <w:lang w:eastAsia="sk-SK"/>
              </w:rPr>
              <w:t>6</w:t>
            </w:r>
            <w:r w:rsidRPr="00DD45AE">
              <w:rPr>
                <w:rFonts w:ascii="Calibri" w:eastAsia="Times New Roman" w:hAnsi="Calibri" w:cs="Calibri"/>
                <w:b/>
                <w:bCs/>
                <w:color w:val="FFFFFF"/>
                <w:sz w:val="16"/>
                <w:szCs w:val="16"/>
                <w:lang w:eastAsia="sk-SK"/>
              </w:rPr>
              <w:t xml:space="preserve"> (N)</w:t>
            </w:r>
          </w:p>
        </w:tc>
        <w:tc>
          <w:tcPr>
            <w:tcW w:w="513" w:type="pct"/>
            <w:tcBorders>
              <w:top w:val="single" w:sz="8" w:space="0" w:color="366092"/>
              <w:left w:val="nil"/>
              <w:bottom w:val="single" w:sz="8" w:space="0" w:color="F2F2F2"/>
              <w:right w:val="nil"/>
            </w:tcBorders>
            <w:shd w:val="clear" w:color="000000" w:fill="366092"/>
            <w:noWrap/>
            <w:vAlign w:val="center"/>
            <w:hideMark/>
          </w:tcPr>
          <w:p w14:paraId="15FB3CA4" w14:textId="26234378" w:rsidR="00C8280C" w:rsidRPr="00DD45AE" w:rsidRDefault="00C8280C" w:rsidP="00AD25B5">
            <w:pPr>
              <w:spacing w:after="0" w:line="240" w:lineRule="auto"/>
              <w:jc w:val="center"/>
              <w:rPr>
                <w:rFonts w:ascii="Calibri" w:eastAsia="Times New Roman" w:hAnsi="Calibri" w:cs="Calibri"/>
                <w:b/>
                <w:bCs/>
                <w:color w:val="FFFFFF"/>
                <w:sz w:val="16"/>
                <w:szCs w:val="16"/>
                <w:lang w:eastAsia="sk-SK"/>
              </w:rPr>
            </w:pPr>
            <w:r w:rsidRPr="00DD45AE">
              <w:rPr>
                <w:rFonts w:ascii="Calibri" w:eastAsia="Times New Roman" w:hAnsi="Calibri" w:cs="Calibri"/>
                <w:b/>
                <w:bCs/>
                <w:color w:val="FFFFFF"/>
                <w:sz w:val="16"/>
                <w:szCs w:val="16"/>
                <w:lang w:eastAsia="sk-SK"/>
              </w:rPr>
              <w:t>202</w:t>
            </w:r>
            <w:r w:rsidR="0075277C">
              <w:rPr>
                <w:rFonts w:ascii="Calibri" w:eastAsia="Times New Roman" w:hAnsi="Calibri" w:cs="Calibri"/>
                <w:b/>
                <w:bCs/>
                <w:color w:val="FFFFFF"/>
                <w:sz w:val="16"/>
                <w:szCs w:val="16"/>
                <w:lang w:eastAsia="sk-SK"/>
              </w:rPr>
              <w:t>7</w:t>
            </w:r>
            <w:r w:rsidRPr="00DD45AE">
              <w:rPr>
                <w:rFonts w:ascii="Calibri" w:eastAsia="Times New Roman" w:hAnsi="Calibri" w:cs="Calibri"/>
                <w:b/>
                <w:bCs/>
                <w:color w:val="FFFFFF"/>
                <w:sz w:val="16"/>
                <w:szCs w:val="16"/>
                <w:lang w:eastAsia="sk-SK"/>
              </w:rPr>
              <w:t xml:space="preserve"> (N)</w:t>
            </w:r>
          </w:p>
        </w:tc>
      </w:tr>
      <w:tr w:rsidR="00CD56D8" w:rsidRPr="00DD45AE" w14:paraId="6970BBEB" w14:textId="77777777" w:rsidTr="00F12990">
        <w:trPr>
          <w:trHeight w:val="300"/>
        </w:trPr>
        <w:tc>
          <w:tcPr>
            <w:tcW w:w="1142" w:type="pct"/>
            <w:tcBorders>
              <w:top w:val="nil"/>
              <w:left w:val="nil"/>
              <w:bottom w:val="nil"/>
              <w:right w:val="nil"/>
            </w:tcBorders>
            <w:shd w:val="clear" w:color="000000" w:fill="8DB4E2"/>
            <w:noWrap/>
            <w:vAlign w:val="center"/>
            <w:hideMark/>
          </w:tcPr>
          <w:p w14:paraId="0321C135" w14:textId="77777777" w:rsidR="00CD56D8" w:rsidRPr="00DD45AE" w:rsidRDefault="00CD56D8" w:rsidP="00CD56D8">
            <w:pPr>
              <w:spacing w:after="0" w:line="240" w:lineRule="auto"/>
              <w:rPr>
                <w:rFonts w:ascii="Calibri" w:eastAsia="Times New Roman" w:hAnsi="Calibri" w:cs="Calibri"/>
                <w:b/>
                <w:bCs/>
                <w:color w:val="000000"/>
                <w:sz w:val="18"/>
                <w:szCs w:val="18"/>
                <w:lang w:eastAsia="sk-SK"/>
              </w:rPr>
            </w:pPr>
            <w:r w:rsidRPr="00DD45AE">
              <w:rPr>
                <w:rFonts w:ascii="Calibri" w:eastAsia="Times New Roman" w:hAnsi="Calibri" w:cs="Calibri"/>
                <w:b/>
                <w:bCs/>
                <w:color w:val="000000"/>
                <w:sz w:val="18"/>
                <w:szCs w:val="18"/>
                <w:lang w:eastAsia="sk-SK"/>
              </w:rPr>
              <w:t>Daňové príjmy v EUR</w:t>
            </w:r>
          </w:p>
        </w:tc>
        <w:tc>
          <w:tcPr>
            <w:tcW w:w="567" w:type="pct"/>
            <w:tcBorders>
              <w:top w:val="nil"/>
              <w:left w:val="nil"/>
              <w:bottom w:val="nil"/>
              <w:right w:val="nil"/>
            </w:tcBorders>
            <w:shd w:val="clear" w:color="000000" w:fill="8DB4E2"/>
            <w:noWrap/>
            <w:vAlign w:val="center"/>
            <w:hideMark/>
          </w:tcPr>
          <w:p w14:paraId="40FDCADF" w14:textId="55DC26C1" w:rsidR="00CD56D8" w:rsidRPr="00DD45AE" w:rsidRDefault="00CD56D8" w:rsidP="00CD56D8">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120 000 505</w:t>
            </w:r>
          </w:p>
        </w:tc>
        <w:tc>
          <w:tcPr>
            <w:tcW w:w="619" w:type="pct"/>
            <w:tcBorders>
              <w:top w:val="nil"/>
              <w:left w:val="nil"/>
              <w:bottom w:val="nil"/>
              <w:right w:val="nil"/>
            </w:tcBorders>
            <w:shd w:val="clear" w:color="000000" w:fill="8DB4E2"/>
            <w:noWrap/>
            <w:vAlign w:val="center"/>
          </w:tcPr>
          <w:p w14:paraId="635CA4D4" w14:textId="79C7B0CC" w:rsidR="00CD56D8" w:rsidRPr="006B1953" w:rsidRDefault="00CD56D8" w:rsidP="00CD56D8">
            <w:pPr>
              <w:spacing w:after="0" w:line="240" w:lineRule="auto"/>
              <w:jc w:val="center"/>
              <w:rPr>
                <w:rFonts w:ascii="Calibri" w:eastAsia="Times New Roman" w:hAnsi="Calibri" w:cs="Calibri"/>
                <w:b/>
                <w:bCs/>
                <w:color w:val="000000"/>
                <w:sz w:val="16"/>
                <w:szCs w:val="16"/>
                <w:lang w:eastAsia="sk-SK"/>
              </w:rPr>
            </w:pPr>
            <w:r>
              <w:rPr>
                <w:rFonts w:ascii="Calibri" w:hAnsi="Calibri" w:cs="Calibri"/>
                <w:b/>
                <w:bCs/>
                <w:color w:val="000000"/>
                <w:sz w:val="16"/>
                <w:szCs w:val="16"/>
              </w:rPr>
              <w:t>135 722 483</w:t>
            </w:r>
          </w:p>
        </w:tc>
        <w:tc>
          <w:tcPr>
            <w:tcW w:w="657" w:type="pct"/>
            <w:tcBorders>
              <w:top w:val="nil"/>
              <w:left w:val="nil"/>
              <w:bottom w:val="nil"/>
              <w:right w:val="nil"/>
            </w:tcBorders>
            <w:shd w:val="clear" w:color="000000" w:fill="8DB4E2"/>
            <w:noWrap/>
            <w:vAlign w:val="center"/>
            <w:hideMark/>
          </w:tcPr>
          <w:p w14:paraId="742C455C" w14:textId="4AB41B6F" w:rsidR="00CD56D8" w:rsidRPr="00DD45AE" w:rsidRDefault="00CD56D8" w:rsidP="00CD56D8">
            <w:pPr>
              <w:spacing w:after="0" w:line="240" w:lineRule="auto"/>
              <w:jc w:val="center"/>
              <w:rPr>
                <w:rFonts w:ascii="Calibri" w:eastAsia="Times New Roman" w:hAnsi="Calibri" w:cs="Calibri"/>
                <w:b/>
                <w:bCs/>
                <w:color w:val="000000"/>
                <w:sz w:val="16"/>
                <w:szCs w:val="16"/>
                <w:lang w:eastAsia="sk-SK"/>
              </w:rPr>
            </w:pPr>
            <w:r>
              <w:rPr>
                <w:rFonts w:ascii="Calibri" w:hAnsi="Calibri" w:cs="Calibri"/>
                <w:b/>
                <w:bCs/>
                <w:color w:val="000000"/>
                <w:sz w:val="16"/>
                <w:szCs w:val="16"/>
              </w:rPr>
              <w:t>133 510 310</w:t>
            </w:r>
          </w:p>
        </w:tc>
        <w:tc>
          <w:tcPr>
            <w:tcW w:w="460" w:type="pct"/>
            <w:tcBorders>
              <w:top w:val="nil"/>
              <w:left w:val="nil"/>
              <w:bottom w:val="nil"/>
              <w:right w:val="nil"/>
            </w:tcBorders>
            <w:shd w:val="clear" w:color="000000" w:fill="8DB4E2"/>
            <w:noWrap/>
            <w:vAlign w:val="center"/>
          </w:tcPr>
          <w:p w14:paraId="616DCD49" w14:textId="7A8D3D60" w:rsidR="00CD56D8" w:rsidRPr="00CD09E2" w:rsidRDefault="00CD56D8" w:rsidP="00CD56D8">
            <w:pPr>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134 350 000</w:t>
            </w:r>
          </w:p>
        </w:tc>
        <w:tc>
          <w:tcPr>
            <w:tcW w:w="498" w:type="pct"/>
            <w:tcBorders>
              <w:top w:val="nil"/>
              <w:left w:val="nil"/>
              <w:bottom w:val="nil"/>
              <w:right w:val="nil"/>
            </w:tcBorders>
            <w:shd w:val="clear" w:color="000000" w:fill="D9D9D9"/>
            <w:noWrap/>
            <w:vAlign w:val="center"/>
          </w:tcPr>
          <w:p w14:paraId="4C6954E4" w14:textId="177873BA" w:rsidR="00CD56D8" w:rsidRPr="00DD45AE" w:rsidRDefault="00CD56D8" w:rsidP="00CD56D8">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142 300 000</w:t>
            </w:r>
          </w:p>
        </w:tc>
        <w:tc>
          <w:tcPr>
            <w:tcW w:w="544" w:type="pct"/>
            <w:tcBorders>
              <w:top w:val="nil"/>
              <w:left w:val="nil"/>
              <w:bottom w:val="nil"/>
              <w:right w:val="nil"/>
            </w:tcBorders>
            <w:shd w:val="clear" w:color="000000" w:fill="8DB4E2"/>
            <w:noWrap/>
            <w:vAlign w:val="center"/>
          </w:tcPr>
          <w:p w14:paraId="7FEA93D4" w14:textId="02FC771F" w:rsidR="00CD56D8" w:rsidRPr="00DD45AE" w:rsidRDefault="00CD56D8" w:rsidP="00CD56D8">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159 400 000</w:t>
            </w:r>
          </w:p>
        </w:tc>
        <w:tc>
          <w:tcPr>
            <w:tcW w:w="513" w:type="pct"/>
            <w:tcBorders>
              <w:top w:val="nil"/>
              <w:left w:val="nil"/>
              <w:bottom w:val="nil"/>
              <w:right w:val="nil"/>
            </w:tcBorders>
            <w:shd w:val="clear" w:color="000000" w:fill="8DB4E2"/>
            <w:noWrap/>
            <w:vAlign w:val="center"/>
          </w:tcPr>
          <w:p w14:paraId="65362685" w14:textId="2A729DDB" w:rsidR="00CD56D8" w:rsidRPr="00DD45AE" w:rsidRDefault="00CD56D8" w:rsidP="00CD56D8">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164 000 000</w:t>
            </w:r>
          </w:p>
        </w:tc>
      </w:tr>
      <w:tr w:rsidR="00CD56D8" w:rsidRPr="00DD45AE" w14:paraId="1C52CD2F" w14:textId="77777777" w:rsidTr="00F12990">
        <w:trPr>
          <w:trHeight w:val="300"/>
        </w:trPr>
        <w:tc>
          <w:tcPr>
            <w:tcW w:w="1142" w:type="pct"/>
            <w:tcBorders>
              <w:top w:val="nil"/>
              <w:left w:val="nil"/>
              <w:bottom w:val="nil"/>
              <w:right w:val="nil"/>
            </w:tcBorders>
            <w:shd w:val="clear" w:color="000000" w:fill="DCE6F1"/>
            <w:noWrap/>
            <w:vAlign w:val="center"/>
            <w:hideMark/>
          </w:tcPr>
          <w:p w14:paraId="24E60D06" w14:textId="77777777" w:rsidR="00CD56D8" w:rsidRPr="00DD45AE" w:rsidRDefault="00CD56D8" w:rsidP="00CD56D8">
            <w:pPr>
              <w:spacing w:after="0" w:line="240" w:lineRule="auto"/>
              <w:rPr>
                <w:rFonts w:ascii="Calibri" w:eastAsia="Times New Roman" w:hAnsi="Calibri" w:cs="Calibri"/>
                <w:b/>
                <w:bCs/>
                <w:color w:val="000000"/>
                <w:sz w:val="18"/>
                <w:szCs w:val="18"/>
                <w:lang w:eastAsia="sk-SK"/>
              </w:rPr>
            </w:pPr>
            <w:r w:rsidRPr="00DD45AE">
              <w:rPr>
                <w:rFonts w:ascii="Calibri" w:eastAsia="Times New Roman" w:hAnsi="Calibri" w:cs="Calibri"/>
                <w:b/>
                <w:bCs/>
                <w:color w:val="000000"/>
                <w:sz w:val="18"/>
                <w:szCs w:val="18"/>
                <w:lang w:eastAsia="sk-SK"/>
              </w:rPr>
              <w:t xml:space="preserve">110 - </w:t>
            </w:r>
            <w:r w:rsidRPr="00DD45AE">
              <w:rPr>
                <w:rFonts w:ascii="Calibri" w:eastAsia="Times New Roman" w:hAnsi="Calibri" w:cs="Calibri"/>
                <w:color w:val="000000"/>
                <w:sz w:val="16"/>
                <w:szCs w:val="16"/>
                <w:lang w:eastAsia="sk-SK"/>
              </w:rPr>
              <w:t>Daň  z príjmov FO</w:t>
            </w:r>
          </w:p>
        </w:tc>
        <w:tc>
          <w:tcPr>
            <w:tcW w:w="567" w:type="pct"/>
            <w:tcBorders>
              <w:top w:val="nil"/>
              <w:left w:val="nil"/>
              <w:bottom w:val="nil"/>
              <w:right w:val="nil"/>
            </w:tcBorders>
            <w:shd w:val="clear" w:color="000000" w:fill="DCE6F1"/>
            <w:noWrap/>
            <w:vAlign w:val="center"/>
            <w:hideMark/>
          </w:tcPr>
          <w:p w14:paraId="288E732D" w14:textId="53020383" w:rsidR="00CD56D8" w:rsidRPr="00DD45AE" w:rsidRDefault="00CD56D8" w:rsidP="00CD56D8">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120 000 505</w:t>
            </w:r>
          </w:p>
        </w:tc>
        <w:tc>
          <w:tcPr>
            <w:tcW w:w="619" w:type="pct"/>
            <w:tcBorders>
              <w:top w:val="nil"/>
              <w:left w:val="nil"/>
              <w:bottom w:val="nil"/>
              <w:right w:val="nil"/>
            </w:tcBorders>
            <w:shd w:val="clear" w:color="000000" w:fill="DCE6F1"/>
            <w:noWrap/>
            <w:vAlign w:val="center"/>
          </w:tcPr>
          <w:p w14:paraId="7BE55093" w14:textId="0F4D89F7" w:rsidR="00CD56D8" w:rsidRPr="00DD45AE" w:rsidRDefault="00CD56D8" w:rsidP="00CD56D8">
            <w:pPr>
              <w:spacing w:after="0" w:line="240" w:lineRule="auto"/>
              <w:jc w:val="center"/>
              <w:rPr>
                <w:rFonts w:ascii="Calibri" w:eastAsia="Times New Roman" w:hAnsi="Calibri" w:cs="Calibri"/>
                <w:color w:val="000000"/>
                <w:sz w:val="16"/>
                <w:szCs w:val="16"/>
                <w:lang w:eastAsia="sk-SK"/>
              </w:rPr>
            </w:pPr>
            <w:r>
              <w:rPr>
                <w:rFonts w:ascii="Calibri" w:hAnsi="Calibri" w:cs="Calibri"/>
                <w:color w:val="000000"/>
                <w:sz w:val="16"/>
                <w:szCs w:val="16"/>
              </w:rPr>
              <w:t>135 722 483</w:t>
            </w:r>
          </w:p>
        </w:tc>
        <w:tc>
          <w:tcPr>
            <w:tcW w:w="657" w:type="pct"/>
            <w:tcBorders>
              <w:top w:val="nil"/>
              <w:left w:val="nil"/>
              <w:bottom w:val="nil"/>
              <w:right w:val="nil"/>
            </w:tcBorders>
            <w:shd w:val="clear" w:color="000000" w:fill="DCE6F1"/>
            <w:noWrap/>
            <w:vAlign w:val="center"/>
            <w:hideMark/>
          </w:tcPr>
          <w:p w14:paraId="2750FF54" w14:textId="57D4FD98" w:rsidR="00CD56D8" w:rsidRPr="0075277C" w:rsidRDefault="00CD56D8" w:rsidP="00CD56D8">
            <w:pPr>
              <w:spacing w:after="0" w:line="240" w:lineRule="auto"/>
              <w:jc w:val="center"/>
              <w:rPr>
                <w:rFonts w:ascii="Calibri" w:eastAsia="Times New Roman" w:hAnsi="Calibri" w:cs="Calibri"/>
                <w:color w:val="000000"/>
                <w:sz w:val="16"/>
                <w:szCs w:val="16"/>
                <w:lang w:eastAsia="sk-SK"/>
              </w:rPr>
            </w:pPr>
            <w:r>
              <w:rPr>
                <w:rFonts w:ascii="Calibri" w:hAnsi="Calibri" w:cs="Calibri"/>
                <w:color w:val="000000"/>
                <w:sz w:val="16"/>
                <w:szCs w:val="16"/>
              </w:rPr>
              <w:t>133 510 310</w:t>
            </w:r>
          </w:p>
        </w:tc>
        <w:tc>
          <w:tcPr>
            <w:tcW w:w="460" w:type="pct"/>
            <w:tcBorders>
              <w:top w:val="nil"/>
              <w:left w:val="nil"/>
              <w:bottom w:val="nil"/>
              <w:right w:val="nil"/>
            </w:tcBorders>
            <w:shd w:val="clear" w:color="000000" w:fill="DCE6F1"/>
            <w:noWrap/>
            <w:vAlign w:val="center"/>
          </w:tcPr>
          <w:p w14:paraId="696010F4" w14:textId="2111A0D7" w:rsidR="00CD56D8" w:rsidRPr="00DD45AE" w:rsidRDefault="00CD56D8" w:rsidP="00CD56D8">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134 350 000</w:t>
            </w:r>
          </w:p>
        </w:tc>
        <w:tc>
          <w:tcPr>
            <w:tcW w:w="498" w:type="pct"/>
            <w:tcBorders>
              <w:top w:val="nil"/>
              <w:left w:val="nil"/>
              <w:bottom w:val="nil"/>
              <w:right w:val="nil"/>
            </w:tcBorders>
            <w:shd w:val="clear" w:color="000000" w:fill="D9D9D9"/>
            <w:noWrap/>
            <w:vAlign w:val="center"/>
          </w:tcPr>
          <w:p w14:paraId="25775FDF" w14:textId="3C540BCE" w:rsidR="00CD56D8" w:rsidRPr="00DD45AE" w:rsidRDefault="00CD56D8" w:rsidP="00CD56D8">
            <w:pPr>
              <w:spacing w:after="0" w:line="240" w:lineRule="auto"/>
              <w:jc w:val="right"/>
              <w:rPr>
                <w:rFonts w:ascii="Calibri" w:eastAsia="Times New Roman" w:hAnsi="Calibri" w:cs="Calibri"/>
                <w:b/>
                <w:bCs/>
                <w:color w:val="000000"/>
                <w:sz w:val="16"/>
                <w:szCs w:val="16"/>
                <w:lang w:eastAsia="sk-SK"/>
              </w:rPr>
            </w:pPr>
            <w:r>
              <w:rPr>
                <w:rFonts w:ascii="Calibri" w:hAnsi="Calibri" w:cs="Calibri"/>
                <w:color w:val="000000"/>
                <w:sz w:val="16"/>
                <w:szCs w:val="16"/>
              </w:rPr>
              <w:t>142 300 000</w:t>
            </w:r>
          </w:p>
        </w:tc>
        <w:tc>
          <w:tcPr>
            <w:tcW w:w="544" w:type="pct"/>
            <w:tcBorders>
              <w:top w:val="nil"/>
              <w:left w:val="nil"/>
              <w:bottom w:val="nil"/>
              <w:right w:val="nil"/>
            </w:tcBorders>
            <w:shd w:val="clear" w:color="000000" w:fill="DCE6F1"/>
            <w:noWrap/>
            <w:vAlign w:val="center"/>
          </w:tcPr>
          <w:p w14:paraId="6FA5B1D2" w14:textId="7F55C469" w:rsidR="00CD56D8" w:rsidRPr="00DD45AE" w:rsidRDefault="00CD56D8" w:rsidP="00CD56D8">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159 400 000</w:t>
            </w:r>
          </w:p>
        </w:tc>
        <w:tc>
          <w:tcPr>
            <w:tcW w:w="513" w:type="pct"/>
            <w:tcBorders>
              <w:top w:val="nil"/>
              <w:left w:val="nil"/>
              <w:bottom w:val="nil"/>
              <w:right w:val="nil"/>
            </w:tcBorders>
            <w:shd w:val="clear" w:color="000000" w:fill="DCE6F1"/>
            <w:noWrap/>
            <w:vAlign w:val="center"/>
          </w:tcPr>
          <w:p w14:paraId="42A3ADE4" w14:textId="185CE389" w:rsidR="00CD56D8" w:rsidRPr="00DD45AE" w:rsidRDefault="00CD56D8" w:rsidP="00CD56D8">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164 000 000</w:t>
            </w:r>
          </w:p>
        </w:tc>
      </w:tr>
    </w:tbl>
    <w:p w14:paraId="2F96573F" w14:textId="17E6CB97" w:rsidR="00C8280C" w:rsidRDefault="00CB60E6" w:rsidP="00C8280C">
      <w:pPr>
        <w:spacing w:before="100" w:beforeAutospacing="1" w:after="100" w:afterAutospacing="1" w:line="240" w:lineRule="auto"/>
        <w:jc w:val="both"/>
        <w:rPr>
          <w:rFonts w:cstheme="minorHAnsi"/>
          <w:sz w:val="24"/>
          <w:szCs w:val="24"/>
        </w:rPr>
      </w:pPr>
      <w:r w:rsidRPr="00C80A0B">
        <w:rPr>
          <w:rFonts w:cstheme="minorHAnsi"/>
          <w:sz w:val="24"/>
          <w:szCs w:val="24"/>
        </w:rPr>
        <w:t>Spôsob rozdeľovania a poukazovania výnosu DPFO do rozpočtov obcí a rozpočtov VÚC, ako aj rozpočtové určenie a termíny, upravuje zákon o rozpočtovom určení výnosu dane z príjmov územnej samospráve</w:t>
      </w:r>
      <w:r>
        <w:rPr>
          <w:rFonts w:cstheme="minorHAnsi"/>
          <w:sz w:val="24"/>
          <w:szCs w:val="24"/>
        </w:rPr>
        <w:t xml:space="preserve">. </w:t>
      </w:r>
      <w:r w:rsidR="004C5B46" w:rsidRPr="004C5B46">
        <w:rPr>
          <w:rFonts w:cstheme="minorHAnsi"/>
          <w:sz w:val="24"/>
          <w:szCs w:val="24"/>
        </w:rPr>
        <w:t xml:space="preserve">NR SR v rámci balíčka opatrení schválila aj novelu </w:t>
      </w:r>
      <w:r>
        <w:rPr>
          <w:rFonts w:cstheme="minorHAnsi"/>
          <w:sz w:val="24"/>
          <w:szCs w:val="24"/>
        </w:rPr>
        <w:t>tohto zákona</w:t>
      </w:r>
      <w:r w:rsidR="004C5B46" w:rsidRPr="004C5B46">
        <w:rPr>
          <w:rFonts w:cstheme="minorHAnsi"/>
          <w:sz w:val="24"/>
          <w:szCs w:val="24"/>
        </w:rPr>
        <w:t>, ktorou boli zmenené podiely výnosu dane pre obce a</w:t>
      </w:r>
      <w:r w:rsidR="004C5B46">
        <w:rPr>
          <w:rFonts w:cstheme="minorHAnsi"/>
          <w:sz w:val="24"/>
          <w:szCs w:val="24"/>
        </w:rPr>
        <w:t> </w:t>
      </w:r>
      <w:r w:rsidR="004C5B46" w:rsidRPr="004C5B46">
        <w:rPr>
          <w:rFonts w:cstheme="minorHAnsi"/>
          <w:sz w:val="24"/>
          <w:szCs w:val="24"/>
        </w:rPr>
        <w:t>VÚC</w:t>
      </w:r>
      <w:r w:rsidR="004C5B46">
        <w:rPr>
          <w:rFonts w:cstheme="minorHAnsi"/>
          <w:sz w:val="24"/>
          <w:szCs w:val="24"/>
        </w:rPr>
        <w:t xml:space="preserve">. </w:t>
      </w:r>
      <w:r w:rsidR="0089191B" w:rsidRPr="0089191B">
        <w:rPr>
          <w:rFonts w:cstheme="minorHAnsi"/>
          <w:sz w:val="24"/>
          <w:szCs w:val="24"/>
        </w:rPr>
        <w:t xml:space="preserve">Od 1. januára 2025 sa upravuje poukazovanie výnosu dane z príjmu fyzických osôb do rozpočtov samospráv. Podiel obcí sa mení zo 70,0 % na 55,1 % a podiel vyšších územných celkov z 30,0 % na 29,5 %. </w:t>
      </w:r>
      <w:r w:rsidR="0089191B" w:rsidRPr="0089191B">
        <w:rPr>
          <w:rFonts w:cstheme="minorHAnsi"/>
          <w:sz w:val="24"/>
          <w:szCs w:val="24"/>
        </w:rPr>
        <w:lastRenderedPageBreak/>
        <w:t>Výraznejšia zmena pri obciach súvisí s presunom kompetencií pri materských školách, ktoré už nebudú originálnou kompetenciou samospráv, ale budú financované z rozpočtovej kapitoly ministerstva školstva.</w:t>
      </w:r>
    </w:p>
    <w:p w14:paraId="243FE549" w14:textId="4EF5A4B2" w:rsidR="00FE6125" w:rsidRDefault="00B210D1" w:rsidP="004361A8">
      <w:pPr>
        <w:spacing w:before="100" w:beforeAutospacing="1" w:after="100" w:afterAutospacing="1" w:line="240" w:lineRule="auto"/>
        <w:jc w:val="both"/>
        <w:rPr>
          <w:sz w:val="24"/>
          <w:szCs w:val="24"/>
        </w:rPr>
      </w:pPr>
      <w:r w:rsidRPr="00B05C0C">
        <w:rPr>
          <w:rFonts w:cstheme="minorHAnsi"/>
          <w:b/>
          <w:sz w:val="24"/>
          <w:szCs w:val="24"/>
        </w:rPr>
        <w:t>Daňové príjmy</w:t>
      </w:r>
      <w:r w:rsidRPr="00B05C0C">
        <w:rPr>
          <w:rFonts w:cstheme="minorHAnsi"/>
          <w:sz w:val="24"/>
          <w:szCs w:val="24"/>
        </w:rPr>
        <w:t xml:space="preserve"> tvoria najdôležitejšiu zložku príjmov rozpočtu BSK a majú najvyšší podiel na celkových príjmoch samosprávneho kraja. </w:t>
      </w:r>
      <w:r w:rsidR="00C8280C" w:rsidRPr="00A614E5">
        <w:rPr>
          <w:rFonts w:cstheme="minorHAnsi"/>
          <w:sz w:val="24"/>
          <w:szCs w:val="24"/>
        </w:rPr>
        <w:t xml:space="preserve">Úroveň daňových príjmov v rozpočte </w:t>
      </w:r>
      <w:r w:rsidR="00C8280C">
        <w:rPr>
          <w:rFonts w:cstheme="minorHAnsi"/>
          <w:sz w:val="24"/>
          <w:szCs w:val="24"/>
        </w:rPr>
        <w:t>BSK</w:t>
      </w:r>
      <w:r w:rsidR="00C8280C" w:rsidRPr="00A614E5">
        <w:rPr>
          <w:rFonts w:cstheme="minorHAnsi"/>
          <w:sz w:val="24"/>
          <w:szCs w:val="24"/>
        </w:rPr>
        <w:t xml:space="preserve"> pre rok</w:t>
      </w:r>
      <w:r w:rsidR="00C8280C">
        <w:rPr>
          <w:rFonts w:cstheme="minorHAnsi"/>
          <w:sz w:val="24"/>
          <w:szCs w:val="24"/>
        </w:rPr>
        <w:t xml:space="preserve"> </w:t>
      </w:r>
      <w:r w:rsidR="00C8280C" w:rsidRPr="00A614E5">
        <w:rPr>
          <w:rFonts w:cstheme="minorHAnsi"/>
          <w:sz w:val="24"/>
          <w:szCs w:val="24"/>
        </w:rPr>
        <w:t>202</w:t>
      </w:r>
      <w:r w:rsidR="00520D13">
        <w:rPr>
          <w:rFonts w:cstheme="minorHAnsi"/>
          <w:sz w:val="24"/>
          <w:szCs w:val="24"/>
        </w:rPr>
        <w:t>5</w:t>
      </w:r>
      <w:r w:rsidR="00BB0100">
        <w:rPr>
          <w:rFonts w:cstheme="minorHAnsi"/>
          <w:sz w:val="24"/>
          <w:szCs w:val="24"/>
        </w:rPr>
        <w:t xml:space="preserve"> plánujeme  </w:t>
      </w:r>
      <w:r w:rsidR="00C8280C" w:rsidRPr="00B05C0C">
        <w:rPr>
          <w:rFonts w:cstheme="minorHAnsi"/>
          <w:sz w:val="24"/>
          <w:szCs w:val="24"/>
        </w:rPr>
        <w:t xml:space="preserve">vo výške </w:t>
      </w:r>
      <w:r w:rsidR="00BB0100" w:rsidRPr="00BB0100">
        <w:rPr>
          <w:rFonts w:ascii="Calibri" w:hAnsi="Calibri" w:cs="Calibri"/>
          <w:b/>
          <w:bCs/>
          <w:color w:val="000000"/>
          <w:sz w:val="24"/>
          <w:szCs w:val="24"/>
        </w:rPr>
        <w:t>142 300</w:t>
      </w:r>
      <w:r w:rsidR="00BB0100">
        <w:rPr>
          <w:rFonts w:ascii="Calibri" w:hAnsi="Calibri" w:cs="Calibri"/>
          <w:b/>
          <w:bCs/>
          <w:color w:val="000000"/>
          <w:sz w:val="24"/>
          <w:szCs w:val="24"/>
        </w:rPr>
        <w:t> </w:t>
      </w:r>
      <w:r w:rsidR="00BB0100" w:rsidRPr="00BB0100">
        <w:rPr>
          <w:rFonts w:ascii="Calibri" w:hAnsi="Calibri" w:cs="Calibri"/>
          <w:b/>
          <w:bCs/>
          <w:color w:val="000000"/>
          <w:sz w:val="24"/>
          <w:szCs w:val="24"/>
        </w:rPr>
        <w:t>000</w:t>
      </w:r>
      <w:r w:rsidR="00BB0100">
        <w:rPr>
          <w:rFonts w:ascii="Calibri" w:hAnsi="Calibri" w:cs="Calibri"/>
          <w:b/>
          <w:bCs/>
          <w:color w:val="000000"/>
          <w:sz w:val="24"/>
          <w:szCs w:val="24"/>
        </w:rPr>
        <w:t xml:space="preserve"> </w:t>
      </w:r>
      <w:r w:rsidR="00C8280C">
        <w:rPr>
          <w:rFonts w:cstheme="minorHAnsi"/>
          <w:b/>
          <w:sz w:val="24"/>
          <w:szCs w:val="24"/>
        </w:rPr>
        <w:t xml:space="preserve">€, </w:t>
      </w:r>
      <w:r w:rsidR="00C8280C" w:rsidRPr="00DB16A5">
        <w:rPr>
          <w:rFonts w:cstheme="minorHAnsi"/>
          <w:bCs/>
          <w:sz w:val="24"/>
          <w:szCs w:val="24"/>
        </w:rPr>
        <w:t>čo je o</w:t>
      </w:r>
      <w:r w:rsidR="005C1827">
        <w:rPr>
          <w:rFonts w:cstheme="minorHAnsi"/>
          <w:bCs/>
          <w:sz w:val="24"/>
          <w:szCs w:val="24"/>
        </w:rPr>
        <w:t xml:space="preserve"> 7,95 </w:t>
      </w:r>
      <w:r w:rsidR="00C8280C" w:rsidRPr="00DB16A5">
        <w:rPr>
          <w:rFonts w:cstheme="minorHAnsi"/>
          <w:bCs/>
          <w:sz w:val="24"/>
          <w:szCs w:val="24"/>
        </w:rPr>
        <w:t xml:space="preserve">mil. EUR </w:t>
      </w:r>
      <w:r w:rsidR="005C1827">
        <w:rPr>
          <w:rFonts w:cstheme="minorHAnsi"/>
          <w:bCs/>
          <w:sz w:val="24"/>
          <w:szCs w:val="24"/>
        </w:rPr>
        <w:t>viac</w:t>
      </w:r>
      <w:r w:rsidR="00C8280C" w:rsidRPr="00DB16A5">
        <w:rPr>
          <w:rFonts w:cstheme="minorHAnsi"/>
          <w:bCs/>
          <w:sz w:val="24"/>
          <w:szCs w:val="24"/>
        </w:rPr>
        <w:t xml:space="preserve"> oproti </w:t>
      </w:r>
      <w:r w:rsidR="004571C0">
        <w:rPr>
          <w:rFonts w:cstheme="minorHAnsi"/>
          <w:bCs/>
          <w:sz w:val="24"/>
          <w:szCs w:val="24"/>
        </w:rPr>
        <w:t xml:space="preserve">očakávanej skutočnosti </w:t>
      </w:r>
      <w:r w:rsidR="00C8280C" w:rsidRPr="00DB16A5">
        <w:rPr>
          <w:rFonts w:cstheme="minorHAnsi"/>
          <w:bCs/>
          <w:sz w:val="24"/>
          <w:szCs w:val="24"/>
        </w:rPr>
        <w:t>roku 202</w:t>
      </w:r>
      <w:r w:rsidR="00F27629">
        <w:rPr>
          <w:rFonts w:cstheme="minorHAnsi"/>
          <w:bCs/>
          <w:sz w:val="24"/>
          <w:szCs w:val="24"/>
        </w:rPr>
        <w:t>4 (134 350</w:t>
      </w:r>
      <w:r w:rsidR="00E5697C">
        <w:rPr>
          <w:rFonts w:cstheme="minorHAnsi"/>
          <w:bCs/>
          <w:sz w:val="24"/>
          <w:szCs w:val="24"/>
        </w:rPr>
        <w:t> </w:t>
      </w:r>
      <w:r w:rsidR="00F27629">
        <w:rPr>
          <w:rFonts w:cstheme="minorHAnsi"/>
          <w:bCs/>
          <w:sz w:val="24"/>
          <w:szCs w:val="24"/>
        </w:rPr>
        <w:t>000</w:t>
      </w:r>
      <w:r w:rsidR="00E5697C">
        <w:rPr>
          <w:rFonts w:cstheme="minorHAnsi"/>
          <w:bCs/>
          <w:sz w:val="24"/>
          <w:szCs w:val="24"/>
        </w:rPr>
        <w:t xml:space="preserve"> €)</w:t>
      </w:r>
      <w:r w:rsidR="00C8280C" w:rsidRPr="00DB16A5">
        <w:rPr>
          <w:rFonts w:cstheme="minorHAnsi"/>
          <w:bCs/>
          <w:sz w:val="24"/>
          <w:szCs w:val="24"/>
        </w:rPr>
        <w:t>.</w:t>
      </w:r>
      <w:r w:rsidR="00C8280C" w:rsidRPr="00B05C0C">
        <w:rPr>
          <w:rFonts w:cstheme="minorHAnsi"/>
          <w:b/>
          <w:sz w:val="24"/>
          <w:szCs w:val="24"/>
        </w:rPr>
        <w:t xml:space="preserve"> </w:t>
      </w:r>
      <w:r w:rsidR="00C8280C" w:rsidRPr="00B05C0C">
        <w:rPr>
          <w:sz w:val="24"/>
          <w:szCs w:val="24"/>
        </w:rPr>
        <w:t>Daňové príjmy BSK z bežných príjmov návrhu rozpočtu na rok 202</w:t>
      </w:r>
      <w:r w:rsidR="005552AA">
        <w:rPr>
          <w:sz w:val="24"/>
          <w:szCs w:val="24"/>
        </w:rPr>
        <w:t>5</w:t>
      </w:r>
      <w:r w:rsidR="00C8280C" w:rsidRPr="00B05C0C">
        <w:rPr>
          <w:sz w:val="24"/>
          <w:szCs w:val="24"/>
        </w:rPr>
        <w:t xml:space="preserve"> predstavujú </w:t>
      </w:r>
      <w:r w:rsidR="006E7AC9">
        <w:rPr>
          <w:sz w:val="24"/>
          <w:szCs w:val="24"/>
        </w:rPr>
        <w:t>5</w:t>
      </w:r>
      <w:r w:rsidR="00421141">
        <w:rPr>
          <w:sz w:val="24"/>
          <w:szCs w:val="24"/>
        </w:rPr>
        <w:t>6,59</w:t>
      </w:r>
      <w:r w:rsidR="00C8280C" w:rsidRPr="00B05C0C">
        <w:rPr>
          <w:sz w:val="24"/>
          <w:szCs w:val="24"/>
        </w:rPr>
        <w:t xml:space="preserve"> % a z celkových príjmov BSK </w:t>
      </w:r>
      <w:r w:rsidR="00C375B5">
        <w:rPr>
          <w:sz w:val="24"/>
          <w:szCs w:val="24"/>
        </w:rPr>
        <w:t>44,</w:t>
      </w:r>
      <w:r w:rsidR="00421141">
        <w:rPr>
          <w:sz w:val="24"/>
          <w:szCs w:val="24"/>
        </w:rPr>
        <w:t>39</w:t>
      </w:r>
      <w:r w:rsidR="00EA42C1">
        <w:rPr>
          <w:sz w:val="24"/>
          <w:szCs w:val="24"/>
        </w:rPr>
        <w:t>%</w:t>
      </w:r>
      <w:r w:rsidR="00C8280C" w:rsidRPr="00B05C0C">
        <w:rPr>
          <w:sz w:val="24"/>
          <w:szCs w:val="24"/>
        </w:rPr>
        <w:t>.</w:t>
      </w:r>
      <w:r w:rsidR="00FE6125">
        <w:rPr>
          <w:sz w:val="24"/>
          <w:szCs w:val="24"/>
        </w:rPr>
        <w:t xml:space="preserve"> Porovnanie skutočnosti</w:t>
      </w:r>
      <w:r w:rsidR="00033CD5">
        <w:rPr>
          <w:sz w:val="24"/>
          <w:szCs w:val="24"/>
        </w:rPr>
        <w:t xml:space="preserve"> plnenia </w:t>
      </w:r>
      <w:proofErr w:type="spellStart"/>
      <w:r w:rsidR="00033CD5">
        <w:rPr>
          <w:sz w:val="24"/>
          <w:szCs w:val="24"/>
        </w:rPr>
        <w:t>DzPFO</w:t>
      </w:r>
      <w:proofErr w:type="spellEnd"/>
      <w:r w:rsidR="00033CD5">
        <w:rPr>
          <w:sz w:val="24"/>
          <w:szCs w:val="24"/>
        </w:rPr>
        <w:t xml:space="preserve"> k plánu (upraveném</w:t>
      </w:r>
      <w:r w:rsidR="00BD3B41">
        <w:rPr>
          <w:sz w:val="24"/>
          <w:szCs w:val="24"/>
        </w:rPr>
        <w:t>u rozpočtu) od roku 2017 prezentuje nasledovný graf.</w:t>
      </w:r>
    </w:p>
    <w:p w14:paraId="03553B56" w14:textId="32D804E0" w:rsidR="00C8280C" w:rsidRPr="004361A8" w:rsidRDefault="004361A8" w:rsidP="004361A8">
      <w:pPr>
        <w:spacing w:before="100" w:beforeAutospacing="1" w:after="100" w:afterAutospacing="1" w:line="240" w:lineRule="auto"/>
        <w:jc w:val="both"/>
        <w:rPr>
          <w:sz w:val="24"/>
          <w:szCs w:val="24"/>
        </w:rPr>
      </w:pPr>
      <w:r>
        <w:rPr>
          <w:noProof/>
        </w:rPr>
        <w:drawing>
          <wp:inline distT="0" distB="0" distL="0" distR="0" wp14:anchorId="1DD23930" wp14:editId="24C52A48">
            <wp:extent cx="6645910" cy="2590800"/>
            <wp:effectExtent l="0" t="0" r="2540" b="0"/>
            <wp:docPr id="1246962314" name="Graf 1">
              <a:extLst xmlns:a="http://schemas.openxmlformats.org/drawingml/2006/main">
                <a:ext uri="{FF2B5EF4-FFF2-40B4-BE49-F238E27FC236}">
                  <a16:creationId xmlns:a16="http://schemas.microsoft.com/office/drawing/2014/main" id="{3135B7D1-65B3-8809-699A-879E553864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7D1FF1F" w14:textId="77777777" w:rsidR="00C8280C" w:rsidRPr="003A5EF6" w:rsidRDefault="00C8280C" w:rsidP="00C8280C">
      <w:pPr>
        <w:spacing w:after="0" w:line="240" w:lineRule="auto"/>
        <w:jc w:val="both"/>
        <w:rPr>
          <w:rFonts w:cstheme="minorHAnsi"/>
          <w:b/>
          <w:sz w:val="28"/>
          <w:szCs w:val="28"/>
        </w:rPr>
      </w:pPr>
      <w:r>
        <w:rPr>
          <w:rFonts w:cstheme="minorHAnsi"/>
          <w:b/>
          <w:sz w:val="28"/>
          <w:szCs w:val="28"/>
        </w:rPr>
        <w:t xml:space="preserve">    </w:t>
      </w:r>
      <w:r w:rsidRPr="003A5EF6">
        <w:rPr>
          <w:rFonts w:cstheme="minorHAnsi"/>
          <w:b/>
          <w:sz w:val="28"/>
          <w:szCs w:val="28"/>
        </w:rPr>
        <w:t>2.2 Nedaňové príjmy</w:t>
      </w:r>
    </w:p>
    <w:p w14:paraId="4E3540E6" w14:textId="5A815D42" w:rsidR="00C8280C" w:rsidRPr="007455D9" w:rsidRDefault="00C8280C" w:rsidP="00C8280C">
      <w:pPr>
        <w:spacing w:before="100" w:beforeAutospacing="1" w:after="100" w:afterAutospacing="1" w:line="240" w:lineRule="auto"/>
        <w:jc w:val="both"/>
        <w:rPr>
          <w:rFonts w:cstheme="minorHAnsi"/>
          <w:bCs/>
          <w:sz w:val="24"/>
          <w:szCs w:val="24"/>
        </w:rPr>
      </w:pPr>
      <w:r w:rsidRPr="00C034DE">
        <w:rPr>
          <w:rFonts w:cstheme="minorHAnsi"/>
          <w:bCs/>
          <w:sz w:val="24"/>
          <w:szCs w:val="24"/>
        </w:rPr>
        <w:t xml:space="preserve">Rozpočet nedaňových príjmov tvoria príjmy Úradu </w:t>
      </w:r>
      <w:r>
        <w:rPr>
          <w:rFonts w:cstheme="minorHAnsi"/>
          <w:bCs/>
          <w:sz w:val="24"/>
          <w:szCs w:val="24"/>
        </w:rPr>
        <w:t>BSK</w:t>
      </w:r>
      <w:r w:rsidRPr="00C034DE">
        <w:rPr>
          <w:rFonts w:cstheme="minorHAnsi"/>
          <w:bCs/>
          <w:sz w:val="24"/>
          <w:szCs w:val="24"/>
        </w:rPr>
        <w:t xml:space="preserve"> a príjmy rozpočtových organizácií v zriaďovateľskej pôsobnosti </w:t>
      </w:r>
      <w:r>
        <w:rPr>
          <w:rFonts w:cstheme="minorHAnsi"/>
          <w:bCs/>
          <w:sz w:val="24"/>
          <w:szCs w:val="24"/>
        </w:rPr>
        <w:t>BSK v</w:t>
      </w:r>
      <w:r w:rsidRPr="00C034DE">
        <w:rPr>
          <w:rFonts w:cstheme="minorHAnsi"/>
          <w:bCs/>
          <w:sz w:val="24"/>
          <w:szCs w:val="24"/>
        </w:rPr>
        <w:t xml:space="preserve"> oblasti vzdelávania</w:t>
      </w:r>
      <w:r>
        <w:rPr>
          <w:rFonts w:cstheme="minorHAnsi"/>
          <w:bCs/>
          <w:sz w:val="24"/>
          <w:szCs w:val="24"/>
        </w:rPr>
        <w:t xml:space="preserve"> a </w:t>
      </w:r>
      <w:r w:rsidRPr="00C034DE">
        <w:rPr>
          <w:rFonts w:cstheme="minorHAnsi"/>
          <w:bCs/>
          <w:sz w:val="24"/>
          <w:szCs w:val="24"/>
        </w:rPr>
        <w:t>sociálnych služieb</w:t>
      </w:r>
      <w:r>
        <w:rPr>
          <w:rFonts w:cstheme="minorHAnsi"/>
          <w:bCs/>
          <w:sz w:val="24"/>
          <w:szCs w:val="24"/>
        </w:rPr>
        <w:t xml:space="preserve">. Úrad BSK príjmy z predaja majetku </w:t>
      </w:r>
      <w:r w:rsidR="00367996">
        <w:rPr>
          <w:rFonts w:cstheme="minorHAnsi"/>
          <w:bCs/>
          <w:sz w:val="24"/>
          <w:szCs w:val="24"/>
        </w:rPr>
        <w:t>ne</w:t>
      </w:r>
      <w:r>
        <w:rPr>
          <w:rFonts w:cstheme="minorHAnsi"/>
          <w:bCs/>
          <w:sz w:val="24"/>
          <w:szCs w:val="24"/>
        </w:rPr>
        <w:t>rozpočtuje, naopak administratívne príjmy zariadení v zriaďovateľskej pôsobnosti sa oproti minulému roku navyšujú</w:t>
      </w:r>
      <w:r>
        <w:t>.</w:t>
      </w:r>
      <w:r w:rsidRPr="00C034DE">
        <w:rPr>
          <w:rFonts w:cstheme="minorHAnsi"/>
          <w:b/>
          <w:sz w:val="24"/>
          <w:szCs w:val="24"/>
        </w:rPr>
        <w:t xml:space="preserve"> </w:t>
      </w:r>
      <w:r>
        <w:rPr>
          <w:rFonts w:cstheme="minorHAnsi"/>
          <w:b/>
          <w:sz w:val="24"/>
          <w:szCs w:val="24"/>
        </w:rPr>
        <w:t>Celkovo pre</w:t>
      </w:r>
      <w:r w:rsidRPr="004F6E37">
        <w:rPr>
          <w:rFonts w:cstheme="minorHAnsi"/>
          <w:b/>
          <w:bCs/>
          <w:sz w:val="24"/>
          <w:szCs w:val="24"/>
        </w:rPr>
        <w:t xml:space="preserve"> rok 202</w:t>
      </w:r>
      <w:r w:rsidR="00D12631">
        <w:rPr>
          <w:rFonts w:cstheme="minorHAnsi"/>
          <w:b/>
          <w:bCs/>
          <w:sz w:val="24"/>
          <w:szCs w:val="24"/>
        </w:rPr>
        <w:t>5</w:t>
      </w:r>
      <w:r w:rsidRPr="004F6E37">
        <w:rPr>
          <w:rFonts w:cstheme="minorHAnsi"/>
          <w:sz w:val="24"/>
          <w:szCs w:val="24"/>
        </w:rPr>
        <w:t xml:space="preserve"> ich </w:t>
      </w:r>
      <w:r>
        <w:rPr>
          <w:rFonts w:cstheme="minorHAnsi"/>
          <w:sz w:val="24"/>
          <w:szCs w:val="24"/>
        </w:rPr>
        <w:t xml:space="preserve">výšku </w:t>
      </w:r>
      <w:r w:rsidRPr="004F6E37">
        <w:rPr>
          <w:rFonts w:cstheme="minorHAnsi"/>
          <w:sz w:val="24"/>
          <w:szCs w:val="24"/>
        </w:rPr>
        <w:t xml:space="preserve">plánujeme </w:t>
      </w:r>
      <w:r>
        <w:rPr>
          <w:rFonts w:cstheme="minorHAnsi"/>
          <w:sz w:val="24"/>
          <w:szCs w:val="24"/>
        </w:rPr>
        <w:t xml:space="preserve">v </w:t>
      </w:r>
      <w:r w:rsidRPr="005936D4">
        <w:rPr>
          <w:rFonts w:cstheme="minorHAnsi"/>
          <w:bCs/>
          <w:sz w:val="24"/>
          <w:szCs w:val="24"/>
        </w:rPr>
        <w:t>objeme</w:t>
      </w:r>
      <w:r w:rsidRPr="005936D4">
        <w:rPr>
          <w:rFonts w:cstheme="minorHAnsi"/>
          <w:b/>
          <w:sz w:val="24"/>
          <w:szCs w:val="24"/>
        </w:rPr>
        <w:t xml:space="preserve"> </w:t>
      </w:r>
      <w:r w:rsidR="00F34EC5" w:rsidRPr="00F34EC5">
        <w:rPr>
          <w:rFonts w:cstheme="minorHAnsi"/>
          <w:b/>
          <w:sz w:val="24"/>
          <w:szCs w:val="24"/>
        </w:rPr>
        <w:t>12 724</w:t>
      </w:r>
      <w:r w:rsidR="00F34EC5">
        <w:rPr>
          <w:rFonts w:cstheme="minorHAnsi"/>
          <w:b/>
          <w:sz w:val="24"/>
          <w:szCs w:val="24"/>
        </w:rPr>
        <w:t> </w:t>
      </w:r>
      <w:r w:rsidR="00F34EC5" w:rsidRPr="00F34EC5">
        <w:rPr>
          <w:rFonts w:cstheme="minorHAnsi"/>
          <w:b/>
          <w:sz w:val="24"/>
          <w:szCs w:val="24"/>
        </w:rPr>
        <w:t>443</w:t>
      </w:r>
      <w:r w:rsidR="00F34EC5">
        <w:rPr>
          <w:rFonts w:cstheme="minorHAnsi"/>
          <w:b/>
          <w:sz w:val="24"/>
          <w:szCs w:val="24"/>
        </w:rPr>
        <w:t xml:space="preserve"> </w:t>
      </w:r>
      <w:r w:rsidR="00710FF5">
        <w:rPr>
          <w:rFonts w:cstheme="minorHAnsi"/>
          <w:b/>
          <w:sz w:val="24"/>
          <w:szCs w:val="24"/>
        </w:rPr>
        <w:t>€</w:t>
      </w:r>
      <w:r w:rsidR="00F34EC5">
        <w:rPr>
          <w:rFonts w:cstheme="minorHAnsi"/>
          <w:b/>
          <w:sz w:val="24"/>
          <w:szCs w:val="24"/>
        </w:rPr>
        <w:t>.</w:t>
      </w:r>
      <w:r w:rsidRPr="002D3A4B">
        <w:rPr>
          <w:rFonts w:cstheme="minorHAnsi"/>
          <w:b/>
          <w:sz w:val="24"/>
          <w:szCs w:val="24"/>
        </w:rPr>
        <w:t xml:space="preserve"> </w:t>
      </w:r>
      <w:r w:rsidRPr="009921D1">
        <w:rPr>
          <w:rFonts w:cstheme="minorHAnsi"/>
          <w:bCs/>
          <w:sz w:val="24"/>
          <w:szCs w:val="24"/>
        </w:rPr>
        <w:t>Nedaňové príjmy</w:t>
      </w:r>
      <w:r w:rsidRPr="009921D1">
        <w:rPr>
          <w:rFonts w:cstheme="minorHAnsi"/>
          <w:sz w:val="24"/>
          <w:szCs w:val="24"/>
        </w:rPr>
        <w:t xml:space="preserve"> </w:t>
      </w:r>
      <w:r w:rsidRPr="004F6E37">
        <w:rPr>
          <w:rFonts w:cstheme="minorHAnsi"/>
          <w:sz w:val="24"/>
          <w:szCs w:val="24"/>
        </w:rPr>
        <w:t>kraja na</w:t>
      </w:r>
      <w:r>
        <w:rPr>
          <w:rFonts w:cstheme="minorHAnsi"/>
          <w:sz w:val="24"/>
          <w:szCs w:val="24"/>
        </w:rPr>
        <w:t xml:space="preserve"> </w:t>
      </w:r>
      <w:r w:rsidRPr="004F6E37">
        <w:rPr>
          <w:rFonts w:cstheme="minorHAnsi"/>
          <w:sz w:val="24"/>
          <w:szCs w:val="24"/>
        </w:rPr>
        <w:t xml:space="preserve">celkových príjmoch predstavujú podiel </w:t>
      </w:r>
      <w:r w:rsidR="007D3280">
        <w:rPr>
          <w:rFonts w:cstheme="minorHAnsi"/>
          <w:sz w:val="24"/>
          <w:szCs w:val="24"/>
        </w:rPr>
        <w:t>3,97</w:t>
      </w:r>
      <w:r w:rsidRPr="005936D4">
        <w:rPr>
          <w:rFonts w:cstheme="minorHAnsi"/>
          <w:sz w:val="24"/>
          <w:szCs w:val="24"/>
        </w:rPr>
        <w:t xml:space="preserve"> %.</w:t>
      </w:r>
    </w:p>
    <w:tbl>
      <w:tblPr>
        <w:tblW w:w="5075" w:type="pct"/>
        <w:tblCellMar>
          <w:left w:w="70" w:type="dxa"/>
          <w:right w:w="70" w:type="dxa"/>
        </w:tblCellMar>
        <w:tblLook w:val="04A0" w:firstRow="1" w:lastRow="0" w:firstColumn="1" w:lastColumn="0" w:noHBand="0" w:noVBand="1"/>
      </w:tblPr>
      <w:tblGrid>
        <w:gridCol w:w="3096"/>
        <w:gridCol w:w="1069"/>
        <w:gridCol w:w="1069"/>
        <w:gridCol w:w="1069"/>
        <w:gridCol w:w="1069"/>
        <w:gridCol w:w="1069"/>
        <w:gridCol w:w="1069"/>
        <w:gridCol w:w="1113"/>
      </w:tblGrid>
      <w:tr w:rsidR="00ED7309" w:rsidRPr="00885138" w14:paraId="68F96F7A" w14:textId="77777777" w:rsidTr="004F2FB0">
        <w:trPr>
          <w:trHeight w:hRule="exact" w:val="284"/>
        </w:trPr>
        <w:tc>
          <w:tcPr>
            <w:tcW w:w="1457" w:type="pct"/>
            <w:tcBorders>
              <w:top w:val="nil"/>
              <w:left w:val="nil"/>
              <w:bottom w:val="single" w:sz="8" w:space="0" w:color="DCE6F1"/>
              <w:right w:val="nil"/>
            </w:tcBorders>
            <w:shd w:val="clear" w:color="000000" w:fill="366092"/>
            <w:noWrap/>
            <w:vAlign w:val="center"/>
            <w:hideMark/>
          </w:tcPr>
          <w:p w14:paraId="6C07930A" w14:textId="77777777" w:rsidR="00ED7309" w:rsidRPr="00885138" w:rsidRDefault="00ED7309" w:rsidP="00ED7309">
            <w:pPr>
              <w:spacing w:after="0" w:line="240" w:lineRule="auto"/>
              <w:rPr>
                <w:rFonts w:ascii="Calibri" w:eastAsia="Times New Roman" w:hAnsi="Calibri" w:cs="Calibri"/>
                <w:b/>
                <w:bCs/>
                <w:color w:val="FFFFFF"/>
                <w:sz w:val="20"/>
                <w:szCs w:val="20"/>
                <w:lang w:eastAsia="sk-SK"/>
              </w:rPr>
            </w:pPr>
            <w:r w:rsidRPr="00885138">
              <w:rPr>
                <w:rFonts w:ascii="Calibri" w:eastAsia="Times New Roman" w:hAnsi="Calibri" w:cs="Calibri"/>
                <w:b/>
                <w:bCs/>
                <w:color w:val="FFFFFF"/>
                <w:sz w:val="20"/>
                <w:szCs w:val="20"/>
                <w:lang w:eastAsia="sk-SK"/>
              </w:rPr>
              <w:t>Ukazovateľ</w:t>
            </w:r>
          </w:p>
        </w:tc>
        <w:tc>
          <w:tcPr>
            <w:tcW w:w="503" w:type="pct"/>
            <w:tcBorders>
              <w:top w:val="nil"/>
              <w:left w:val="nil"/>
              <w:bottom w:val="single" w:sz="8" w:space="0" w:color="B8CCE4"/>
              <w:right w:val="nil"/>
            </w:tcBorders>
            <w:shd w:val="clear" w:color="000000" w:fill="366092"/>
            <w:vAlign w:val="center"/>
          </w:tcPr>
          <w:p w14:paraId="4F67CB1A" w14:textId="4FE5BD57" w:rsidR="00ED7309" w:rsidRPr="00DD45AE" w:rsidRDefault="00ED7309" w:rsidP="00ED7309">
            <w:pPr>
              <w:spacing w:after="0" w:line="240" w:lineRule="auto"/>
              <w:jc w:val="center"/>
              <w:rPr>
                <w:rFonts w:ascii="Calibri" w:eastAsia="Times New Roman" w:hAnsi="Calibri" w:cs="Calibri"/>
                <w:b/>
                <w:bCs/>
                <w:color w:val="FFFFFF"/>
                <w:sz w:val="16"/>
                <w:szCs w:val="16"/>
                <w:lang w:eastAsia="sk-SK"/>
              </w:rPr>
            </w:pPr>
            <w:r w:rsidRPr="00DD45AE">
              <w:rPr>
                <w:rFonts w:ascii="Calibri" w:eastAsia="Times New Roman" w:hAnsi="Calibri" w:cs="Calibri"/>
                <w:b/>
                <w:bCs/>
                <w:color w:val="FFFFFF"/>
                <w:sz w:val="16"/>
                <w:szCs w:val="16"/>
                <w:lang w:eastAsia="sk-SK"/>
              </w:rPr>
              <w:t>202</w:t>
            </w:r>
            <w:r w:rsidR="00D12631">
              <w:rPr>
                <w:rFonts w:ascii="Calibri" w:eastAsia="Times New Roman" w:hAnsi="Calibri" w:cs="Calibri"/>
                <w:b/>
                <w:bCs/>
                <w:color w:val="FFFFFF"/>
                <w:sz w:val="16"/>
                <w:szCs w:val="16"/>
                <w:lang w:eastAsia="sk-SK"/>
              </w:rPr>
              <w:t>2</w:t>
            </w:r>
            <w:r w:rsidRPr="00DD45AE">
              <w:rPr>
                <w:rFonts w:ascii="Calibri" w:eastAsia="Times New Roman" w:hAnsi="Calibri" w:cs="Calibri"/>
                <w:b/>
                <w:bCs/>
                <w:color w:val="FFFFFF"/>
                <w:sz w:val="16"/>
                <w:szCs w:val="16"/>
                <w:lang w:eastAsia="sk-SK"/>
              </w:rPr>
              <w:t xml:space="preserve"> (S)</w:t>
            </w:r>
          </w:p>
        </w:tc>
        <w:tc>
          <w:tcPr>
            <w:tcW w:w="503" w:type="pct"/>
            <w:tcBorders>
              <w:top w:val="nil"/>
              <w:left w:val="nil"/>
              <w:bottom w:val="single" w:sz="8" w:space="0" w:color="B8CCE4"/>
              <w:right w:val="nil"/>
            </w:tcBorders>
            <w:shd w:val="clear" w:color="000000" w:fill="366092"/>
            <w:noWrap/>
            <w:vAlign w:val="center"/>
            <w:hideMark/>
          </w:tcPr>
          <w:p w14:paraId="79A0DE84" w14:textId="29943B62" w:rsidR="00ED7309" w:rsidRPr="00885138" w:rsidRDefault="00ED7309" w:rsidP="00ED7309">
            <w:pPr>
              <w:spacing w:after="0" w:line="240" w:lineRule="auto"/>
              <w:jc w:val="center"/>
              <w:rPr>
                <w:rFonts w:ascii="Calibri" w:eastAsia="Times New Roman" w:hAnsi="Calibri" w:cs="Calibri"/>
                <w:b/>
                <w:bCs/>
                <w:color w:val="FFFFFF"/>
                <w:sz w:val="18"/>
                <w:szCs w:val="18"/>
                <w:lang w:eastAsia="sk-SK"/>
              </w:rPr>
            </w:pPr>
            <w:r w:rsidRPr="00DD45AE">
              <w:rPr>
                <w:rFonts w:ascii="Calibri" w:eastAsia="Times New Roman" w:hAnsi="Calibri" w:cs="Calibri"/>
                <w:b/>
                <w:bCs/>
                <w:color w:val="FFFFFF"/>
                <w:sz w:val="16"/>
                <w:szCs w:val="16"/>
                <w:lang w:eastAsia="sk-SK"/>
              </w:rPr>
              <w:t>202</w:t>
            </w:r>
            <w:r w:rsidR="00D12631">
              <w:rPr>
                <w:rFonts w:ascii="Calibri" w:eastAsia="Times New Roman" w:hAnsi="Calibri" w:cs="Calibri"/>
                <w:b/>
                <w:bCs/>
                <w:color w:val="FFFFFF"/>
                <w:sz w:val="16"/>
                <w:szCs w:val="16"/>
                <w:lang w:eastAsia="sk-SK"/>
              </w:rPr>
              <w:t>3</w:t>
            </w:r>
            <w:r w:rsidRPr="00DD45AE">
              <w:rPr>
                <w:rFonts w:ascii="Calibri" w:eastAsia="Times New Roman" w:hAnsi="Calibri" w:cs="Calibri"/>
                <w:b/>
                <w:bCs/>
                <w:color w:val="FFFFFF"/>
                <w:sz w:val="16"/>
                <w:szCs w:val="16"/>
                <w:lang w:eastAsia="sk-SK"/>
              </w:rPr>
              <w:t xml:space="preserve"> (S)</w:t>
            </w:r>
          </w:p>
        </w:tc>
        <w:tc>
          <w:tcPr>
            <w:tcW w:w="503" w:type="pct"/>
            <w:tcBorders>
              <w:top w:val="nil"/>
              <w:left w:val="nil"/>
              <w:bottom w:val="single" w:sz="8" w:space="0" w:color="B8CCE4"/>
              <w:right w:val="nil"/>
            </w:tcBorders>
            <w:shd w:val="clear" w:color="000000" w:fill="366092"/>
            <w:noWrap/>
            <w:vAlign w:val="center"/>
            <w:hideMark/>
          </w:tcPr>
          <w:p w14:paraId="2B855FC5" w14:textId="48B7EE05" w:rsidR="00ED7309" w:rsidRPr="00885138" w:rsidRDefault="00ED7309" w:rsidP="00ED7309">
            <w:pPr>
              <w:spacing w:after="0" w:line="240" w:lineRule="auto"/>
              <w:jc w:val="center"/>
              <w:rPr>
                <w:rFonts w:ascii="Calibri" w:eastAsia="Times New Roman" w:hAnsi="Calibri" w:cs="Calibri"/>
                <w:b/>
                <w:bCs/>
                <w:color w:val="FFFFFF"/>
                <w:sz w:val="18"/>
                <w:szCs w:val="18"/>
                <w:lang w:eastAsia="sk-SK"/>
              </w:rPr>
            </w:pPr>
            <w:r w:rsidRPr="00DD45AE">
              <w:rPr>
                <w:rFonts w:ascii="Calibri" w:eastAsia="Times New Roman" w:hAnsi="Calibri" w:cs="Calibri"/>
                <w:b/>
                <w:bCs/>
                <w:color w:val="FFFFFF"/>
                <w:sz w:val="16"/>
                <w:szCs w:val="16"/>
                <w:lang w:eastAsia="sk-SK"/>
              </w:rPr>
              <w:t>202</w:t>
            </w:r>
            <w:r w:rsidR="00D12631">
              <w:rPr>
                <w:rFonts w:ascii="Calibri" w:eastAsia="Times New Roman" w:hAnsi="Calibri" w:cs="Calibri"/>
                <w:b/>
                <w:bCs/>
                <w:color w:val="FFFFFF"/>
                <w:sz w:val="16"/>
                <w:szCs w:val="16"/>
                <w:lang w:eastAsia="sk-SK"/>
              </w:rPr>
              <w:t>4</w:t>
            </w:r>
            <w:r w:rsidRPr="00DD45AE">
              <w:rPr>
                <w:rFonts w:ascii="Calibri" w:eastAsia="Times New Roman" w:hAnsi="Calibri" w:cs="Calibri"/>
                <w:b/>
                <w:bCs/>
                <w:color w:val="FFFFFF"/>
                <w:sz w:val="16"/>
                <w:szCs w:val="16"/>
                <w:lang w:eastAsia="sk-SK"/>
              </w:rPr>
              <w:t xml:space="preserve"> (S</w:t>
            </w:r>
            <w:r>
              <w:rPr>
                <w:rFonts w:ascii="Calibri" w:eastAsia="Times New Roman" w:hAnsi="Calibri" w:cs="Calibri"/>
                <w:b/>
                <w:bCs/>
                <w:color w:val="FFFFFF"/>
                <w:sz w:val="16"/>
                <w:szCs w:val="16"/>
                <w:lang w:eastAsia="sk-SK"/>
              </w:rPr>
              <w:t>R</w:t>
            </w:r>
            <w:r w:rsidRPr="00DD45AE">
              <w:rPr>
                <w:rFonts w:ascii="Calibri" w:eastAsia="Times New Roman" w:hAnsi="Calibri" w:cs="Calibri"/>
                <w:b/>
                <w:bCs/>
                <w:color w:val="FFFFFF"/>
                <w:sz w:val="16"/>
                <w:szCs w:val="16"/>
                <w:lang w:eastAsia="sk-SK"/>
              </w:rPr>
              <w:t>)</w:t>
            </w:r>
          </w:p>
        </w:tc>
        <w:tc>
          <w:tcPr>
            <w:tcW w:w="503" w:type="pct"/>
            <w:tcBorders>
              <w:top w:val="nil"/>
              <w:left w:val="nil"/>
              <w:right w:val="nil"/>
            </w:tcBorders>
            <w:shd w:val="clear" w:color="000000" w:fill="366092"/>
            <w:noWrap/>
            <w:vAlign w:val="center"/>
            <w:hideMark/>
          </w:tcPr>
          <w:p w14:paraId="46F70725" w14:textId="357EF3B2" w:rsidR="00ED7309" w:rsidRPr="00885138" w:rsidRDefault="00ED7309" w:rsidP="00ED7309">
            <w:pPr>
              <w:spacing w:after="0" w:line="240" w:lineRule="auto"/>
              <w:jc w:val="center"/>
              <w:rPr>
                <w:rFonts w:ascii="Calibri" w:eastAsia="Times New Roman" w:hAnsi="Calibri" w:cs="Calibri"/>
                <w:b/>
                <w:bCs/>
                <w:color w:val="FFFFFF"/>
                <w:sz w:val="18"/>
                <w:szCs w:val="18"/>
                <w:lang w:eastAsia="sk-SK"/>
              </w:rPr>
            </w:pPr>
            <w:r w:rsidRPr="00DD45AE">
              <w:rPr>
                <w:rFonts w:ascii="Calibri" w:eastAsia="Times New Roman" w:hAnsi="Calibri" w:cs="Calibri"/>
                <w:b/>
                <w:bCs/>
                <w:color w:val="FFFFFF"/>
                <w:sz w:val="16"/>
                <w:szCs w:val="16"/>
                <w:lang w:eastAsia="sk-SK"/>
              </w:rPr>
              <w:t>202</w:t>
            </w:r>
            <w:r w:rsidR="00DA04D5">
              <w:rPr>
                <w:rFonts w:ascii="Calibri" w:eastAsia="Times New Roman" w:hAnsi="Calibri" w:cs="Calibri"/>
                <w:b/>
                <w:bCs/>
                <w:color w:val="FFFFFF"/>
                <w:sz w:val="16"/>
                <w:szCs w:val="16"/>
                <w:lang w:eastAsia="sk-SK"/>
              </w:rPr>
              <w:t>4</w:t>
            </w:r>
            <w:r w:rsidRPr="00DD45AE">
              <w:rPr>
                <w:rFonts w:ascii="Calibri" w:eastAsia="Times New Roman" w:hAnsi="Calibri" w:cs="Calibri"/>
                <w:b/>
                <w:bCs/>
                <w:color w:val="FFFFFF"/>
                <w:sz w:val="16"/>
                <w:szCs w:val="16"/>
                <w:lang w:eastAsia="sk-SK"/>
              </w:rPr>
              <w:t xml:space="preserve"> (OS)</w:t>
            </w:r>
          </w:p>
        </w:tc>
        <w:tc>
          <w:tcPr>
            <w:tcW w:w="503" w:type="pct"/>
            <w:tcBorders>
              <w:top w:val="nil"/>
              <w:left w:val="nil"/>
              <w:right w:val="nil"/>
            </w:tcBorders>
            <w:shd w:val="clear" w:color="000000" w:fill="366092"/>
            <w:noWrap/>
            <w:vAlign w:val="center"/>
            <w:hideMark/>
          </w:tcPr>
          <w:p w14:paraId="0DD9E558" w14:textId="5C096FD4" w:rsidR="00ED7309" w:rsidRPr="00885138" w:rsidRDefault="00ED7309" w:rsidP="00ED7309">
            <w:pPr>
              <w:spacing w:after="0" w:line="240" w:lineRule="auto"/>
              <w:jc w:val="center"/>
              <w:rPr>
                <w:rFonts w:ascii="Calibri" w:eastAsia="Times New Roman" w:hAnsi="Calibri" w:cs="Calibri"/>
                <w:b/>
                <w:bCs/>
                <w:color w:val="FFFFFF"/>
                <w:sz w:val="18"/>
                <w:szCs w:val="18"/>
                <w:lang w:eastAsia="sk-SK"/>
              </w:rPr>
            </w:pPr>
            <w:r w:rsidRPr="00DD45AE">
              <w:rPr>
                <w:rFonts w:ascii="Calibri" w:eastAsia="Times New Roman" w:hAnsi="Calibri" w:cs="Calibri"/>
                <w:b/>
                <w:bCs/>
                <w:color w:val="FFFFFF"/>
                <w:sz w:val="16"/>
                <w:szCs w:val="16"/>
                <w:lang w:eastAsia="sk-SK"/>
              </w:rPr>
              <w:t>202</w:t>
            </w:r>
            <w:r w:rsidR="00DA04D5">
              <w:rPr>
                <w:rFonts w:ascii="Calibri" w:eastAsia="Times New Roman" w:hAnsi="Calibri" w:cs="Calibri"/>
                <w:b/>
                <w:bCs/>
                <w:color w:val="FFFFFF"/>
                <w:sz w:val="16"/>
                <w:szCs w:val="16"/>
                <w:lang w:eastAsia="sk-SK"/>
              </w:rPr>
              <w:t>5</w:t>
            </w:r>
            <w:r w:rsidRPr="00DD45AE">
              <w:rPr>
                <w:rFonts w:ascii="Calibri" w:eastAsia="Times New Roman" w:hAnsi="Calibri" w:cs="Calibri"/>
                <w:b/>
                <w:bCs/>
                <w:color w:val="FFFFFF"/>
                <w:sz w:val="16"/>
                <w:szCs w:val="16"/>
                <w:lang w:eastAsia="sk-SK"/>
              </w:rPr>
              <w:t xml:space="preserve"> (N)</w:t>
            </w:r>
          </w:p>
        </w:tc>
        <w:tc>
          <w:tcPr>
            <w:tcW w:w="503" w:type="pct"/>
            <w:tcBorders>
              <w:top w:val="nil"/>
              <w:left w:val="nil"/>
              <w:right w:val="nil"/>
            </w:tcBorders>
            <w:shd w:val="clear" w:color="000000" w:fill="366092"/>
            <w:noWrap/>
            <w:vAlign w:val="center"/>
            <w:hideMark/>
          </w:tcPr>
          <w:p w14:paraId="7B401EB5" w14:textId="28348D93" w:rsidR="00ED7309" w:rsidRPr="00885138" w:rsidRDefault="00ED7309" w:rsidP="00ED7309">
            <w:pPr>
              <w:spacing w:after="0" w:line="240" w:lineRule="auto"/>
              <w:jc w:val="center"/>
              <w:rPr>
                <w:rFonts w:ascii="Calibri" w:eastAsia="Times New Roman" w:hAnsi="Calibri" w:cs="Calibri"/>
                <w:b/>
                <w:bCs/>
                <w:color w:val="FFFFFF"/>
                <w:sz w:val="18"/>
                <w:szCs w:val="18"/>
                <w:lang w:eastAsia="sk-SK"/>
              </w:rPr>
            </w:pPr>
            <w:r w:rsidRPr="00DD45AE">
              <w:rPr>
                <w:rFonts w:ascii="Calibri" w:eastAsia="Times New Roman" w:hAnsi="Calibri" w:cs="Calibri"/>
                <w:b/>
                <w:bCs/>
                <w:color w:val="FFFFFF"/>
                <w:sz w:val="16"/>
                <w:szCs w:val="16"/>
                <w:lang w:eastAsia="sk-SK"/>
              </w:rPr>
              <w:t>202</w:t>
            </w:r>
            <w:r w:rsidR="00DA04D5">
              <w:rPr>
                <w:rFonts w:ascii="Calibri" w:eastAsia="Times New Roman" w:hAnsi="Calibri" w:cs="Calibri"/>
                <w:b/>
                <w:bCs/>
                <w:color w:val="FFFFFF"/>
                <w:sz w:val="16"/>
                <w:szCs w:val="16"/>
                <w:lang w:eastAsia="sk-SK"/>
              </w:rPr>
              <w:t>6</w:t>
            </w:r>
            <w:r w:rsidRPr="00DD45AE">
              <w:rPr>
                <w:rFonts w:ascii="Calibri" w:eastAsia="Times New Roman" w:hAnsi="Calibri" w:cs="Calibri"/>
                <w:b/>
                <w:bCs/>
                <w:color w:val="FFFFFF"/>
                <w:sz w:val="16"/>
                <w:szCs w:val="16"/>
                <w:lang w:eastAsia="sk-SK"/>
              </w:rPr>
              <w:t xml:space="preserve"> (N)</w:t>
            </w:r>
          </w:p>
        </w:tc>
        <w:tc>
          <w:tcPr>
            <w:tcW w:w="524" w:type="pct"/>
            <w:tcBorders>
              <w:top w:val="nil"/>
              <w:left w:val="nil"/>
              <w:bottom w:val="single" w:sz="8" w:space="0" w:color="B8CCE4"/>
              <w:right w:val="nil"/>
            </w:tcBorders>
            <w:shd w:val="clear" w:color="000000" w:fill="366092"/>
            <w:noWrap/>
            <w:vAlign w:val="center"/>
            <w:hideMark/>
          </w:tcPr>
          <w:p w14:paraId="65E6F95E" w14:textId="53FE686B" w:rsidR="00ED7309" w:rsidRPr="00DA04D5" w:rsidRDefault="00ED7309" w:rsidP="00DA04D5">
            <w:pPr>
              <w:spacing w:after="0" w:line="240" w:lineRule="auto"/>
              <w:jc w:val="center"/>
              <w:rPr>
                <w:rFonts w:ascii="Calibri" w:eastAsia="Times New Roman" w:hAnsi="Calibri" w:cs="Calibri"/>
                <w:b/>
                <w:bCs/>
                <w:color w:val="FFFFFF"/>
                <w:sz w:val="16"/>
                <w:szCs w:val="16"/>
                <w:lang w:eastAsia="sk-SK"/>
              </w:rPr>
            </w:pPr>
            <w:r w:rsidRPr="00DD45AE">
              <w:rPr>
                <w:rFonts w:ascii="Calibri" w:eastAsia="Times New Roman" w:hAnsi="Calibri" w:cs="Calibri"/>
                <w:b/>
                <w:bCs/>
                <w:color w:val="FFFFFF"/>
                <w:sz w:val="16"/>
                <w:szCs w:val="16"/>
                <w:lang w:eastAsia="sk-SK"/>
              </w:rPr>
              <w:t>202</w:t>
            </w:r>
            <w:r w:rsidR="00DA04D5">
              <w:rPr>
                <w:rFonts w:ascii="Calibri" w:eastAsia="Times New Roman" w:hAnsi="Calibri" w:cs="Calibri"/>
                <w:b/>
                <w:bCs/>
                <w:color w:val="FFFFFF"/>
                <w:sz w:val="16"/>
                <w:szCs w:val="16"/>
                <w:lang w:eastAsia="sk-SK"/>
              </w:rPr>
              <w:t>7</w:t>
            </w:r>
            <w:r w:rsidRPr="00DD45AE">
              <w:rPr>
                <w:rFonts w:ascii="Calibri" w:eastAsia="Times New Roman" w:hAnsi="Calibri" w:cs="Calibri"/>
                <w:b/>
                <w:bCs/>
                <w:color w:val="FFFFFF"/>
                <w:sz w:val="16"/>
                <w:szCs w:val="16"/>
                <w:lang w:eastAsia="sk-SK"/>
              </w:rPr>
              <w:t xml:space="preserve"> (N)</w:t>
            </w:r>
          </w:p>
        </w:tc>
      </w:tr>
      <w:tr w:rsidR="005E3FD4" w:rsidRPr="00885138" w14:paraId="09ADAED9" w14:textId="77777777" w:rsidTr="00380069">
        <w:trPr>
          <w:trHeight w:hRule="exact" w:val="284"/>
        </w:trPr>
        <w:tc>
          <w:tcPr>
            <w:tcW w:w="1457" w:type="pct"/>
            <w:tcBorders>
              <w:top w:val="nil"/>
              <w:left w:val="nil"/>
              <w:bottom w:val="single" w:sz="8" w:space="0" w:color="DCE6F1"/>
              <w:right w:val="nil"/>
            </w:tcBorders>
            <w:shd w:val="clear" w:color="auto" w:fill="8EAADB" w:themeFill="accent1" w:themeFillTint="99"/>
            <w:noWrap/>
            <w:vAlign w:val="center"/>
            <w:hideMark/>
          </w:tcPr>
          <w:p w14:paraId="44367D7A" w14:textId="77777777" w:rsidR="005E3FD4" w:rsidRPr="00885138" w:rsidRDefault="005E3FD4" w:rsidP="005E3FD4">
            <w:pPr>
              <w:spacing w:after="0" w:line="240" w:lineRule="auto"/>
              <w:rPr>
                <w:rFonts w:ascii="Calibri" w:eastAsia="Times New Roman" w:hAnsi="Calibri" w:cs="Calibri"/>
                <w:b/>
                <w:bCs/>
                <w:color w:val="000000"/>
                <w:sz w:val="18"/>
                <w:szCs w:val="18"/>
                <w:lang w:eastAsia="sk-SK"/>
              </w:rPr>
            </w:pPr>
            <w:r w:rsidRPr="00885138">
              <w:rPr>
                <w:rFonts w:ascii="Calibri" w:eastAsia="Times New Roman" w:hAnsi="Calibri" w:cs="Calibri"/>
                <w:b/>
                <w:bCs/>
                <w:color w:val="000000"/>
                <w:sz w:val="18"/>
                <w:szCs w:val="18"/>
                <w:lang w:eastAsia="sk-SK"/>
              </w:rPr>
              <w:t>Nedaňové príjmy v EUR</w:t>
            </w:r>
          </w:p>
        </w:tc>
        <w:tc>
          <w:tcPr>
            <w:tcW w:w="503" w:type="pct"/>
            <w:tcBorders>
              <w:top w:val="nil"/>
              <w:left w:val="nil"/>
              <w:bottom w:val="single" w:sz="8" w:space="0" w:color="DCE6F1"/>
              <w:right w:val="nil"/>
            </w:tcBorders>
            <w:shd w:val="clear" w:color="auto" w:fill="8EAADB" w:themeFill="accent1" w:themeFillTint="99"/>
            <w:vAlign w:val="bottom"/>
          </w:tcPr>
          <w:p w14:paraId="5A4F0EEA" w14:textId="6C61897B"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12 693 577</w:t>
            </w:r>
          </w:p>
        </w:tc>
        <w:tc>
          <w:tcPr>
            <w:tcW w:w="503" w:type="pct"/>
            <w:tcBorders>
              <w:top w:val="nil"/>
              <w:left w:val="nil"/>
              <w:bottom w:val="single" w:sz="8" w:space="0" w:color="DCE6F1"/>
              <w:right w:val="nil"/>
            </w:tcBorders>
            <w:shd w:val="clear" w:color="auto" w:fill="8EAADB" w:themeFill="accent1" w:themeFillTint="99"/>
            <w:noWrap/>
            <w:vAlign w:val="bottom"/>
          </w:tcPr>
          <w:p w14:paraId="79788935" w14:textId="74E42F8A"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11 874 384</w:t>
            </w:r>
          </w:p>
        </w:tc>
        <w:tc>
          <w:tcPr>
            <w:tcW w:w="503" w:type="pct"/>
            <w:tcBorders>
              <w:top w:val="nil"/>
              <w:left w:val="nil"/>
              <w:bottom w:val="single" w:sz="8" w:space="0" w:color="DCE6F1"/>
              <w:right w:val="nil"/>
            </w:tcBorders>
            <w:shd w:val="clear" w:color="auto" w:fill="8EAADB" w:themeFill="accent1" w:themeFillTint="99"/>
            <w:noWrap/>
            <w:vAlign w:val="bottom"/>
          </w:tcPr>
          <w:p w14:paraId="2034B8EE" w14:textId="40BBC364"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12 435 569</w:t>
            </w:r>
          </w:p>
        </w:tc>
        <w:tc>
          <w:tcPr>
            <w:tcW w:w="503" w:type="pct"/>
            <w:tcBorders>
              <w:left w:val="nil"/>
              <w:right w:val="nil"/>
            </w:tcBorders>
            <w:shd w:val="clear" w:color="auto" w:fill="8EAADB" w:themeFill="accent1" w:themeFillTint="99"/>
            <w:noWrap/>
            <w:vAlign w:val="bottom"/>
          </w:tcPr>
          <w:p w14:paraId="2B4AD621" w14:textId="7E43B51B" w:rsidR="005E3FD4" w:rsidRPr="00676C1A" w:rsidRDefault="005E3FD4" w:rsidP="005E3FD4">
            <w:pPr>
              <w:jc w:val="right"/>
              <w:rPr>
                <w:rFonts w:ascii="Calibri" w:hAnsi="Calibri" w:cs="Calibri"/>
                <w:b/>
                <w:bCs/>
                <w:sz w:val="20"/>
                <w:szCs w:val="20"/>
              </w:rPr>
            </w:pPr>
            <w:r w:rsidRPr="00676C1A">
              <w:rPr>
                <w:rFonts w:ascii="Calibri" w:hAnsi="Calibri" w:cs="Calibri"/>
                <w:b/>
                <w:bCs/>
                <w:color w:val="000000"/>
                <w:sz w:val="20"/>
                <w:szCs w:val="20"/>
              </w:rPr>
              <w:t>14 547 616</w:t>
            </w:r>
          </w:p>
        </w:tc>
        <w:tc>
          <w:tcPr>
            <w:tcW w:w="503" w:type="pct"/>
            <w:tcBorders>
              <w:left w:val="nil"/>
              <w:right w:val="nil"/>
            </w:tcBorders>
            <w:shd w:val="clear" w:color="auto" w:fill="D9D9D9" w:themeFill="background1" w:themeFillShade="D9"/>
            <w:noWrap/>
            <w:vAlign w:val="bottom"/>
          </w:tcPr>
          <w:p w14:paraId="71058A93" w14:textId="0687CE97" w:rsidR="005E3FD4" w:rsidRPr="00676C1A" w:rsidRDefault="005E3FD4" w:rsidP="005E3FD4">
            <w:pPr>
              <w:jc w:val="right"/>
              <w:rPr>
                <w:rFonts w:ascii="Calibri" w:hAnsi="Calibri" w:cs="Calibri"/>
                <w:b/>
                <w:bCs/>
                <w:sz w:val="20"/>
                <w:szCs w:val="20"/>
              </w:rPr>
            </w:pPr>
            <w:r w:rsidRPr="00676C1A">
              <w:rPr>
                <w:rFonts w:ascii="Calibri" w:hAnsi="Calibri" w:cs="Calibri"/>
                <w:b/>
                <w:bCs/>
                <w:color w:val="000000"/>
                <w:sz w:val="20"/>
                <w:szCs w:val="20"/>
              </w:rPr>
              <w:t>12 724 443</w:t>
            </w:r>
          </w:p>
        </w:tc>
        <w:tc>
          <w:tcPr>
            <w:tcW w:w="503" w:type="pct"/>
            <w:tcBorders>
              <w:left w:val="nil"/>
              <w:right w:val="nil"/>
            </w:tcBorders>
            <w:shd w:val="clear" w:color="auto" w:fill="8EAADB" w:themeFill="accent1" w:themeFillTint="99"/>
            <w:noWrap/>
            <w:vAlign w:val="bottom"/>
          </w:tcPr>
          <w:p w14:paraId="7CA21A64" w14:textId="230D1B0C" w:rsidR="005E3FD4" w:rsidRPr="00676C1A" w:rsidRDefault="005E3FD4" w:rsidP="005E3FD4">
            <w:pPr>
              <w:jc w:val="right"/>
              <w:rPr>
                <w:rFonts w:ascii="Calibri" w:hAnsi="Calibri" w:cs="Calibri"/>
                <w:b/>
                <w:bCs/>
                <w:sz w:val="20"/>
                <w:szCs w:val="20"/>
              </w:rPr>
            </w:pPr>
            <w:r w:rsidRPr="00676C1A">
              <w:rPr>
                <w:rFonts w:ascii="Calibri" w:hAnsi="Calibri" w:cs="Calibri"/>
                <w:b/>
                <w:bCs/>
                <w:color w:val="000000"/>
                <w:sz w:val="20"/>
                <w:szCs w:val="20"/>
              </w:rPr>
              <w:t>12 462 073</w:t>
            </w:r>
          </w:p>
        </w:tc>
        <w:tc>
          <w:tcPr>
            <w:tcW w:w="524" w:type="pct"/>
            <w:tcBorders>
              <w:top w:val="nil"/>
              <w:left w:val="nil"/>
              <w:bottom w:val="single" w:sz="8" w:space="0" w:color="DCE6F1"/>
              <w:right w:val="nil"/>
            </w:tcBorders>
            <w:shd w:val="clear" w:color="auto" w:fill="8EAADB" w:themeFill="accent1" w:themeFillTint="99"/>
            <w:noWrap/>
            <w:vAlign w:val="bottom"/>
          </w:tcPr>
          <w:p w14:paraId="71DB6B3B" w14:textId="48D36AEF" w:rsidR="005E3FD4" w:rsidRPr="00676C1A" w:rsidRDefault="005E3FD4" w:rsidP="005E3FD4">
            <w:pPr>
              <w:jc w:val="right"/>
              <w:rPr>
                <w:rFonts w:ascii="Calibri" w:hAnsi="Calibri" w:cs="Calibri"/>
                <w:b/>
                <w:bCs/>
                <w:sz w:val="20"/>
                <w:szCs w:val="20"/>
              </w:rPr>
            </w:pPr>
            <w:r w:rsidRPr="00676C1A">
              <w:rPr>
                <w:rFonts w:ascii="Calibri" w:hAnsi="Calibri" w:cs="Calibri"/>
                <w:b/>
                <w:bCs/>
                <w:color w:val="000000"/>
                <w:sz w:val="20"/>
                <w:szCs w:val="20"/>
              </w:rPr>
              <w:t>12 555 225</w:t>
            </w:r>
          </w:p>
        </w:tc>
      </w:tr>
      <w:tr w:rsidR="005E3FD4" w:rsidRPr="00885138" w14:paraId="6BF7A5AE" w14:textId="77777777" w:rsidTr="00380069">
        <w:trPr>
          <w:trHeight w:hRule="exact" w:val="284"/>
        </w:trPr>
        <w:tc>
          <w:tcPr>
            <w:tcW w:w="1457" w:type="pct"/>
            <w:tcBorders>
              <w:top w:val="nil"/>
              <w:left w:val="nil"/>
              <w:bottom w:val="single" w:sz="8" w:space="0" w:color="DCE6F1"/>
              <w:right w:val="nil"/>
            </w:tcBorders>
            <w:shd w:val="clear" w:color="000000" w:fill="D9D9D9"/>
            <w:noWrap/>
            <w:vAlign w:val="center"/>
            <w:hideMark/>
          </w:tcPr>
          <w:p w14:paraId="67196A69" w14:textId="77777777" w:rsidR="005E3FD4" w:rsidRPr="00885138" w:rsidRDefault="005E3FD4" w:rsidP="005E3FD4">
            <w:pPr>
              <w:spacing w:after="0" w:line="240" w:lineRule="auto"/>
              <w:rPr>
                <w:rFonts w:ascii="Calibri" w:eastAsia="Times New Roman" w:hAnsi="Calibri" w:cs="Calibri"/>
                <w:b/>
                <w:bCs/>
                <w:color w:val="000000"/>
                <w:sz w:val="18"/>
                <w:szCs w:val="18"/>
                <w:lang w:eastAsia="sk-SK"/>
              </w:rPr>
            </w:pPr>
            <w:r w:rsidRPr="00885138">
              <w:rPr>
                <w:rFonts w:ascii="Calibri" w:eastAsia="Times New Roman" w:hAnsi="Calibri" w:cs="Calibri"/>
                <w:b/>
                <w:bCs/>
                <w:color w:val="000000"/>
                <w:sz w:val="18"/>
                <w:szCs w:val="18"/>
                <w:lang w:eastAsia="sk-SK"/>
              </w:rPr>
              <w:t>210 - Príjmy z pod. a z vlas. majetku</w:t>
            </w:r>
          </w:p>
        </w:tc>
        <w:tc>
          <w:tcPr>
            <w:tcW w:w="503" w:type="pct"/>
            <w:tcBorders>
              <w:top w:val="nil"/>
              <w:left w:val="nil"/>
              <w:bottom w:val="single" w:sz="8" w:space="0" w:color="DCE6F1"/>
              <w:right w:val="nil"/>
            </w:tcBorders>
            <w:shd w:val="clear" w:color="000000" w:fill="D9D9D9"/>
            <w:vAlign w:val="bottom"/>
          </w:tcPr>
          <w:p w14:paraId="5306707B" w14:textId="0DC08DE6" w:rsidR="005E3FD4" w:rsidRPr="00591ED5" w:rsidRDefault="005E3FD4" w:rsidP="005E3FD4">
            <w:pPr>
              <w:jc w:val="right"/>
              <w:rPr>
                <w:rFonts w:ascii="Calibri" w:hAnsi="Calibri" w:cs="Calibri"/>
                <w:b/>
                <w:bCs/>
                <w:color w:val="000000"/>
                <w:sz w:val="20"/>
                <w:szCs w:val="20"/>
              </w:rPr>
            </w:pPr>
            <w:r w:rsidRPr="00591ED5">
              <w:rPr>
                <w:rFonts w:ascii="Calibri" w:hAnsi="Calibri" w:cs="Calibri"/>
                <w:color w:val="000000"/>
                <w:sz w:val="20"/>
                <w:szCs w:val="20"/>
              </w:rPr>
              <w:t>1 525 320</w:t>
            </w:r>
          </w:p>
        </w:tc>
        <w:tc>
          <w:tcPr>
            <w:tcW w:w="503" w:type="pct"/>
            <w:tcBorders>
              <w:top w:val="nil"/>
              <w:left w:val="nil"/>
              <w:bottom w:val="single" w:sz="8" w:space="0" w:color="DCE6F1"/>
              <w:right w:val="nil"/>
            </w:tcBorders>
            <w:shd w:val="clear" w:color="000000" w:fill="D9D9D9"/>
            <w:noWrap/>
            <w:vAlign w:val="bottom"/>
          </w:tcPr>
          <w:p w14:paraId="55142518" w14:textId="2F1071D2" w:rsidR="005E3FD4" w:rsidRPr="00591ED5" w:rsidRDefault="005E3FD4" w:rsidP="005E3FD4">
            <w:pPr>
              <w:jc w:val="right"/>
              <w:rPr>
                <w:rFonts w:ascii="Calibri" w:hAnsi="Calibri" w:cs="Calibri"/>
                <w:b/>
                <w:bCs/>
                <w:color w:val="000000"/>
                <w:sz w:val="20"/>
                <w:szCs w:val="20"/>
              </w:rPr>
            </w:pPr>
            <w:r w:rsidRPr="00591ED5">
              <w:rPr>
                <w:rFonts w:ascii="Calibri" w:hAnsi="Calibri" w:cs="Calibri"/>
                <w:color w:val="000000"/>
                <w:sz w:val="20"/>
                <w:szCs w:val="20"/>
              </w:rPr>
              <w:t>1 926 729</w:t>
            </w:r>
          </w:p>
        </w:tc>
        <w:tc>
          <w:tcPr>
            <w:tcW w:w="503" w:type="pct"/>
            <w:tcBorders>
              <w:top w:val="nil"/>
              <w:left w:val="nil"/>
              <w:bottom w:val="single" w:sz="8" w:space="0" w:color="DCE6F1"/>
              <w:right w:val="nil"/>
            </w:tcBorders>
            <w:shd w:val="clear" w:color="000000" w:fill="D9D9D9"/>
            <w:noWrap/>
            <w:vAlign w:val="bottom"/>
          </w:tcPr>
          <w:p w14:paraId="00DFF997" w14:textId="70211B09" w:rsidR="005E3FD4" w:rsidRPr="00591ED5" w:rsidRDefault="005E3FD4" w:rsidP="005E3FD4">
            <w:pPr>
              <w:jc w:val="right"/>
              <w:rPr>
                <w:rFonts w:ascii="Calibri" w:hAnsi="Calibri" w:cs="Calibri"/>
                <w:b/>
                <w:bCs/>
                <w:color w:val="000000"/>
                <w:sz w:val="20"/>
                <w:szCs w:val="20"/>
              </w:rPr>
            </w:pPr>
            <w:r w:rsidRPr="00591ED5">
              <w:rPr>
                <w:rFonts w:ascii="Calibri" w:hAnsi="Calibri" w:cs="Calibri"/>
                <w:color w:val="000000"/>
                <w:sz w:val="20"/>
                <w:szCs w:val="20"/>
              </w:rPr>
              <w:t>1 847 559</w:t>
            </w:r>
          </w:p>
        </w:tc>
        <w:tc>
          <w:tcPr>
            <w:tcW w:w="503" w:type="pct"/>
            <w:tcBorders>
              <w:left w:val="nil"/>
              <w:right w:val="nil"/>
            </w:tcBorders>
            <w:shd w:val="clear" w:color="000000" w:fill="D9D9D9"/>
            <w:noWrap/>
            <w:vAlign w:val="bottom"/>
          </w:tcPr>
          <w:p w14:paraId="082D6703" w14:textId="41171511" w:rsidR="005E3FD4" w:rsidRPr="00591ED5" w:rsidRDefault="005E3FD4" w:rsidP="005E3FD4">
            <w:pPr>
              <w:jc w:val="right"/>
              <w:rPr>
                <w:rFonts w:ascii="Calibri" w:hAnsi="Calibri" w:cs="Calibri"/>
                <w:b/>
                <w:bCs/>
                <w:color w:val="000000"/>
                <w:sz w:val="20"/>
                <w:szCs w:val="20"/>
              </w:rPr>
            </w:pPr>
            <w:r w:rsidRPr="00591ED5">
              <w:rPr>
                <w:rFonts w:ascii="Calibri" w:hAnsi="Calibri" w:cs="Calibri"/>
                <w:color w:val="000000"/>
                <w:sz w:val="20"/>
                <w:szCs w:val="20"/>
              </w:rPr>
              <w:t>2 090 886</w:t>
            </w:r>
          </w:p>
        </w:tc>
        <w:tc>
          <w:tcPr>
            <w:tcW w:w="503" w:type="pct"/>
            <w:tcBorders>
              <w:left w:val="nil"/>
              <w:right w:val="nil"/>
            </w:tcBorders>
            <w:shd w:val="clear" w:color="auto" w:fill="D9D9D9" w:themeFill="background1" w:themeFillShade="D9"/>
            <w:noWrap/>
            <w:vAlign w:val="bottom"/>
          </w:tcPr>
          <w:p w14:paraId="50D58C82" w14:textId="2D8FFD20" w:rsidR="005E3FD4" w:rsidRPr="00830B63" w:rsidRDefault="005E3FD4" w:rsidP="005E3FD4">
            <w:pPr>
              <w:jc w:val="right"/>
              <w:rPr>
                <w:rFonts w:ascii="Calibri" w:hAnsi="Calibri" w:cs="Calibri"/>
                <w:b/>
                <w:bCs/>
                <w:color w:val="000000"/>
                <w:sz w:val="20"/>
                <w:szCs w:val="20"/>
              </w:rPr>
            </w:pPr>
            <w:r w:rsidRPr="00830B63">
              <w:rPr>
                <w:rFonts w:ascii="Calibri" w:hAnsi="Calibri" w:cs="Calibri"/>
                <w:b/>
                <w:bCs/>
                <w:color w:val="000000"/>
                <w:sz w:val="20"/>
                <w:szCs w:val="20"/>
              </w:rPr>
              <w:t>1 852 357</w:t>
            </w:r>
          </w:p>
        </w:tc>
        <w:tc>
          <w:tcPr>
            <w:tcW w:w="503" w:type="pct"/>
            <w:tcBorders>
              <w:left w:val="nil"/>
              <w:right w:val="nil"/>
            </w:tcBorders>
            <w:shd w:val="clear" w:color="000000" w:fill="D9D9D9"/>
            <w:noWrap/>
            <w:vAlign w:val="bottom"/>
          </w:tcPr>
          <w:p w14:paraId="2B7C3214" w14:textId="07EE8733" w:rsidR="005E3FD4" w:rsidRPr="00591ED5" w:rsidRDefault="005E3FD4" w:rsidP="005E3FD4">
            <w:pPr>
              <w:jc w:val="right"/>
              <w:rPr>
                <w:rFonts w:ascii="Calibri" w:hAnsi="Calibri" w:cs="Calibri"/>
                <w:b/>
                <w:bCs/>
                <w:color w:val="000000"/>
                <w:sz w:val="20"/>
                <w:szCs w:val="20"/>
              </w:rPr>
            </w:pPr>
            <w:r w:rsidRPr="00591ED5">
              <w:rPr>
                <w:rFonts w:ascii="Calibri" w:hAnsi="Calibri" w:cs="Calibri"/>
                <w:color w:val="000000"/>
                <w:sz w:val="20"/>
                <w:szCs w:val="20"/>
              </w:rPr>
              <w:t>1 859 006</w:t>
            </w:r>
          </w:p>
        </w:tc>
        <w:tc>
          <w:tcPr>
            <w:tcW w:w="524" w:type="pct"/>
            <w:tcBorders>
              <w:top w:val="nil"/>
              <w:left w:val="nil"/>
              <w:bottom w:val="single" w:sz="8" w:space="0" w:color="DCE6F1"/>
              <w:right w:val="nil"/>
            </w:tcBorders>
            <w:shd w:val="clear" w:color="000000" w:fill="D9D9D9"/>
            <w:noWrap/>
            <w:vAlign w:val="bottom"/>
          </w:tcPr>
          <w:p w14:paraId="5699F923" w14:textId="64C56972" w:rsidR="005E3FD4" w:rsidRPr="00591ED5" w:rsidRDefault="005E3FD4" w:rsidP="005E3FD4">
            <w:pPr>
              <w:jc w:val="right"/>
              <w:rPr>
                <w:rFonts w:ascii="Calibri" w:hAnsi="Calibri" w:cs="Calibri"/>
                <w:b/>
                <w:bCs/>
                <w:color w:val="000000"/>
                <w:sz w:val="20"/>
                <w:szCs w:val="20"/>
              </w:rPr>
            </w:pPr>
            <w:r w:rsidRPr="00591ED5">
              <w:rPr>
                <w:rFonts w:ascii="Calibri" w:hAnsi="Calibri" w:cs="Calibri"/>
                <w:color w:val="000000"/>
                <w:sz w:val="20"/>
                <w:szCs w:val="20"/>
              </w:rPr>
              <w:t>1 876 475</w:t>
            </w:r>
          </w:p>
        </w:tc>
      </w:tr>
      <w:tr w:rsidR="005E3FD4" w:rsidRPr="00885138" w14:paraId="5FC78434"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169BE89E"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Úrad</w:t>
            </w:r>
          </w:p>
        </w:tc>
        <w:tc>
          <w:tcPr>
            <w:tcW w:w="503" w:type="pct"/>
            <w:tcBorders>
              <w:top w:val="nil"/>
              <w:left w:val="nil"/>
              <w:bottom w:val="single" w:sz="8" w:space="0" w:color="DCE6F1"/>
              <w:right w:val="nil"/>
            </w:tcBorders>
            <w:vAlign w:val="bottom"/>
          </w:tcPr>
          <w:p w14:paraId="1D41E374" w14:textId="1D4D9842"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342 143</w:t>
            </w:r>
          </w:p>
        </w:tc>
        <w:tc>
          <w:tcPr>
            <w:tcW w:w="503" w:type="pct"/>
            <w:tcBorders>
              <w:top w:val="nil"/>
              <w:left w:val="nil"/>
              <w:bottom w:val="single" w:sz="8" w:space="0" w:color="DCE6F1"/>
              <w:right w:val="nil"/>
            </w:tcBorders>
            <w:shd w:val="clear" w:color="auto" w:fill="auto"/>
            <w:noWrap/>
            <w:vAlign w:val="bottom"/>
          </w:tcPr>
          <w:p w14:paraId="7637B828" w14:textId="44D6E40F"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455 003</w:t>
            </w:r>
          </w:p>
        </w:tc>
        <w:tc>
          <w:tcPr>
            <w:tcW w:w="503" w:type="pct"/>
            <w:tcBorders>
              <w:top w:val="nil"/>
              <w:left w:val="nil"/>
              <w:bottom w:val="single" w:sz="8" w:space="0" w:color="DCE6F1"/>
              <w:right w:val="nil"/>
            </w:tcBorders>
            <w:shd w:val="clear" w:color="auto" w:fill="auto"/>
            <w:noWrap/>
            <w:vAlign w:val="bottom"/>
          </w:tcPr>
          <w:p w14:paraId="52A0D0AA" w14:textId="7AD5D2E2"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418 329</w:t>
            </w:r>
          </w:p>
        </w:tc>
        <w:tc>
          <w:tcPr>
            <w:tcW w:w="503" w:type="pct"/>
            <w:tcBorders>
              <w:left w:val="nil"/>
              <w:bottom w:val="single" w:sz="8" w:space="0" w:color="DCE6F1"/>
              <w:right w:val="nil"/>
            </w:tcBorders>
            <w:shd w:val="clear" w:color="auto" w:fill="auto"/>
            <w:noWrap/>
            <w:vAlign w:val="bottom"/>
          </w:tcPr>
          <w:p w14:paraId="72A83114" w14:textId="780810A0"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545 307</w:t>
            </w:r>
          </w:p>
        </w:tc>
        <w:tc>
          <w:tcPr>
            <w:tcW w:w="503" w:type="pct"/>
            <w:tcBorders>
              <w:left w:val="nil"/>
              <w:bottom w:val="single" w:sz="8" w:space="0" w:color="DCE6F1"/>
              <w:right w:val="nil"/>
            </w:tcBorders>
            <w:shd w:val="clear" w:color="auto" w:fill="D9D9D9" w:themeFill="background1" w:themeFillShade="D9"/>
            <w:noWrap/>
            <w:vAlign w:val="bottom"/>
          </w:tcPr>
          <w:p w14:paraId="396FC0C8" w14:textId="6872C9E0" w:rsidR="005E3FD4" w:rsidRPr="00830B63" w:rsidRDefault="005E3FD4" w:rsidP="005E3FD4">
            <w:pPr>
              <w:jc w:val="right"/>
              <w:rPr>
                <w:rFonts w:ascii="Calibri" w:hAnsi="Calibri" w:cs="Calibri"/>
                <w:b/>
                <w:bCs/>
                <w:color w:val="000000"/>
                <w:sz w:val="20"/>
                <w:szCs w:val="20"/>
              </w:rPr>
            </w:pPr>
            <w:r w:rsidRPr="00830B63">
              <w:rPr>
                <w:rFonts w:ascii="Calibri" w:hAnsi="Calibri" w:cs="Calibri"/>
                <w:b/>
                <w:bCs/>
                <w:color w:val="000000"/>
                <w:sz w:val="20"/>
                <w:szCs w:val="20"/>
              </w:rPr>
              <w:t>533 034</w:t>
            </w:r>
          </w:p>
        </w:tc>
        <w:tc>
          <w:tcPr>
            <w:tcW w:w="503" w:type="pct"/>
            <w:tcBorders>
              <w:left w:val="nil"/>
              <w:bottom w:val="single" w:sz="8" w:space="0" w:color="DCE6F1"/>
              <w:right w:val="nil"/>
            </w:tcBorders>
            <w:shd w:val="clear" w:color="auto" w:fill="auto"/>
            <w:noWrap/>
            <w:vAlign w:val="bottom"/>
          </w:tcPr>
          <w:p w14:paraId="0F437D85" w14:textId="16B78B0B"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533 034</w:t>
            </w:r>
          </w:p>
        </w:tc>
        <w:tc>
          <w:tcPr>
            <w:tcW w:w="524" w:type="pct"/>
            <w:tcBorders>
              <w:top w:val="nil"/>
              <w:left w:val="nil"/>
              <w:bottom w:val="single" w:sz="8" w:space="0" w:color="DCE6F1"/>
              <w:right w:val="nil"/>
            </w:tcBorders>
            <w:shd w:val="clear" w:color="auto" w:fill="auto"/>
            <w:noWrap/>
            <w:vAlign w:val="bottom"/>
          </w:tcPr>
          <w:p w14:paraId="2B330805" w14:textId="1A5DD15B"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533 034</w:t>
            </w:r>
          </w:p>
        </w:tc>
      </w:tr>
      <w:tr w:rsidR="005E3FD4" w:rsidRPr="00885138" w14:paraId="62007B93"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0427974F"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 xml:space="preserve">Príjmy </w:t>
            </w:r>
            <w:proofErr w:type="spellStart"/>
            <w:r w:rsidRPr="0006582E">
              <w:rPr>
                <w:rFonts w:ascii="Calibri" w:eastAsia="Times New Roman" w:hAnsi="Calibri" w:cs="Calibri"/>
                <w:color w:val="000000"/>
                <w:sz w:val="18"/>
                <w:szCs w:val="18"/>
                <w:lang w:eastAsia="sk-SK"/>
              </w:rPr>
              <w:t>ZvZP</w:t>
            </w:r>
            <w:proofErr w:type="spellEnd"/>
            <w:r w:rsidRPr="0006582E">
              <w:rPr>
                <w:rFonts w:ascii="Calibri" w:eastAsia="Times New Roman" w:hAnsi="Calibri" w:cs="Calibri"/>
                <w:color w:val="000000"/>
                <w:sz w:val="18"/>
                <w:szCs w:val="18"/>
                <w:lang w:eastAsia="sk-SK"/>
              </w:rPr>
              <w:t xml:space="preserve"> - sociálne zabezpečenie</w:t>
            </w:r>
          </w:p>
        </w:tc>
        <w:tc>
          <w:tcPr>
            <w:tcW w:w="503" w:type="pct"/>
            <w:tcBorders>
              <w:top w:val="nil"/>
              <w:left w:val="nil"/>
              <w:bottom w:val="single" w:sz="8" w:space="0" w:color="DCE6F1"/>
              <w:right w:val="nil"/>
            </w:tcBorders>
            <w:vAlign w:val="bottom"/>
          </w:tcPr>
          <w:p w14:paraId="6A36F064" w14:textId="457A8D44"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218 492</w:t>
            </w:r>
          </w:p>
        </w:tc>
        <w:tc>
          <w:tcPr>
            <w:tcW w:w="503" w:type="pct"/>
            <w:tcBorders>
              <w:top w:val="nil"/>
              <w:left w:val="nil"/>
              <w:bottom w:val="single" w:sz="8" w:space="0" w:color="DCE6F1"/>
              <w:right w:val="nil"/>
            </w:tcBorders>
            <w:shd w:val="clear" w:color="auto" w:fill="auto"/>
            <w:noWrap/>
            <w:vAlign w:val="bottom"/>
          </w:tcPr>
          <w:p w14:paraId="7DE4720F" w14:textId="098A3AB4"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311 336</w:t>
            </w:r>
          </w:p>
        </w:tc>
        <w:tc>
          <w:tcPr>
            <w:tcW w:w="503" w:type="pct"/>
            <w:tcBorders>
              <w:top w:val="nil"/>
              <w:left w:val="nil"/>
              <w:bottom w:val="single" w:sz="8" w:space="0" w:color="DCE6F1"/>
              <w:right w:val="nil"/>
            </w:tcBorders>
            <w:shd w:val="clear" w:color="auto" w:fill="auto"/>
            <w:noWrap/>
            <w:vAlign w:val="bottom"/>
          </w:tcPr>
          <w:p w14:paraId="3FF8AAC7" w14:textId="2E8164EA"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379 280</w:t>
            </w:r>
          </w:p>
        </w:tc>
        <w:tc>
          <w:tcPr>
            <w:tcW w:w="503" w:type="pct"/>
            <w:tcBorders>
              <w:top w:val="nil"/>
              <w:left w:val="nil"/>
              <w:bottom w:val="single" w:sz="8" w:space="0" w:color="DCE6F1"/>
              <w:right w:val="nil"/>
            </w:tcBorders>
            <w:shd w:val="clear" w:color="auto" w:fill="auto"/>
            <w:noWrap/>
            <w:vAlign w:val="bottom"/>
          </w:tcPr>
          <w:p w14:paraId="72110018" w14:textId="35092D64"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410 450</w:t>
            </w:r>
          </w:p>
        </w:tc>
        <w:tc>
          <w:tcPr>
            <w:tcW w:w="503" w:type="pct"/>
            <w:tcBorders>
              <w:top w:val="nil"/>
              <w:left w:val="nil"/>
              <w:bottom w:val="single" w:sz="8" w:space="0" w:color="DCE6F1"/>
              <w:right w:val="nil"/>
            </w:tcBorders>
            <w:shd w:val="clear" w:color="auto" w:fill="D9D9D9" w:themeFill="background1" w:themeFillShade="D9"/>
            <w:noWrap/>
            <w:vAlign w:val="bottom"/>
          </w:tcPr>
          <w:p w14:paraId="113D8AB0" w14:textId="3C1F1AA3" w:rsidR="005E3FD4" w:rsidRPr="00830B63" w:rsidRDefault="005E3FD4" w:rsidP="005E3FD4">
            <w:pPr>
              <w:jc w:val="right"/>
              <w:rPr>
                <w:rFonts w:ascii="Calibri" w:hAnsi="Calibri" w:cs="Calibri"/>
                <w:b/>
                <w:bCs/>
                <w:color w:val="000000"/>
                <w:sz w:val="20"/>
                <w:szCs w:val="20"/>
              </w:rPr>
            </w:pPr>
            <w:r w:rsidRPr="00830B63">
              <w:rPr>
                <w:rFonts w:ascii="Calibri" w:hAnsi="Calibri" w:cs="Calibri"/>
                <w:b/>
                <w:bCs/>
                <w:color w:val="000000"/>
                <w:sz w:val="20"/>
                <w:szCs w:val="20"/>
              </w:rPr>
              <w:t>407 321</w:t>
            </w:r>
          </w:p>
        </w:tc>
        <w:tc>
          <w:tcPr>
            <w:tcW w:w="503" w:type="pct"/>
            <w:tcBorders>
              <w:top w:val="nil"/>
              <w:left w:val="nil"/>
              <w:bottom w:val="single" w:sz="8" w:space="0" w:color="DCE6F1"/>
              <w:right w:val="nil"/>
            </w:tcBorders>
            <w:shd w:val="clear" w:color="auto" w:fill="auto"/>
            <w:noWrap/>
            <w:vAlign w:val="bottom"/>
          </w:tcPr>
          <w:p w14:paraId="00FE400F" w14:textId="104DB9BB"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407 321</w:t>
            </w:r>
          </w:p>
        </w:tc>
        <w:tc>
          <w:tcPr>
            <w:tcW w:w="524" w:type="pct"/>
            <w:tcBorders>
              <w:top w:val="nil"/>
              <w:left w:val="nil"/>
              <w:bottom w:val="single" w:sz="8" w:space="0" w:color="DCE6F1"/>
              <w:right w:val="nil"/>
            </w:tcBorders>
            <w:shd w:val="clear" w:color="auto" w:fill="auto"/>
            <w:noWrap/>
            <w:vAlign w:val="bottom"/>
          </w:tcPr>
          <w:p w14:paraId="34EC22D1" w14:textId="10DAFE99"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407 321</w:t>
            </w:r>
          </w:p>
        </w:tc>
      </w:tr>
      <w:tr w:rsidR="005E3FD4" w:rsidRPr="00885138" w14:paraId="44E106F7"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47919EF7"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 xml:space="preserve">Príjmy </w:t>
            </w:r>
            <w:proofErr w:type="spellStart"/>
            <w:r w:rsidRPr="0006582E">
              <w:rPr>
                <w:rFonts w:ascii="Calibri" w:eastAsia="Times New Roman" w:hAnsi="Calibri" w:cs="Calibri"/>
                <w:color w:val="000000"/>
                <w:sz w:val="18"/>
                <w:szCs w:val="18"/>
                <w:lang w:eastAsia="sk-SK"/>
              </w:rPr>
              <w:t>ZvZP</w:t>
            </w:r>
            <w:proofErr w:type="spellEnd"/>
            <w:r w:rsidRPr="0006582E">
              <w:rPr>
                <w:rFonts w:ascii="Calibri" w:eastAsia="Times New Roman" w:hAnsi="Calibri" w:cs="Calibri"/>
                <w:color w:val="000000"/>
                <w:sz w:val="18"/>
                <w:szCs w:val="18"/>
                <w:lang w:eastAsia="sk-SK"/>
              </w:rPr>
              <w:t xml:space="preserve"> - vzdelávanie</w:t>
            </w:r>
          </w:p>
        </w:tc>
        <w:tc>
          <w:tcPr>
            <w:tcW w:w="503" w:type="pct"/>
            <w:tcBorders>
              <w:top w:val="nil"/>
              <w:left w:val="nil"/>
              <w:bottom w:val="single" w:sz="8" w:space="0" w:color="DCE6F1"/>
              <w:right w:val="nil"/>
            </w:tcBorders>
            <w:vAlign w:val="bottom"/>
          </w:tcPr>
          <w:p w14:paraId="1D5FCD9A" w14:textId="2C7D9AB3"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964 685</w:t>
            </w:r>
          </w:p>
        </w:tc>
        <w:tc>
          <w:tcPr>
            <w:tcW w:w="503" w:type="pct"/>
            <w:tcBorders>
              <w:top w:val="nil"/>
              <w:left w:val="nil"/>
              <w:bottom w:val="single" w:sz="8" w:space="0" w:color="DCE6F1"/>
              <w:right w:val="nil"/>
            </w:tcBorders>
            <w:shd w:val="clear" w:color="auto" w:fill="auto"/>
            <w:noWrap/>
            <w:vAlign w:val="bottom"/>
          </w:tcPr>
          <w:p w14:paraId="388C42BF" w14:textId="69A49772"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1 160 390</w:t>
            </w:r>
          </w:p>
        </w:tc>
        <w:tc>
          <w:tcPr>
            <w:tcW w:w="503" w:type="pct"/>
            <w:tcBorders>
              <w:top w:val="nil"/>
              <w:left w:val="nil"/>
              <w:bottom w:val="single" w:sz="8" w:space="0" w:color="DCE6F1"/>
              <w:right w:val="nil"/>
            </w:tcBorders>
            <w:shd w:val="clear" w:color="auto" w:fill="auto"/>
            <w:noWrap/>
            <w:vAlign w:val="bottom"/>
          </w:tcPr>
          <w:p w14:paraId="77E96B21" w14:textId="09C63C02"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1 049 950</w:t>
            </w:r>
          </w:p>
        </w:tc>
        <w:tc>
          <w:tcPr>
            <w:tcW w:w="503" w:type="pct"/>
            <w:tcBorders>
              <w:top w:val="nil"/>
              <w:left w:val="nil"/>
              <w:bottom w:val="single" w:sz="8" w:space="0" w:color="DCE6F1"/>
              <w:right w:val="nil"/>
            </w:tcBorders>
            <w:shd w:val="clear" w:color="auto" w:fill="auto"/>
            <w:noWrap/>
            <w:vAlign w:val="bottom"/>
          </w:tcPr>
          <w:p w14:paraId="6AC32B5E" w14:textId="14F8C1DD"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1 135 129</w:t>
            </w:r>
          </w:p>
        </w:tc>
        <w:tc>
          <w:tcPr>
            <w:tcW w:w="503" w:type="pct"/>
            <w:tcBorders>
              <w:top w:val="nil"/>
              <w:left w:val="nil"/>
              <w:bottom w:val="single" w:sz="8" w:space="0" w:color="DCE6F1"/>
              <w:right w:val="nil"/>
            </w:tcBorders>
            <w:shd w:val="clear" w:color="auto" w:fill="D9D9D9" w:themeFill="background1" w:themeFillShade="D9"/>
            <w:noWrap/>
            <w:vAlign w:val="bottom"/>
          </w:tcPr>
          <w:p w14:paraId="5C63B593" w14:textId="26320A69" w:rsidR="005E3FD4" w:rsidRPr="00830B63" w:rsidRDefault="005E3FD4" w:rsidP="005E3FD4">
            <w:pPr>
              <w:jc w:val="right"/>
              <w:rPr>
                <w:rFonts w:ascii="Calibri" w:hAnsi="Calibri" w:cs="Calibri"/>
                <w:b/>
                <w:bCs/>
                <w:color w:val="000000"/>
                <w:sz w:val="20"/>
                <w:szCs w:val="20"/>
              </w:rPr>
            </w:pPr>
            <w:r w:rsidRPr="00830B63">
              <w:rPr>
                <w:rFonts w:ascii="Calibri" w:hAnsi="Calibri" w:cs="Calibri"/>
                <w:b/>
                <w:bCs/>
                <w:color w:val="000000"/>
                <w:sz w:val="20"/>
                <w:szCs w:val="20"/>
              </w:rPr>
              <w:t>912 002</w:t>
            </w:r>
          </w:p>
        </w:tc>
        <w:tc>
          <w:tcPr>
            <w:tcW w:w="503" w:type="pct"/>
            <w:tcBorders>
              <w:top w:val="nil"/>
              <w:left w:val="nil"/>
              <w:bottom w:val="single" w:sz="8" w:space="0" w:color="DCE6F1"/>
              <w:right w:val="nil"/>
            </w:tcBorders>
            <w:shd w:val="clear" w:color="auto" w:fill="auto"/>
            <w:noWrap/>
            <w:vAlign w:val="bottom"/>
          </w:tcPr>
          <w:p w14:paraId="7839AEFA" w14:textId="68C630CA"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918 651</w:t>
            </w:r>
          </w:p>
        </w:tc>
        <w:tc>
          <w:tcPr>
            <w:tcW w:w="524" w:type="pct"/>
            <w:tcBorders>
              <w:top w:val="nil"/>
              <w:left w:val="nil"/>
              <w:bottom w:val="single" w:sz="8" w:space="0" w:color="DCE6F1"/>
              <w:right w:val="nil"/>
            </w:tcBorders>
            <w:shd w:val="clear" w:color="auto" w:fill="auto"/>
            <w:noWrap/>
            <w:vAlign w:val="bottom"/>
          </w:tcPr>
          <w:p w14:paraId="57FAA035" w14:textId="164A9CA3"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936 120</w:t>
            </w:r>
          </w:p>
        </w:tc>
      </w:tr>
      <w:tr w:rsidR="005E3FD4" w:rsidRPr="00885138" w14:paraId="3AF4803F" w14:textId="77777777" w:rsidTr="00380069">
        <w:trPr>
          <w:trHeight w:hRule="exact" w:val="284"/>
        </w:trPr>
        <w:tc>
          <w:tcPr>
            <w:tcW w:w="1457" w:type="pct"/>
            <w:tcBorders>
              <w:top w:val="nil"/>
              <w:left w:val="nil"/>
              <w:bottom w:val="single" w:sz="8" w:space="0" w:color="DCE6F1"/>
              <w:right w:val="nil"/>
            </w:tcBorders>
            <w:shd w:val="clear" w:color="000000" w:fill="D9D9D9"/>
            <w:noWrap/>
            <w:vAlign w:val="center"/>
            <w:hideMark/>
          </w:tcPr>
          <w:p w14:paraId="07D51949" w14:textId="77777777" w:rsidR="005E3FD4" w:rsidRPr="00885138" w:rsidRDefault="005E3FD4" w:rsidP="005E3FD4">
            <w:pPr>
              <w:spacing w:after="0" w:line="240" w:lineRule="auto"/>
              <w:rPr>
                <w:rFonts w:ascii="Calibri" w:eastAsia="Times New Roman" w:hAnsi="Calibri" w:cs="Calibri"/>
                <w:b/>
                <w:bCs/>
                <w:color w:val="000000"/>
                <w:sz w:val="18"/>
                <w:szCs w:val="18"/>
                <w:lang w:eastAsia="sk-SK"/>
              </w:rPr>
            </w:pPr>
            <w:r w:rsidRPr="00885138">
              <w:rPr>
                <w:rFonts w:ascii="Calibri" w:eastAsia="Times New Roman" w:hAnsi="Calibri" w:cs="Calibri"/>
                <w:b/>
                <w:bCs/>
                <w:color w:val="000000"/>
                <w:sz w:val="18"/>
                <w:szCs w:val="18"/>
                <w:lang w:eastAsia="sk-SK"/>
              </w:rPr>
              <w:t xml:space="preserve">220 - Administratívne a iné poplatky </w:t>
            </w:r>
          </w:p>
        </w:tc>
        <w:tc>
          <w:tcPr>
            <w:tcW w:w="503" w:type="pct"/>
            <w:tcBorders>
              <w:top w:val="nil"/>
              <w:left w:val="nil"/>
              <w:bottom w:val="single" w:sz="8" w:space="0" w:color="DCE6F1"/>
              <w:right w:val="nil"/>
            </w:tcBorders>
            <w:shd w:val="clear" w:color="000000" w:fill="D9D9D9"/>
            <w:vAlign w:val="bottom"/>
          </w:tcPr>
          <w:p w14:paraId="062B6A68" w14:textId="75DF200E"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8 680 931</w:t>
            </w:r>
          </w:p>
        </w:tc>
        <w:tc>
          <w:tcPr>
            <w:tcW w:w="503" w:type="pct"/>
            <w:tcBorders>
              <w:top w:val="nil"/>
              <w:left w:val="nil"/>
              <w:bottom w:val="single" w:sz="8" w:space="0" w:color="DCE6F1"/>
              <w:right w:val="nil"/>
            </w:tcBorders>
            <w:shd w:val="clear" w:color="000000" w:fill="D9D9D9"/>
            <w:noWrap/>
            <w:vAlign w:val="bottom"/>
          </w:tcPr>
          <w:p w14:paraId="1537BA0C" w14:textId="0BDDA403"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8 911 273</w:t>
            </w:r>
          </w:p>
        </w:tc>
        <w:tc>
          <w:tcPr>
            <w:tcW w:w="503" w:type="pct"/>
            <w:tcBorders>
              <w:top w:val="nil"/>
              <w:left w:val="nil"/>
              <w:bottom w:val="single" w:sz="8" w:space="0" w:color="DCE6F1"/>
              <w:right w:val="nil"/>
            </w:tcBorders>
            <w:shd w:val="clear" w:color="000000" w:fill="D9D9D9"/>
            <w:noWrap/>
            <w:vAlign w:val="bottom"/>
          </w:tcPr>
          <w:p w14:paraId="15E91E80" w14:textId="32D210E6"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9 018 485</w:t>
            </w:r>
          </w:p>
        </w:tc>
        <w:tc>
          <w:tcPr>
            <w:tcW w:w="503" w:type="pct"/>
            <w:tcBorders>
              <w:top w:val="nil"/>
              <w:left w:val="nil"/>
              <w:bottom w:val="single" w:sz="8" w:space="0" w:color="DCE6F1"/>
              <w:right w:val="nil"/>
            </w:tcBorders>
            <w:shd w:val="clear" w:color="000000" w:fill="D9D9D9"/>
            <w:noWrap/>
            <w:vAlign w:val="bottom"/>
          </w:tcPr>
          <w:p w14:paraId="6524736B" w14:textId="3FDF1A5A"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9 052 452</w:t>
            </w:r>
          </w:p>
        </w:tc>
        <w:tc>
          <w:tcPr>
            <w:tcW w:w="503" w:type="pct"/>
            <w:tcBorders>
              <w:top w:val="nil"/>
              <w:left w:val="nil"/>
              <w:bottom w:val="single" w:sz="8" w:space="0" w:color="DCE6F1"/>
              <w:right w:val="nil"/>
            </w:tcBorders>
            <w:shd w:val="clear" w:color="auto" w:fill="D9D9D9" w:themeFill="background1" w:themeFillShade="D9"/>
            <w:noWrap/>
            <w:vAlign w:val="bottom"/>
          </w:tcPr>
          <w:p w14:paraId="426CB70C" w14:textId="6D02BD84"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9 954 271</w:t>
            </w:r>
          </w:p>
        </w:tc>
        <w:tc>
          <w:tcPr>
            <w:tcW w:w="503" w:type="pct"/>
            <w:tcBorders>
              <w:top w:val="nil"/>
              <w:left w:val="nil"/>
              <w:bottom w:val="single" w:sz="8" w:space="0" w:color="DCE6F1"/>
              <w:right w:val="nil"/>
            </w:tcBorders>
            <w:shd w:val="clear" w:color="000000" w:fill="D9D9D9"/>
            <w:noWrap/>
            <w:vAlign w:val="bottom"/>
          </w:tcPr>
          <w:p w14:paraId="5FB725C4" w14:textId="1D2D7474"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10 048 145</w:t>
            </w:r>
          </w:p>
        </w:tc>
        <w:tc>
          <w:tcPr>
            <w:tcW w:w="524" w:type="pct"/>
            <w:tcBorders>
              <w:top w:val="nil"/>
              <w:left w:val="nil"/>
              <w:bottom w:val="single" w:sz="8" w:space="0" w:color="DCE6F1"/>
              <w:right w:val="nil"/>
            </w:tcBorders>
            <w:shd w:val="clear" w:color="000000" w:fill="D9D9D9"/>
            <w:noWrap/>
            <w:vAlign w:val="bottom"/>
          </w:tcPr>
          <w:p w14:paraId="1030CB50" w14:textId="73D95796"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10 123 328</w:t>
            </w:r>
          </w:p>
        </w:tc>
      </w:tr>
      <w:tr w:rsidR="005E3FD4" w:rsidRPr="00885138" w14:paraId="0297D914"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50E8D5F7"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Úrad</w:t>
            </w:r>
          </w:p>
        </w:tc>
        <w:tc>
          <w:tcPr>
            <w:tcW w:w="503" w:type="pct"/>
            <w:tcBorders>
              <w:top w:val="nil"/>
              <w:left w:val="nil"/>
              <w:bottom w:val="single" w:sz="8" w:space="0" w:color="DCE6F1"/>
              <w:right w:val="nil"/>
            </w:tcBorders>
            <w:vAlign w:val="bottom"/>
          </w:tcPr>
          <w:p w14:paraId="244060FE" w14:textId="0BD3E459"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1 992 192</w:t>
            </w:r>
          </w:p>
        </w:tc>
        <w:tc>
          <w:tcPr>
            <w:tcW w:w="503" w:type="pct"/>
            <w:tcBorders>
              <w:top w:val="nil"/>
              <w:left w:val="nil"/>
              <w:bottom w:val="single" w:sz="8" w:space="0" w:color="DCE6F1"/>
              <w:right w:val="nil"/>
            </w:tcBorders>
            <w:shd w:val="clear" w:color="auto" w:fill="auto"/>
            <w:noWrap/>
            <w:vAlign w:val="bottom"/>
          </w:tcPr>
          <w:p w14:paraId="0F653FD9" w14:textId="5AEBDC9C"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162 584</w:t>
            </w:r>
          </w:p>
        </w:tc>
        <w:tc>
          <w:tcPr>
            <w:tcW w:w="503" w:type="pct"/>
            <w:tcBorders>
              <w:top w:val="nil"/>
              <w:left w:val="nil"/>
              <w:bottom w:val="single" w:sz="8" w:space="0" w:color="DCE6F1"/>
              <w:right w:val="nil"/>
            </w:tcBorders>
            <w:shd w:val="clear" w:color="auto" w:fill="auto"/>
            <w:noWrap/>
            <w:vAlign w:val="bottom"/>
          </w:tcPr>
          <w:p w14:paraId="3A4F1683" w14:textId="7FD1E926"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93 800</w:t>
            </w:r>
          </w:p>
        </w:tc>
        <w:tc>
          <w:tcPr>
            <w:tcW w:w="503" w:type="pct"/>
            <w:tcBorders>
              <w:top w:val="nil"/>
              <w:left w:val="nil"/>
              <w:bottom w:val="single" w:sz="8" w:space="0" w:color="DCE6F1"/>
              <w:right w:val="nil"/>
            </w:tcBorders>
            <w:shd w:val="clear" w:color="auto" w:fill="auto"/>
            <w:noWrap/>
            <w:vAlign w:val="bottom"/>
          </w:tcPr>
          <w:p w14:paraId="5E70D7E6" w14:textId="32EA4566"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196 315</w:t>
            </w:r>
          </w:p>
        </w:tc>
        <w:tc>
          <w:tcPr>
            <w:tcW w:w="503" w:type="pct"/>
            <w:tcBorders>
              <w:top w:val="nil"/>
              <w:left w:val="nil"/>
              <w:bottom w:val="single" w:sz="8" w:space="0" w:color="DCE6F1"/>
              <w:right w:val="nil"/>
            </w:tcBorders>
            <w:shd w:val="clear" w:color="auto" w:fill="D9D9D9" w:themeFill="background1" w:themeFillShade="D9"/>
            <w:noWrap/>
            <w:vAlign w:val="bottom"/>
          </w:tcPr>
          <w:p w14:paraId="2A176F2B" w14:textId="607537CA" w:rsidR="005E3FD4" w:rsidRPr="00830B63" w:rsidRDefault="005E3FD4" w:rsidP="005E3FD4">
            <w:pPr>
              <w:jc w:val="right"/>
              <w:rPr>
                <w:rFonts w:ascii="Calibri" w:hAnsi="Calibri" w:cs="Calibri"/>
                <w:b/>
                <w:bCs/>
                <w:color w:val="000000"/>
                <w:sz w:val="20"/>
                <w:szCs w:val="20"/>
              </w:rPr>
            </w:pPr>
            <w:r w:rsidRPr="00830B63">
              <w:rPr>
                <w:rFonts w:ascii="Calibri" w:hAnsi="Calibri" w:cs="Calibri"/>
                <w:b/>
                <w:bCs/>
                <w:color w:val="000000"/>
                <w:sz w:val="20"/>
                <w:szCs w:val="20"/>
              </w:rPr>
              <w:t>88 800</w:t>
            </w:r>
          </w:p>
        </w:tc>
        <w:tc>
          <w:tcPr>
            <w:tcW w:w="503" w:type="pct"/>
            <w:tcBorders>
              <w:top w:val="nil"/>
              <w:left w:val="nil"/>
              <w:bottom w:val="single" w:sz="8" w:space="0" w:color="DCE6F1"/>
              <w:right w:val="nil"/>
            </w:tcBorders>
            <w:shd w:val="clear" w:color="auto" w:fill="auto"/>
            <w:noWrap/>
            <w:vAlign w:val="bottom"/>
          </w:tcPr>
          <w:p w14:paraId="60108B94" w14:textId="0BEA2324"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88 800</w:t>
            </w:r>
          </w:p>
        </w:tc>
        <w:tc>
          <w:tcPr>
            <w:tcW w:w="524" w:type="pct"/>
            <w:tcBorders>
              <w:top w:val="nil"/>
              <w:left w:val="nil"/>
              <w:bottom w:val="single" w:sz="8" w:space="0" w:color="DCE6F1"/>
              <w:right w:val="nil"/>
            </w:tcBorders>
            <w:shd w:val="clear" w:color="auto" w:fill="auto"/>
            <w:noWrap/>
            <w:vAlign w:val="bottom"/>
          </w:tcPr>
          <w:p w14:paraId="75C78720" w14:textId="3052DEFE"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88 800</w:t>
            </w:r>
          </w:p>
        </w:tc>
      </w:tr>
      <w:tr w:rsidR="005E3FD4" w:rsidRPr="00885138" w14:paraId="0DED712C"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166F90E3"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 xml:space="preserve">Príjmy </w:t>
            </w:r>
            <w:proofErr w:type="spellStart"/>
            <w:r w:rsidRPr="0006582E">
              <w:rPr>
                <w:rFonts w:ascii="Calibri" w:eastAsia="Times New Roman" w:hAnsi="Calibri" w:cs="Calibri"/>
                <w:color w:val="000000"/>
                <w:sz w:val="18"/>
                <w:szCs w:val="18"/>
                <w:lang w:eastAsia="sk-SK"/>
              </w:rPr>
              <w:t>ZvZP</w:t>
            </w:r>
            <w:proofErr w:type="spellEnd"/>
            <w:r w:rsidRPr="0006582E">
              <w:rPr>
                <w:rFonts w:ascii="Calibri" w:eastAsia="Times New Roman" w:hAnsi="Calibri" w:cs="Calibri"/>
                <w:color w:val="000000"/>
                <w:sz w:val="18"/>
                <w:szCs w:val="18"/>
                <w:lang w:eastAsia="sk-SK"/>
              </w:rPr>
              <w:t xml:space="preserve"> - sociálne zabezpečenie</w:t>
            </w:r>
          </w:p>
        </w:tc>
        <w:tc>
          <w:tcPr>
            <w:tcW w:w="503" w:type="pct"/>
            <w:tcBorders>
              <w:top w:val="nil"/>
              <w:left w:val="nil"/>
              <w:bottom w:val="single" w:sz="8" w:space="0" w:color="DCE6F1"/>
              <w:right w:val="nil"/>
            </w:tcBorders>
            <w:vAlign w:val="bottom"/>
          </w:tcPr>
          <w:p w14:paraId="26C362B6" w14:textId="47B08ED8"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2 972 109</w:t>
            </w:r>
          </w:p>
        </w:tc>
        <w:tc>
          <w:tcPr>
            <w:tcW w:w="503" w:type="pct"/>
            <w:tcBorders>
              <w:top w:val="nil"/>
              <w:left w:val="nil"/>
              <w:bottom w:val="single" w:sz="8" w:space="0" w:color="DCE6F1"/>
              <w:right w:val="nil"/>
            </w:tcBorders>
            <w:shd w:val="clear" w:color="auto" w:fill="auto"/>
            <w:noWrap/>
            <w:vAlign w:val="bottom"/>
          </w:tcPr>
          <w:p w14:paraId="511605EB" w14:textId="5B64C338"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3 717 724</w:t>
            </w:r>
          </w:p>
        </w:tc>
        <w:tc>
          <w:tcPr>
            <w:tcW w:w="503" w:type="pct"/>
            <w:tcBorders>
              <w:top w:val="nil"/>
              <w:left w:val="nil"/>
              <w:bottom w:val="single" w:sz="8" w:space="0" w:color="DCE6F1"/>
              <w:right w:val="nil"/>
            </w:tcBorders>
            <w:shd w:val="clear" w:color="auto" w:fill="auto"/>
            <w:noWrap/>
            <w:vAlign w:val="bottom"/>
          </w:tcPr>
          <w:p w14:paraId="54EDF4B7" w14:textId="3B86A415"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4 053 216</w:t>
            </w:r>
          </w:p>
        </w:tc>
        <w:tc>
          <w:tcPr>
            <w:tcW w:w="503" w:type="pct"/>
            <w:tcBorders>
              <w:top w:val="nil"/>
              <w:left w:val="nil"/>
              <w:bottom w:val="single" w:sz="8" w:space="0" w:color="DCE6F1"/>
              <w:right w:val="nil"/>
            </w:tcBorders>
            <w:shd w:val="clear" w:color="auto" w:fill="auto"/>
            <w:noWrap/>
            <w:vAlign w:val="bottom"/>
          </w:tcPr>
          <w:p w14:paraId="5ED73244" w14:textId="37519D22"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4 107 465</w:t>
            </w:r>
          </w:p>
        </w:tc>
        <w:tc>
          <w:tcPr>
            <w:tcW w:w="503" w:type="pct"/>
            <w:tcBorders>
              <w:top w:val="nil"/>
              <w:left w:val="nil"/>
              <w:bottom w:val="single" w:sz="8" w:space="0" w:color="DCE6F1"/>
              <w:right w:val="nil"/>
            </w:tcBorders>
            <w:shd w:val="clear" w:color="auto" w:fill="D9D9D9" w:themeFill="background1" w:themeFillShade="D9"/>
            <w:noWrap/>
            <w:vAlign w:val="bottom"/>
          </w:tcPr>
          <w:p w14:paraId="00B038BE" w14:textId="51060395" w:rsidR="005E3FD4" w:rsidRPr="00830B63" w:rsidRDefault="005E3FD4" w:rsidP="005E3FD4">
            <w:pPr>
              <w:jc w:val="right"/>
              <w:rPr>
                <w:rFonts w:ascii="Calibri" w:hAnsi="Calibri" w:cs="Calibri"/>
                <w:b/>
                <w:bCs/>
                <w:color w:val="000000"/>
                <w:sz w:val="20"/>
                <w:szCs w:val="20"/>
              </w:rPr>
            </w:pPr>
            <w:r w:rsidRPr="00830B63">
              <w:rPr>
                <w:rFonts w:ascii="Calibri" w:hAnsi="Calibri" w:cs="Calibri"/>
                <w:b/>
                <w:bCs/>
                <w:color w:val="000000"/>
                <w:sz w:val="20"/>
                <w:szCs w:val="20"/>
              </w:rPr>
              <w:t>4 569 957</w:t>
            </w:r>
          </w:p>
        </w:tc>
        <w:tc>
          <w:tcPr>
            <w:tcW w:w="503" w:type="pct"/>
            <w:tcBorders>
              <w:top w:val="nil"/>
              <w:left w:val="nil"/>
              <w:bottom w:val="single" w:sz="8" w:space="0" w:color="DCE6F1"/>
              <w:right w:val="nil"/>
            </w:tcBorders>
            <w:shd w:val="clear" w:color="auto" w:fill="auto"/>
            <w:noWrap/>
            <w:vAlign w:val="bottom"/>
          </w:tcPr>
          <w:p w14:paraId="037D82EE" w14:textId="6EC449FC"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4 572 457</w:t>
            </w:r>
          </w:p>
        </w:tc>
        <w:tc>
          <w:tcPr>
            <w:tcW w:w="524" w:type="pct"/>
            <w:tcBorders>
              <w:top w:val="nil"/>
              <w:left w:val="nil"/>
              <w:bottom w:val="single" w:sz="8" w:space="0" w:color="DCE6F1"/>
              <w:right w:val="nil"/>
            </w:tcBorders>
            <w:shd w:val="clear" w:color="auto" w:fill="auto"/>
            <w:noWrap/>
            <w:vAlign w:val="bottom"/>
          </w:tcPr>
          <w:p w14:paraId="011496E5" w14:textId="7B574719"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4 574 957</w:t>
            </w:r>
          </w:p>
        </w:tc>
      </w:tr>
      <w:tr w:rsidR="005E3FD4" w:rsidRPr="00885138" w14:paraId="7E2E76F6"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691B4BFF"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 xml:space="preserve">Príjmy </w:t>
            </w:r>
            <w:proofErr w:type="spellStart"/>
            <w:r w:rsidRPr="0006582E">
              <w:rPr>
                <w:rFonts w:ascii="Calibri" w:eastAsia="Times New Roman" w:hAnsi="Calibri" w:cs="Calibri"/>
                <w:color w:val="000000"/>
                <w:sz w:val="18"/>
                <w:szCs w:val="18"/>
                <w:lang w:eastAsia="sk-SK"/>
              </w:rPr>
              <w:t>ZvZP</w:t>
            </w:r>
            <w:proofErr w:type="spellEnd"/>
            <w:r w:rsidRPr="0006582E">
              <w:rPr>
                <w:rFonts w:ascii="Calibri" w:eastAsia="Times New Roman" w:hAnsi="Calibri" w:cs="Calibri"/>
                <w:color w:val="000000"/>
                <w:sz w:val="18"/>
                <w:szCs w:val="18"/>
                <w:lang w:eastAsia="sk-SK"/>
              </w:rPr>
              <w:t xml:space="preserve"> - vzdelávanie</w:t>
            </w:r>
          </w:p>
        </w:tc>
        <w:tc>
          <w:tcPr>
            <w:tcW w:w="503" w:type="pct"/>
            <w:tcBorders>
              <w:top w:val="nil"/>
              <w:left w:val="nil"/>
              <w:bottom w:val="single" w:sz="8" w:space="0" w:color="DCE6F1"/>
              <w:right w:val="nil"/>
            </w:tcBorders>
            <w:vAlign w:val="bottom"/>
          </w:tcPr>
          <w:p w14:paraId="384952E3" w14:textId="2B4831FA"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3 716 630</w:t>
            </w:r>
          </w:p>
        </w:tc>
        <w:tc>
          <w:tcPr>
            <w:tcW w:w="503" w:type="pct"/>
            <w:tcBorders>
              <w:top w:val="nil"/>
              <w:left w:val="nil"/>
              <w:bottom w:val="single" w:sz="8" w:space="0" w:color="DCE6F1"/>
              <w:right w:val="nil"/>
            </w:tcBorders>
            <w:shd w:val="clear" w:color="auto" w:fill="auto"/>
            <w:noWrap/>
            <w:vAlign w:val="bottom"/>
          </w:tcPr>
          <w:p w14:paraId="573F738D" w14:textId="0BB20CA7"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5 030 965</w:t>
            </w:r>
          </w:p>
        </w:tc>
        <w:tc>
          <w:tcPr>
            <w:tcW w:w="503" w:type="pct"/>
            <w:tcBorders>
              <w:top w:val="nil"/>
              <w:left w:val="nil"/>
              <w:bottom w:val="single" w:sz="8" w:space="0" w:color="DCE6F1"/>
              <w:right w:val="nil"/>
            </w:tcBorders>
            <w:shd w:val="clear" w:color="auto" w:fill="auto"/>
            <w:noWrap/>
            <w:vAlign w:val="bottom"/>
          </w:tcPr>
          <w:p w14:paraId="3840DEC3" w14:textId="2A3AB663"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4 871 469</w:t>
            </w:r>
          </w:p>
        </w:tc>
        <w:tc>
          <w:tcPr>
            <w:tcW w:w="503" w:type="pct"/>
            <w:tcBorders>
              <w:top w:val="nil"/>
              <w:left w:val="nil"/>
              <w:bottom w:val="single" w:sz="8" w:space="0" w:color="DCE6F1"/>
              <w:right w:val="nil"/>
            </w:tcBorders>
            <w:shd w:val="clear" w:color="auto" w:fill="auto"/>
            <w:noWrap/>
            <w:vAlign w:val="bottom"/>
          </w:tcPr>
          <w:p w14:paraId="653B278F" w14:textId="2973B9E0"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4 748 672</w:t>
            </w:r>
          </w:p>
        </w:tc>
        <w:tc>
          <w:tcPr>
            <w:tcW w:w="503" w:type="pct"/>
            <w:tcBorders>
              <w:top w:val="nil"/>
              <w:left w:val="nil"/>
              <w:bottom w:val="single" w:sz="8" w:space="0" w:color="DCE6F1"/>
              <w:right w:val="nil"/>
            </w:tcBorders>
            <w:shd w:val="clear" w:color="auto" w:fill="D9D9D9" w:themeFill="background1" w:themeFillShade="D9"/>
            <w:noWrap/>
            <w:vAlign w:val="bottom"/>
          </w:tcPr>
          <w:p w14:paraId="29698393" w14:textId="57AE8BE8" w:rsidR="005E3FD4" w:rsidRPr="00830B63" w:rsidRDefault="005E3FD4" w:rsidP="005E3FD4">
            <w:pPr>
              <w:jc w:val="right"/>
              <w:rPr>
                <w:rFonts w:ascii="Calibri" w:hAnsi="Calibri" w:cs="Calibri"/>
                <w:b/>
                <w:bCs/>
                <w:color w:val="000000"/>
                <w:sz w:val="20"/>
                <w:szCs w:val="20"/>
              </w:rPr>
            </w:pPr>
            <w:r w:rsidRPr="00830B63">
              <w:rPr>
                <w:rFonts w:ascii="Calibri" w:hAnsi="Calibri" w:cs="Calibri"/>
                <w:b/>
                <w:bCs/>
                <w:color w:val="000000"/>
                <w:sz w:val="20"/>
                <w:szCs w:val="20"/>
              </w:rPr>
              <w:t>5 295 514</w:t>
            </w:r>
          </w:p>
        </w:tc>
        <w:tc>
          <w:tcPr>
            <w:tcW w:w="503" w:type="pct"/>
            <w:tcBorders>
              <w:top w:val="nil"/>
              <w:left w:val="nil"/>
              <w:bottom w:val="single" w:sz="8" w:space="0" w:color="DCE6F1"/>
              <w:right w:val="nil"/>
            </w:tcBorders>
            <w:shd w:val="clear" w:color="auto" w:fill="auto"/>
            <w:noWrap/>
            <w:vAlign w:val="bottom"/>
          </w:tcPr>
          <w:p w14:paraId="4FE96416" w14:textId="5E3A32B3"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5 386 888</w:t>
            </w:r>
          </w:p>
        </w:tc>
        <w:tc>
          <w:tcPr>
            <w:tcW w:w="524" w:type="pct"/>
            <w:tcBorders>
              <w:top w:val="nil"/>
              <w:left w:val="nil"/>
              <w:bottom w:val="single" w:sz="8" w:space="0" w:color="DCE6F1"/>
              <w:right w:val="nil"/>
            </w:tcBorders>
            <w:shd w:val="clear" w:color="auto" w:fill="auto"/>
            <w:noWrap/>
            <w:vAlign w:val="bottom"/>
          </w:tcPr>
          <w:p w14:paraId="47B176FC" w14:textId="79B7DAAF"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5 459 571</w:t>
            </w:r>
          </w:p>
        </w:tc>
      </w:tr>
      <w:tr w:rsidR="005E3FD4" w:rsidRPr="00885138" w14:paraId="4DFBE8E4" w14:textId="77777777" w:rsidTr="00380069">
        <w:trPr>
          <w:trHeight w:hRule="exact" w:val="284"/>
        </w:trPr>
        <w:tc>
          <w:tcPr>
            <w:tcW w:w="1457" w:type="pct"/>
            <w:tcBorders>
              <w:top w:val="nil"/>
              <w:left w:val="nil"/>
              <w:bottom w:val="single" w:sz="8" w:space="0" w:color="DCE6F1"/>
              <w:right w:val="nil"/>
            </w:tcBorders>
            <w:shd w:val="clear" w:color="000000" w:fill="D9D9D9"/>
            <w:noWrap/>
            <w:vAlign w:val="center"/>
            <w:hideMark/>
          </w:tcPr>
          <w:p w14:paraId="5796BE44" w14:textId="77777777" w:rsidR="005E3FD4" w:rsidRPr="00885138" w:rsidRDefault="005E3FD4" w:rsidP="005E3FD4">
            <w:pPr>
              <w:spacing w:after="0" w:line="240" w:lineRule="auto"/>
              <w:rPr>
                <w:rFonts w:ascii="Calibri" w:eastAsia="Times New Roman" w:hAnsi="Calibri" w:cs="Calibri"/>
                <w:b/>
                <w:bCs/>
                <w:color w:val="000000"/>
                <w:sz w:val="18"/>
                <w:szCs w:val="18"/>
                <w:lang w:eastAsia="sk-SK"/>
              </w:rPr>
            </w:pPr>
            <w:r w:rsidRPr="00885138">
              <w:rPr>
                <w:rFonts w:ascii="Calibri" w:eastAsia="Times New Roman" w:hAnsi="Calibri" w:cs="Calibri"/>
                <w:b/>
                <w:bCs/>
                <w:color w:val="000000"/>
                <w:sz w:val="18"/>
                <w:szCs w:val="18"/>
                <w:lang w:eastAsia="sk-SK"/>
              </w:rPr>
              <w:t>230 - Kapitálové príjmy</w:t>
            </w:r>
          </w:p>
        </w:tc>
        <w:tc>
          <w:tcPr>
            <w:tcW w:w="503" w:type="pct"/>
            <w:tcBorders>
              <w:top w:val="nil"/>
              <w:left w:val="nil"/>
              <w:bottom w:val="single" w:sz="8" w:space="0" w:color="DCE6F1"/>
              <w:right w:val="nil"/>
            </w:tcBorders>
            <w:shd w:val="clear" w:color="000000" w:fill="D9D9D9"/>
            <w:vAlign w:val="bottom"/>
          </w:tcPr>
          <w:p w14:paraId="6EE9E421" w14:textId="3E773FAD"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108 378</w:t>
            </w:r>
          </w:p>
        </w:tc>
        <w:tc>
          <w:tcPr>
            <w:tcW w:w="503" w:type="pct"/>
            <w:tcBorders>
              <w:top w:val="nil"/>
              <w:left w:val="nil"/>
              <w:bottom w:val="single" w:sz="8" w:space="0" w:color="DCE6F1"/>
              <w:right w:val="nil"/>
            </w:tcBorders>
            <w:shd w:val="clear" w:color="000000" w:fill="D9D9D9"/>
            <w:noWrap/>
            <w:vAlign w:val="bottom"/>
          </w:tcPr>
          <w:p w14:paraId="4D0E1D21" w14:textId="7FD2B825"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107 282</w:t>
            </w:r>
          </w:p>
        </w:tc>
        <w:tc>
          <w:tcPr>
            <w:tcW w:w="503" w:type="pct"/>
            <w:tcBorders>
              <w:top w:val="nil"/>
              <w:left w:val="nil"/>
              <w:bottom w:val="single" w:sz="8" w:space="0" w:color="DCE6F1"/>
              <w:right w:val="nil"/>
            </w:tcBorders>
            <w:shd w:val="clear" w:color="000000" w:fill="D9D9D9"/>
            <w:noWrap/>
            <w:vAlign w:val="bottom"/>
          </w:tcPr>
          <w:p w14:paraId="31806071" w14:textId="66E88D08"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250 000</w:t>
            </w:r>
          </w:p>
        </w:tc>
        <w:tc>
          <w:tcPr>
            <w:tcW w:w="503" w:type="pct"/>
            <w:tcBorders>
              <w:top w:val="nil"/>
              <w:left w:val="nil"/>
              <w:bottom w:val="single" w:sz="8" w:space="0" w:color="DCE6F1"/>
              <w:right w:val="nil"/>
            </w:tcBorders>
            <w:shd w:val="clear" w:color="000000" w:fill="D9D9D9"/>
            <w:noWrap/>
            <w:vAlign w:val="bottom"/>
          </w:tcPr>
          <w:p w14:paraId="2505C862" w14:textId="0277630C"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321 602</w:t>
            </w:r>
          </w:p>
        </w:tc>
        <w:tc>
          <w:tcPr>
            <w:tcW w:w="503" w:type="pct"/>
            <w:tcBorders>
              <w:top w:val="nil"/>
              <w:left w:val="nil"/>
              <w:bottom w:val="single" w:sz="8" w:space="0" w:color="DCE6F1"/>
              <w:right w:val="nil"/>
            </w:tcBorders>
            <w:shd w:val="clear" w:color="auto" w:fill="D9D9D9" w:themeFill="background1" w:themeFillShade="D9"/>
            <w:noWrap/>
            <w:vAlign w:val="bottom"/>
          </w:tcPr>
          <w:p w14:paraId="69E5132B" w14:textId="04A01E9C" w:rsidR="005E3FD4" w:rsidRPr="00676C1A" w:rsidRDefault="00830B63" w:rsidP="005E3FD4">
            <w:pPr>
              <w:jc w:val="right"/>
              <w:rPr>
                <w:rFonts w:ascii="Calibri" w:hAnsi="Calibri" w:cs="Calibri"/>
                <w:b/>
                <w:bCs/>
                <w:color w:val="000000"/>
                <w:sz w:val="20"/>
                <w:szCs w:val="20"/>
              </w:rPr>
            </w:pPr>
            <w:r w:rsidRPr="00676C1A">
              <w:rPr>
                <w:rFonts w:ascii="Calibri" w:hAnsi="Calibri" w:cs="Calibri"/>
                <w:b/>
                <w:bCs/>
                <w:color w:val="000000"/>
                <w:sz w:val="20"/>
                <w:szCs w:val="20"/>
              </w:rPr>
              <w:t>0</w:t>
            </w:r>
          </w:p>
        </w:tc>
        <w:tc>
          <w:tcPr>
            <w:tcW w:w="503" w:type="pct"/>
            <w:tcBorders>
              <w:top w:val="nil"/>
              <w:left w:val="nil"/>
              <w:bottom w:val="single" w:sz="8" w:space="0" w:color="DCE6F1"/>
              <w:right w:val="nil"/>
            </w:tcBorders>
            <w:shd w:val="clear" w:color="000000" w:fill="D9D9D9"/>
            <w:noWrap/>
            <w:vAlign w:val="bottom"/>
          </w:tcPr>
          <w:p w14:paraId="141D41F9" w14:textId="0DC30876" w:rsidR="005E3FD4" w:rsidRPr="00676C1A" w:rsidRDefault="00830B63" w:rsidP="005E3FD4">
            <w:pPr>
              <w:jc w:val="right"/>
              <w:rPr>
                <w:rFonts w:ascii="Calibri" w:hAnsi="Calibri" w:cs="Calibri"/>
                <w:b/>
                <w:bCs/>
                <w:color w:val="000000"/>
                <w:sz w:val="20"/>
                <w:szCs w:val="20"/>
              </w:rPr>
            </w:pPr>
            <w:r w:rsidRPr="00676C1A">
              <w:rPr>
                <w:rFonts w:ascii="Calibri" w:hAnsi="Calibri" w:cs="Calibri"/>
                <w:b/>
                <w:bCs/>
                <w:color w:val="000000"/>
                <w:sz w:val="20"/>
                <w:szCs w:val="20"/>
              </w:rPr>
              <w:t>0</w:t>
            </w:r>
          </w:p>
        </w:tc>
        <w:tc>
          <w:tcPr>
            <w:tcW w:w="524" w:type="pct"/>
            <w:tcBorders>
              <w:top w:val="nil"/>
              <w:left w:val="nil"/>
              <w:bottom w:val="single" w:sz="8" w:space="0" w:color="DCE6F1"/>
              <w:right w:val="nil"/>
            </w:tcBorders>
            <w:shd w:val="clear" w:color="000000" w:fill="D9D9D9"/>
            <w:noWrap/>
            <w:vAlign w:val="bottom"/>
          </w:tcPr>
          <w:p w14:paraId="4178AFC5" w14:textId="0E285CC7" w:rsidR="005E3FD4" w:rsidRPr="00676C1A" w:rsidRDefault="00830B63" w:rsidP="005E3FD4">
            <w:pPr>
              <w:jc w:val="right"/>
              <w:rPr>
                <w:rFonts w:ascii="Calibri" w:hAnsi="Calibri" w:cs="Calibri"/>
                <w:b/>
                <w:bCs/>
                <w:color w:val="000000"/>
                <w:sz w:val="20"/>
                <w:szCs w:val="20"/>
              </w:rPr>
            </w:pPr>
            <w:r w:rsidRPr="00676C1A">
              <w:rPr>
                <w:rFonts w:ascii="Calibri" w:hAnsi="Calibri" w:cs="Calibri"/>
                <w:b/>
                <w:bCs/>
                <w:color w:val="000000"/>
                <w:sz w:val="20"/>
                <w:szCs w:val="20"/>
              </w:rPr>
              <w:t>0</w:t>
            </w:r>
          </w:p>
        </w:tc>
      </w:tr>
      <w:tr w:rsidR="005E3FD4" w:rsidRPr="00885138" w14:paraId="707F0114"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542241E0"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Úrad</w:t>
            </w:r>
          </w:p>
        </w:tc>
        <w:tc>
          <w:tcPr>
            <w:tcW w:w="503" w:type="pct"/>
            <w:tcBorders>
              <w:top w:val="nil"/>
              <w:left w:val="nil"/>
              <w:bottom w:val="single" w:sz="8" w:space="0" w:color="DCE6F1"/>
              <w:right w:val="nil"/>
            </w:tcBorders>
            <w:vAlign w:val="bottom"/>
          </w:tcPr>
          <w:p w14:paraId="77B12C3D" w14:textId="06050E18"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108 378</w:t>
            </w:r>
          </w:p>
        </w:tc>
        <w:tc>
          <w:tcPr>
            <w:tcW w:w="503" w:type="pct"/>
            <w:tcBorders>
              <w:top w:val="nil"/>
              <w:left w:val="nil"/>
              <w:bottom w:val="single" w:sz="8" w:space="0" w:color="DCE6F1"/>
              <w:right w:val="nil"/>
            </w:tcBorders>
            <w:shd w:val="clear" w:color="auto" w:fill="auto"/>
            <w:noWrap/>
            <w:vAlign w:val="bottom"/>
          </w:tcPr>
          <w:p w14:paraId="4146206B" w14:textId="0AFA669E"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107 282</w:t>
            </w:r>
          </w:p>
        </w:tc>
        <w:tc>
          <w:tcPr>
            <w:tcW w:w="503" w:type="pct"/>
            <w:tcBorders>
              <w:top w:val="nil"/>
              <w:left w:val="nil"/>
              <w:bottom w:val="single" w:sz="8" w:space="0" w:color="DCE6F1"/>
              <w:right w:val="nil"/>
            </w:tcBorders>
            <w:shd w:val="clear" w:color="auto" w:fill="auto"/>
            <w:noWrap/>
            <w:vAlign w:val="bottom"/>
          </w:tcPr>
          <w:p w14:paraId="3A566DE1" w14:textId="7672F7AE"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250 000</w:t>
            </w:r>
          </w:p>
        </w:tc>
        <w:tc>
          <w:tcPr>
            <w:tcW w:w="503" w:type="pct"/>
            <w:tcBorders>
              <w:top w:val="nil"/>
              <w:left w:val="nil"/>
              <w:bottom w:val="single" w:sz="8" w:space="0" w:color="DCE6F1"/>
              <w:right w:val="nil"/>
            </w:tcBorders>
            <w:shd w:val="clear" w:color="auto" w:fill="auto"/>
            <w:noWrap/>
            <w:vAlign w:val="bottom"/>
          </w:tcPr>
          <w:p w14:paraId="55948E2B" w14:textId="3394B28A"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312 602</w:t>
            </w:r>
          </w:p>
        </w:tc>
        <w:tc>
          <w:tcPr>
            <w:tcW w:w="503" w:type="pct"/>
            <w:tcBorders>
              <w:top w:val="nil"/>
              <w:left w:val="nil"/>
              <w:bottom w:val="single" w:sz="8" w:space="0" w:color="DCE6F1"/>
              <w:right w:val="nil"/>
            </w:tcBorders>
            <w:shd w:val="clear" w:color="auto" w:fill="D9D9D9" w:themeFill="background1" w:themeFillShade="D9"/>
            <w:noWrap/>
            <w:vAlign w:val="bottom"/>
          </w:tcPr>
          <w:p w14:paraId="3F1EE0C9" w14:textId="3D7C03D4" w:rsidR="005E3FD4" w:rsidRPr="00830B63" w:rsidRDefault="00830B63" w:rsidP="005E3FD4">
            <w:pPr>
              <w:jc w:val="right"/>
              <w:rPr>
                <w:rFonts w:ascii="Calibri" w:hAnsi="Calibri" w:cs="Calibri"/>
                <w:b/>
                <w:bCs/>
                <w:color w:val="000000"/>
                <w:sz w:val="20"/>
                <w:szCs w:val="20"/>
              </w:rPr>
            </w:pPr>
            <w:r w:rsidRPr="00830B63">
              <w:rPr>
                <w:rFonts w:ascii="Calibri" w:hAnsi="Calibri" w:cs="Calibri"/>
                <w:b/>
                <w:bCs/>
                <w:color w:val="000000"/>
                <w:sz w:val="20"/>
                <w:szCs w:val="20"/>
              </w:rPr>
              <w:t>0</w:t>
            </w:r>
          </w:p>
        </w:tc>
        <w:tc>
          <w:tcPr>
            <w:tcW w:w="503" w:type="pct"/>
            <w:tcBorders>
              <w:top w:val="nil"/>
              <w:left w:val="nil"/>
              <w:bottom w:val="single" w:sz="8" w:space="0" w:color="DCE6F1"/>
              <w:right w:val="nil"/>
            </w:tcBorders>
            <w:shd w:val="clear" w:color="auto" w:fill="auto"/>
            <w:noWrap/>
            <w:vAlign w:val="bottom"/>
          </w:tcPr>
          <w:p w14:paraId="1EA25EB5" w14:textId="59ABA512" w:rsidR="005E3FD4" w:rsidRPr="00830B63" w:rsidRDefault="00830B63" w:rsidP="005E3FD4">
            <w:pPr>
              <w:jc w:val="right"/>
              <w:rPr>
                <w:rFonts w:ascii="Calibri" w:hAnsi="Calibri" w:cs="Calibri"/>
                <w:color w:val="000000"/>
                <w:sz w:val="20"/>
                <w:szCs w:val="20"/>
              </w:rPr>
            </w:pPr>
            <w:r w:rsidRPr="00830B63">
              <w:rPr>
                <w:rFonts w:ascii="Calibri" w:hAnsi="Calibri" w:cs="Calibri"/>
                <w:color w:val="000000"/>
                <w:sz w:val="20"/>
                <w:szCs w:val="20"/>
              </w:rPr>
              <w:t>0</w:t>
            </w:r>
          </w:p>
        </w:tc>
        <w:tc>
          <w:tcPr>
            <w:tcW w:w="524" w:type="pct"/>
            <w:tcBorders>
              <w:top w:val="nil"/>
              <w:left w:val="nil"/>
              <w:bottom w:val="single" w:sz="8" w:space="0" w:color="DCE6F1"/>
              <w:right w:val="nil"/>
            </w:tcBorders>
            <w:shd w:val="clear" w:color="auto" w:fill="auto"/>
            <w:noWrap/>
            <w:vAlign w:val="bottom"/>
          </w:tcPr>
          <w:p w14:paraId="5617F781" w14:textId="28E88133" w:rsidR="005E3FD4" w:rsidRPr="00830B63" w:rsidRDefault="00830B63" w:rsidP="005E3FD4">
            <w:pPr>
              <w:jc w:val="right"/>
              <w:rPr>
                <w:rFonts w:ascii="Calibri" w:hAnsi="Calibri" w:cs="Calibri"/>
                <w:color w:val="000000"/>
                <w:sz w:val="20"/>
                <w:szCs w:val="20"/>
              </w:rPr>
            </w:pPr>
            <w:r w:rsidRPr="00830B63">
              <w:rPr>
                <w:rFonts w:ascii="Calibri" w:hAnsi="Calibri" w:cs="Calibri"/>
                <w:color w:val="000000"/>
                <w:sz w:val="20"/>
                <w:szCs w:val="20"/>
              </w:rPr>
              <w:t>0</w:t>
            </w:r>
          </w:p>
        </w:tc>
      </w:tr>
      <w:tr w:rsidR="005E3FD4" w:rsidRPr="00885138" w14:paraId="1DB98335"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tcPr>
          <w:p w14:paraId="0C3B2409" w14:textId="10500DB5"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 xml:space="preserve">Príjmy </w:t>
            </w:r>
            <w:proofErr w:type="spellStart"/>
            <w:r w:rsidRPr="0006582E">
              <w:rPr>
                <w:rFonts w:ascii="Calibri" w:eastAsia="Times New Roman" w:hAnsi="Calibri" w:cs="Calibri"/>
                <w:color w:val="000000"/>
                <w:sz w:val="18"/>
                <w:szCs w:val="18"/>
                <w:lang w:eastAsia="sk-SK"/>
              </w:rPr>
              <w:t>ZvZP</w:t>
            </w:r>
            <w:proofErr w:type="spellEnd"/>
            <w:r w:rsidRPr="0006582E">
              <w:rPr>
                <w:rFonts w:ascii="Calibri" w:eastAsia="Times New Roman" w:hAnsi="Calibri" w:cs="Calibri"/>
                <w:color w:val="000000"/>
                <w:sz w:val="18"/>
                <w:szCs w:val="18"/>
                <w:lang w:eastAsia="sk-SK"/>
              </w:rPr>
              <w:t xml:space="preserve"> - vzdelávanie</w:t>
            </w:r>
          </w:p>
        </w:tc>
        <w:tc>
          <w:tcPr>
            <w:tcW w:w="503" w:type="pct"/>
            <w:tcBorders>
              <w:top w:val="nil"/>
              <w:left w:val="nil"/>
              <w:bottom w:val="single" w:sz="8" w:space="0" w:color="DCE6F1"/>
              <w:right w:val="nil"/>
            </w:tcBorders>
            <w:vAlign w:val="bottom"/>
          </w:tcPr>
          <w:p w14:paraId="53E21548" w14:textId="06D5E0A6"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0</w:t>
            </w:r>
          </w:p>
        </w:tc>
        <w:tc>
          <w:tcPr>
            <w:tcW w:w="503" w:type="pct"/>
            <w:tcBorders>
              <w:top w:val="nil"/>
              <w:left w:val="nil"/>
              <w:bottom w:val="single" w:sz="8" w:space="0" w:color="DCE6F1"/>
              <w:right w:val="nil"/>
            </w:tcBorders>
            <w:shd w:val="clear" w:color="auto" w:fill="auto"/>
            <w:noWrap/>
            <w:vAlign w:val="bottom"/>
          </w:tcPr>
          <w:p w14:paraId="235744D9" w14:textId="5617F222"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0</w:t>
            </w:r>
          </w:p>
        </w:tc>
        <w:tc>
          <w:tcPr>
            <w:tcW w:w="503" w:type="pct"/>
            <w:tcBorders>
              <w:top w:val="nil"/>
              <w:left w:val="nil"/>
              <w:bottom w:val="single" w:sz="8" w:space="0" w:color="DCE6F1"/>
              <w:right w:val="nil"/>
            </w:tcBorders>
            <w:shd w:val="clear" w:color="auto" w:fill="auto"/>
            <w:noWrap/>
            <w:vAlign w:val="bottom"/>
          </w:tcPr>
          <w:p w14:paraId="65F8FC91" w14:textId="6FB0D42C"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0</w:t>
            </w:r>
          </w:p>
        </w:tc>
        <w:tc>
          <w:tcPr>
            <w:tcW w:w="503" w:type="pct"/>
            <w:tcBorders>
              <w:top w:val="nil"/>
              <w:left w:val="nil"/>
              <w:bottom w:val="single" w:sz="8" w:space="0" w:color="DCE6F1"/>
              <w:right w:val="nil"/>
            </w:tcBorders>
            <w:shd w:val="clear" w:color="auto" w:fill="auto"/>
            <w:noWrap/>
            <w:vAlign w:val="bottom"/>
          </w:tcPr>
          <w:p w14:paraId="1BFE284F" w14:textId="6DC8834F"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9 000</w:t>
            </w:r>
          </w:p>
        </w:tc>
        <w:tc>
          <w:tcPr>
            <w:tcW w:w="503" w:type="pct"/>
            <w:tcBorders>
              <w:top w:val="nil"/>
              <w:left w:val="nil"/>
              <w:bottom w:val="single" w:sz="8" w:space="0" w:color="DCE6F1"/>
              <w:right w:val="nil"/>
            </w:tcBorders>
            <w:shd w:val="clear" w:color="auto" w:fill="D9D9D9" w:themeFill="background1" w:themeFillShade="D9"/>
            <w:noWrap/>
            <w:vAlign w:val="bottom"/>
          </w:tcPr>
          <w:p w14:paraId="005D2C2E" w14:textId="7AB15D50" w:rsidR="005E3FD4" w:rsidRPr="00830B63" w:rsidRDefault="00830B63" w:rsidP="005E3FD4">
            <w:pPr>
              <w:jc w:val="right"/>
              <w:rPr>
                <w:rFonts w:ascii="Calibri" w:hAnsi="Calibri" w:cs="Calibri"/>
                <w:b/>
                <w:bCs/>
                <w:color w:val="000000"/>
                <w:sz w:val="20"/>
                <w:szCs w:val="20"/>
              </w:rPr>
            </w:pPr>
            <w:r w:rsidRPr="00830B63">
              <w:rPr>
                <w:rFonts w:ascii="Calibri" w:hAnsi="Calibri" w:cs="Calibri"/>
                <w:b/>
                <w:bCs/>
                <w:color w:val="000000"/>
                <w:sz w:val="20"/>
                <w:szCs w:val="20"/>
              </w:rPr>
              <w:t>0</w:t>
            </w:r>
          </w:p>
        </w:tc>
        <w:tc>
          <w:tcPr>
            <w:tcW w:w="503" w:type="pct"/>
            <w:tcBorders>
              <w:top w:val="nil"/>
              <w:left w:val="nil"/>
              <w:bottom w:val="single" w:sz="8" w:space="0" w:color="DCE6F1"/>
              <w:right w:val="nil"/>
            </w:tcBorders>
            <w:shd w:val="clear" w:color="auto" w:fill="auto"/>
            <w:noWrap/>
            <w:vAlign w:val="bottom"/>
          </w:tcPr>
          <w:p w14:paraId="11748D26" w14:textId="0155B376" w:rsidR="005E3FD4" w:rsidRPr="00830B63" w:rsidRDefault="00830B63" w:rsidP="005E3FD4">
            <w:pPr>
              <w:jc w:val="right"/>
              <w:rPr>
                <w:rFonts w:ascii="Calibri" w:hAnsi="Calibri" w:cs="Calibri"/>
                <w:color w:val="000000"/>
                <w:sz w:val="20"/>
                <w:szCs w:val="20"/>
              </w:rPr>
            </w:pPr>
            <w:r w:rsidRPr="00830B63">
              <w:rPr>
                <w:rFonts w:ascii="Calibri" w:hAnsi="Calibri" w:cs="Calibri"/>
                <w:color w:val="000000"/>
                <w:sz w:val="20"/>
                <w:szCs w:val="20"/>
              </w:rPr>
              <w:t>0</w:t>
            </w:r>
          </w:p>
        </w:tc>
        <w:tc>
          <w:tcPr>
            <w:tcW w:w="524" w:type="pct"/>
            <w:tcBorders>
              <w:top w:val="nil"/>
              <w:left w:val="nil"/>
              <w:bottom w:val="single" w:sz="8" w:space="0" w:color="DCE6F1"/>
              <w:right w:val="nil"/>
            </w:tcBorders>
            <w:shd w:val="clear" w:color="auto" w:fill="auto"/>
            <w:noWrap/>
            <w:vAlign w:val="bottom"/>
          </w:tcPr>
          <w:p w14:paraId="3F579345" w14:textId="4FD270D6" w:rsidR="005E3FD4" w:rsidRPr="00830B63" w:rsidRDefault="00830B63" w:rsidP="005E3FD4">
            <w:pPr>
              <w:jc w:val="right"/>
              <w:rPr>
                <w:rFonts w:ascii="Calibri" w:hAnsi="Calibri" w:cs="Calibri"/>
                <w:color w:val="000000"/>
                <w:sz w:val="20"/>
                <w:szCs w:val="20"/>
              </w:rPr>
            </w:pPr>
            <w:r w:rsidRPr="00830B63">
              <w:rPr>
                <w:rFonts w:ascii="Calibri" w:hAnsi="Calibri" w:cs="Calibri"/>
                <w:color w:val="000000"/>
                <w:sz w:val="20"/>
                <w:szCs w:val="20"/>
              </w:rPr>
              <w:t>0</w:t>
            </w:r>
          </w:p>
        </w:tc>
      </w:tr>
      <w:tr w:rsidR="005E3FD4" w:rsidRPr="00885138" w14:paraId="2695DFD1" w14:textId="77777777" w:rsidTr="00380069">
        <w:trPr>
          <w:trHeight w:hRule="exact" w:val="284"/>
        </w:trPr>
        <w:tc>
          <w:tcPr>
            <w:tcW w:w="1457" w:type="pct"/>
            <w:tcBorders>
              <w:top w:val="nil"/>
              <w:left w:val="nil"/>
              <w:bottom w:val="single" w:sz="8" w:space="0" w:color="DCE6F1"/>
              <w:right w:val="nil"/>
            </w:tcBorders>
            <w:shd w:val="clear" w:color="000000" w:fill="D9D9D9"/>
            <w:noWrap/>
            <w:vAlign w:val="center"/>
            <w:hideMark/>
          </w:tcPr>
          <w:p w14:paraId="535947B6" w14:textId="77777777" w:rsidR="005E3FD4" w:rsidRPr="00885138" w:rsidRDefault="005E3FD4" w:rsidP="005E3FD4">
            <w:pPr>
              <w:spacing w:after="0" w:line="240" w:lineRule="auto"/>
              <w:rPr>
                <w:rFonts w:ascii="Calibri" w:eastAsia="Times New Roman" w:hAnsi="Calibri" w:cs="Calibri"/>
                <w:b/>
                <w:bCs/>
                <w:color w:val="000000"/>
                <w:sz w:val="18"/>
                <w:szCs w:val="18"/>
                <w:lang w:eastAsia="sk-SK"/>
              </w:rPr>
            </w:pPr>
            <w:r w:rsidRPr="00885138">
              <w:rPr>
                <w:rFonts w:ascii="Calibri" w:eastAsia="Times New Roman" w:hAnsi="Calibri" w:cs="Calibri"/>
                <w:b/>
                <w:bCs/>
                <w:color w:val="000000"/>
                <w:sz w:val="18"/>
                <w:szCs w:val="18"/>
                <w:lang w:eastAsia="sk-SK"/>
              </w:rPr>
              <w:t xml:space="preserve">240 - Úroky z dom. a </w:t>
            </w:r>
            <w:proofErr w:type="spellStart"/>
            <w:r w:rsidRPr="00885138">
              <w:rPr>
                <w:rFonts w:ascii="Calibri" w:eastAsia="Times New Roman" w:hAnsi="Calibri" w:cs="Calibri"/>
                <w:b/>
                <w:bCs/>
                <w:color w:val="000000"/>
                <w:sz w:val="18"/>
                <w:szCs w:val="18"/>
                <w:lang w:eastAsia="sk-SK"/>
              </w:rPr>
              <w:t>zahr</w:t>
            </w:r>
            <w:proofErr w:type="spellEnd"/>
            <w:r w:rsidRPr="00885138">
              <w:rPr>
                <w:rFonts w:ascii="Calibri" w:eastAsia="Times New Roman" w:hAnsi="Calibri" w:cs="Calibri"/>
                <w:b/>
                <w:bCs/>
                <w:color w:val="000000"/>
                <w:sz w:val="18"/>
                <w:szCs w:val="18"/>
                <w:lang w:eastAsia="sk-SK"/>
              </w:rPr>
              <w:t>. úverov</w:t>
            </w:r>
          </w:p>
        </w:tc>
        <w:tc>
          <w:tcPr>
            <w:tcW w:w="503" w:type="pct"/>
            <w:tcBorders>
              <w:top w:val="nil"/>
              <w:left w:val="nil"/>
              <w:bottom w:val="single" w:sz="8" w:space="0" w:color="DCE6F1"/>
              <w:right w:val="nil"/>
            </w:tcBorders>
            <w:shd w:val="clear" w:color="000000" w:fill="D9D9D9"/>
            <w:vAlign w:val="bottom"/>
          </w:tcPr>
          <w:p w14:paraId="5363AC27" w14:textId="18282ACF"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298</w:t>
            </w:r>
          </w:p>
        </w:tc>
        <w:tc>
          <w:tcPr>
            <w:tcW w:w="503" w:type="pct"/>
            <w:tcBorders>
              <w:top w:val="nil"/>
              <w:left w:val="nil"/>
              <w:bottom w:val="single" w:sz="8" w:space="0" w:color="DCE6F1"/>
              <w:right w:val="nil"/>
            </w:tcBorders>
            <w:shd w:val="clear" w:color="000000" w:fill="D9D9D9"/>
            <w:noWrap/>
            <w:vAlign w:val="bottom"/>
          </w:tcPr>
          <w:p w14:paraId="2320FD3E" w14:textId="57FF0EFB"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242 901</w:t>
            </w:r>
          </w:p>
        </w:tc>
        <w:tc>
          <w:tcPr>
            <w:tcW w:w="503" w:type="pct"/>
            <w:tcBorders>
              <w:top w:val="nil"/>
              <w:left w:val="nil"/>
              <w:bottom w:val="single" w:sz="8" w:space="0" w:color="DCE6F1"/>
              <w:right w:val="nil"/>
            </w:tcBorders>
            <w:shd w:val="clear" w:color="000000" w:fill="D9D9D9"/>
            <w:noWrap/>
            <w:vAlign w:val="bottom"/>
          </w:tcPr>
          <w:p w14:paraId="439FEB1F" w14:textId="50B63013"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924 601</w:t>
            </w:r>
          </w:p>
        </w:tc>
        <w:tc>
          <w:tcPr>
            <w:tcW w:w="503" w:type="pct"/>
            <w:tcBorders>
              <w:top w:val="nil"/>
              <w:left w:val="nil"/>
              <w:bottom w:val="single" w:sz="8" w:space="0" w:color="DCE6F1"/>
              <w:right w:val="nil"/>
            </w:tcBorders>
            <w:shd w:val="clear" w:color="000000" w:fill="D9D9D9"/>
            <w:noWrap/>
            <w:vAlign w:val="bottom"/>
          </w:tcPr>
          <w:p w14:paraId="060CABDD" w14:textId="785F2FED"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1 450 000</w:t>
            </w:r>
          </w:p>
        </w:tc>
        <w:tc>
          <w:tcPr>
            <w:tcW w:w="503" w:type="pct"/>
            <w:tcBorders>
              <w:top w:val="nil"/>
              <w:left w:val="nil"/>
              <w:bottom w:val="single" w:sz="8" w:space="0" w:color="DCE6F1"/>
              <w:right w:val="nil"/>
            </w:tcBorders>
            <w:shd w:val="clear" w:color="auto" w:fill="D9D9D9" w:themeFill="background1" w:themeFillShade="D9"/>
            <w:noWrap/>
            <w:vAlign w:val="bottom"/>
          </w:tcPr>
          <w:p w14:paraId="2F29F9C1" w14:textId="76BE8DEE"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510 000</w:t>
            </w:r>
          </w:p>
        </w:tc>
        <w:tc>
          <w:tcPr>
            <w:tcW w:w="503" w:type="pct"/>
            <w:tcBorders>
              <w:top w:val="nil"/>
              <w:left w:val="nil"/>
              <w:bottom w:val="single" w:sz="8" w:space="0" w:color="DCE6F1"/>
              <w:right w:val="nil"/>
            </w:tcBorders>
            <w:shd w:val="clear" w:color="000000" w:fill="D9D9D9"/>
            <w:noWrap/>
            <w:vAlign w:val="bottom"/>
          </w:tcPr>
          <w:p w14:paraId="785F2AFD" w14:textId="0757E6F7"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150 000</w:t>
            </w:r>
          </w:p>
        </w:tc>
        <w:tc>
          <w:tcPr>
            <w:tcW w:w="524" w:type="pct"/>
            <w:tcBorders>
              <w:top w:val="nil"/>
              <w:left w:val="nil"/>
              <w:bottom w:val="single" w:sz="8" w:space="0" w:color="DCE6F1"/>
              <w:right w:val="nil"/>
            </w:tcBorders>
            <w:shd w:val="clear" w:color="000000" w:fill="D9D9D9"/>
            <w:noWrap/>
            <w:vAlign w:val="bottom"/>
          </w:tcPr>
          <w:p w14:paraId="76012FDB" w14:textId="52443CD0"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150 000</w:t>
            </w:r>
          </w:p>
        </w:tc>
      </w:tr>
      <w:tr w:rsidR="005E3FD4" w:rsidRPr="00885138" w14:paraId="4103FD41"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5EB8271F"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Úrad</w:t>
            </w:r>
          </w:p>
        </w:tc>
        <w:tc>
          <w:tcPr>
            <w:tcW w:w="503" w:type="pct"/>
            <w:tcBorders>
              <w:top w:val="nil"/>
              <w:left w:val="nil"/>
              <w:bottom w:val="single" w:sz="8" w:space="0" w:color="DCE6F1"/>
              <w:right w:val="nil"/>
            </w:tcBorders>
            <w:vAlign w:val="bottom"/>
          </w:tcPr>
          <w:p w14:paraId="1E7E467D" w14:textId="4143B0BC"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108</w:t>
            </w:r>
          </w:p>
        </w:tc>
        <w:tc>
          <w:tcPr>
            <w:tcW w:w="503" w:type="pct"/>
            <w:tcBorders>
              <w:top w:val="nil"/>
              <w:left w:val="nil"/>
              <w:bottom w:val="single" w:sz="8" w:space="0" w:color="DCE6F1"/>
              <w:right w:val="nil"/>
            </w:tcBorders>
            <w:shd w:val="clear" w:color="auto" w:fill="auto"/>
            <w:noWrap/>
            <w:vAlign w:val="bottom"/>
          </w:tcPr>
          <w:p w14:paraId="59C1B411" w14:textId="5CDFE6ED"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242 901</w:t>
            </w:r>
          </w:p>
        </w:tc>
        <w:tc>
          <w:tcPr>
            <w:tcW w:w="503" w:type="pct"/>
            <w:tcBorders>
              <w:top w:val="nil"/>
              <w:left w:val="nil"/>
              <w:bottom w:val="single" w:sz="8" w:space="0" w:color="DCE6F1"/>
              <w:right w:val="nil"/>
            </w:tcBorders>
            <w:shd w:val="clear" w:color="auto" w:fill="auto"/>
            <w:noWrap/>
            <w:vAlign w:val="bottom"/>
          </w:tcPr>
          <w:p w14:paraId="7725C7EA" w14:textId="7BABAD8C"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924 601</w:t>
            </w:r>
          </w:p>
        </w:tc>
        <w:tc>
          <w:tcPr>
            <w:tcW w:w="503" w:type="pct"/>
            <w:tcBorders>
              <w:top w:val="nil"/>
              <w:left w:val="nil"/>
              <w:bottom w:val="single" w:sz="8" w:space="0" w:color="DCE6F1"/>
              <w:right w:val="nil"/>
            </w:tcBorders>
            <w:shd w:val="clear" w:color="auto" w:fill="auto"/>
            <w:noWrap/>
            <w:vAlign w:val="bottom"/>
          </w:tcPr>
          <w:p w14:paraId="05ED893B" w14:textId="042DC920"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1 450 000</w:t>
            </w:r>
          </w:p>
        </w:tc>
        <w:tc>
          <w:tcPr>
            <w:tcW w:w="503" w:type="pct"/>
            <w:tcBorders>
              <w:top w:val="nil"/>
              <w:left w:val="nil"/>
              <w:bottom w:val="single" w:sz="8" w:space="0" w:color="DCE6F1"/>
              <w:right w:val="nil"/>
            </w:tcBorders>
            <w:shd w:val="clear" w:color="auto" w:fill="D9D9D9" w:themeFill="background1" w:themeFillShade="D9"/>
            <w:noWrap/>
            <w:vAlign w:val="bottom"/>
          </w:tcPr>
          <w:p w14:paraId="04B647D2" w14:textId="6B898E70" w:rsidR="005E3FD4" w:rsidRPr="00830B63" w:rsidRDefault="005E3FD4" w:rsidP="005E3FD4">
            <w:pPr>
              <w:jc w:val="right"/>
              <w:rPr>
                <w:rFonts w:ascii="Calibri" w:hAnsi="Calibri" w:cs="Calibri"/>
                <w:b/>
                <w:bCs/>
                <w:color w:val="000000"/>
                <w:sz w:val="20"/>
                <w:szCs w:val="20"/>
              </w:rPr>
            </w:pPr>
            <w:r w:rsidRPr="00830B63">
              <w:rPr>
                <w:rFonts w:ascii="Calibri" w:hAnsi="Calibri" w:cs="Calibri"/>
                <w:b/>
                <w:bCs/>
                <w:color w:val="000000"/>
                <w:sz w:val="20"/>
                <w:szCs w:val="20"/>
              </w:rPr>
              <w:t>510 000</w:t>
            </w:r>
          </w:p>
        </w:tc>
        <w:tc>
          <w:tcPr>
            <w:tcW w:w="503" w:type="pct"/>
            <w:tcBorders>
              <w:top w:val="nil"/>
              <w:left w:val="nil"/>
              <w:bottom w:val="single" w:sz="8" w:space="0" w:color="DCE6F1"/>
              <w:right w:val="nil"/>
            </w:tcBorders>
            <w:shd w:val="clear" w:color="auto" w:fill="auto"/>
            <w:noWrap/>
            <w:vAlign w:val="bottom"/>
          </w:tcPr>
          <w:p w14:paraId="5FEDFD48" w14:textId="172A5946"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150 000</w:t>
            </w:r>
          </w:p>
        </w:tc>
        <w:tc>
          <w:tcPr>
            <w:tcW w:w="524" w:type="pct"/>
            <w:tcBorders>
              <w:top w:val="nil"/>
              <w:left w:val="nil"/>
              <w:bottom w:val="single" w:sz="8" w:space="0" w:color="DCE6F1"/>
              <w:right w:val="nil"/>
            </w:tcBorders>
            <w:shd w:val="clear" w:color="auto" w:fill="auto"/>
            <w:noWrap/>
            <w:vAlign w:val="bottom"/>
          </w:tcPr>
          <w:p w14:paraId="481AA3A0" w14:textId="4EAF8C33"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150 000</w:t>
            </w:r>
          </w:p>
        </w:tc>
      </w:tr>
      <w:tr w:rsidR="005E3FD4" w:rsidRPr="00885138" w14:paraId="3EE50010"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51176F11"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 xml:space="preserve">Príjmy </w:t>
            </w:r>
            <w:proofErr w:type="spellStart"/>
            <w:r w:rsidRPr="0006582E">
              <w:rPr>
                <w:rFonts w:ascii="Calibri" w:eastAsia="Times New Roman" w:hAnsi="Calibri" w:cs="Calibri"/>
                <w:color w:val="000000"/>
                <w:sz w:val="18"/>
                <w:szCs w:val="18"/>
                <w:lang w:eastAsia="sk-SK"/>
              </w:rPr>
              <w:t>ZvZP</w:t>
            </w:r>
            <w:proofErr w:type="spellEnd"/>
            <w:r w:rsidRPr="0006582E">
              <w:rPr>
                <w:rFonts w:ascii="Calibri" w:eastAsia="Times New Roman" w:hAnsi="Calibri" w:cs="Calibri"/>
                <w:color w:val="000000"/>
                <w:sz w:val="18"/>
                <w:szCs w:val="18"/>
                <w:lang w:eastAsia="sk-SK"/>
              </w:rPr>
              <w:t xml:space="preserve"> - sociálne zabezpečenie</w:t>
            </w:r>
          </w:p>
        </w:tc>
        <w:tc>
          <w:tcPr>
            <w:tcW w:w="503" w:type="pct"/>
            <w:tcBorders>
              <w:top w:val="nil"/>
              <w:left w:val="nil"/>
              <w:bottom w:val="single" w:sz="8" w:space="0" w:color="DCE6F1"/>
              <w:right w:val="nil"/>
            </w:tcBorders>
            <w:vAlign w:val="bottom"/>
          </w:tcPr>
          <w:p w14:paraId="09A8E9A0" w14:textId="52B3B6D8"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190</w:t>
            </w:r>
          </w:p>
        </w:tc>
        <w:tc>
          <w:tcPr>
            <w:tcW w:w="503" w:type="pct"/>
            <w:tcBorders>
              <w:top w:val="nil"/>
              <w:left w:val="nil"/>
              <w:bottom w:val="single" w:sz="8" w:space="0" w:color="DCE6F1"/>
              <w:right w:val="nil"/>
            </w:tcBorders>
            <w:shd w:val="clear" w:color="auto" w:fill="auto"/>
            <w:noWrap/>
            <w:vAlign w:val="bottom"/>
          </w:tcPr>
          <w:p w14:paraId="0B0CD1D2" w14:textId="537A6A2A"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0</w:t>
            </w:r>
          </w:p>
        </w:tc>
        <w:tc>
          <w:tcPr>
            <w:tcW w:w="503" w:type="pct"/>
            <w:tcBorders>
              <w:top w:val="nil"/>
              <w:left w:val="nil"/>
              <w:bottom w:val="single" w:sz="8" w:space="0" w:color="DCE6F1"/>
              <w:right w:val="nil"/>
            </w:tcBorders>
            <w:shd w:val="clear" w:color="auto" w:fill="auto"/>
            <w:noWrap/>
            <w:vAlign w:val="bottom"/>
          </w:tcPr>
          <w:p w14:paraId="05DA1552" w14:textId="496F40ED"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0</w:t>
            </w:r>
          </w:p>
        </w:tc>
        <w:tc>
          <w:tcPr>
            <w:tcW w:w="503" w:type="pct"/>
            <w:tcBorders>
              <w:top w:val="nil"/>
              <w:left w:val="nil"/>
              <w:bottom w:val="single" w:sz="8" w:space="0" w:color="DCE6F1"/>
              <w:right w:val="nil"/>
            </w:tcBorders>
            <w:shd w:val="clear" w:color="auto" w:fill="auto"/>
            <w:noWrap/>
            <w:vAlign w:val="bottom"/>
          </w:tcPr>
          <w:p w14:paraId="6FEFABCB" w14:textId="4C1AA8E0"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0</w:t>
            </w:r>
          </w:p>
        </w:tc>
        <w:tc>
          <w:tcPr>
            <w:tcW w:w="503" w:type="pct"/>
            <w:tcBorders>
              <w:top w:val="nil"/>
              <w:left w:val="nil"/>
              <w:bottom w:val="single" w:sz="8" w:space="0" w:color="DCE6F1"/>
              <w:right w:val="nil"/>
            </w:tcBorders>
            <w:shd w:val="clear" w:color="auto" w:fill="D9D9D9" w:themeFill="background1" w:themeFillShade="D9"/>
            <w:noWrap/>
            <w:vAlign w:val="bottom"/>
          </w:tcPr>
          <w:p w14:paraId="589E6E1A" w14:textId="63DA8F21" w:rsidR="005E3FD4" w:rsidRPr="00830B63" w:rsidRDefault="00676C1A" w:rsidP="005E3FD4">
            <w:pPr>
              <w:jc w:val="right"/>
              <w:rPr>
                <w:rFonts w:ascii="Calibri" w:hAnsi="Calibri" w:cs="Calibri"/>
                <w:b/>
                <w:bCs/>
                <w:color w:val="000000"/>
                <w:sz w:val="20"/>
                <w:szCs w:val="20"/>
              </w:rPr>
            </w:pPr>
            <w:r>
              <w:rPr>
                <w:rFonts w:ascii="Calibri" w:hAnsi="Calibri" w:cs="Calibri"/>
                <w:b/>
                <w:bCs/>
                <w:color w:val="000000"/>
                <w:sz w:val="20"/>
                <w:szCs w:val="20"/>
              </w:rPr>
              <w:t>0</w:t>
            </w:r>
          </w:p>
        </w:tc>
        <w:tc>
          <w:tcPr>
            <w:tcW w:w="503" w:type="pct"/>
            <w:tcBorders>
              <w:top w:val="nil"/>
              <w:left w:val="nil"/>
              <w:bottom w:val="single" w:sz="8" w:space="0" w:color="DCE6F1"/>
              <w:right w:val="nil"/>
            </w:tcBorders>
            <w:shd w:val="clear" w:color="auto" w:fill="auto"/>
            <w:noWrap/>
            <w:vAlign w:val="bottom"/>
          </w:tcPr>
          <w:p w14:paraId="50F2AFE4" w14:textId="52B1BED4" w:rsidR="005E3FD4" w:rsidRPr="00591ED5" w:rsidRDefault="00676C1A" w:rsidP="005E3FD4">
            <w:pPr>
              <w:jc w:val="right"/>
              <w:rPr>
                <w:rFonts w:ascii="Calibri" w:hAnsi="Calibri" w:cs="Calibri"/>
                <w:color w:val="000000"/>
                <w:sz w:val="20"/>
                <w:szCs w:val="20"/>
              </w:rPr>
            </w:pPr>
            <w:r>
              <w:rPr>
                <w:rFonts w:ascii="Calibri" w:hAnsi="Calibri" w:cs="Calibri"/>
                <w:color w:val="000000"/>
                <w:sz w:val="20"/>
                <w:szCs w:val="20"/>
              </w:rPr>
              <w:t>0</w:t>
            </w:r>
          </w:p>
        </w:tc>
        <w:tc>
          <w:tcPr>
            <w:tcW w:w="524" w:type="pct"/>
            <w:tcBorders>
              <w:top w:val="nil"/>
              <w:left w:val="nil"/>
              <w:bottom w:val="single" w:sz="8" w:space="0" w:color="DCE6F1"/>
              <w:right w:val="nil"/>
            </w:tcBorders>
            <w:shd w:val="clear" w:color="auto" w:fill="auto"/>
            <w:noWrap/>
            <w:vAlign w:val="bottom"/>
          </w:tcPr>
          <w:p w14:paraId="09528C82" w14:textId="07F29CB1" w:rsidR="005E3FD4" w:rsidRPr="00591ED5" w:rsidRDefault="00676C1A" w:rsidP="005E3FD4">
            <w:pPr>
              <w:jc w:val="right"/>
              <w:rPr>
                <w:rFonts w:ascii="Calibri" w:hAnsi="Calibri" w:cs="Calibri"/>
                <w:color w:val="000000"/>
                <w:sz w:val="20"/>
                <w:szCs w:val="20"/>
              </w:rPr>
            </w:pPr>
            <w:r>
              <w:rPr>
                <w:rFonts w:ascii="Calibri" w:hAnsi="Calibri" w:cs="Calibri"/>
                <w:color w:val="000000"/>
                <w:sz w:val="20"/>
                <w:szCs w:val="20"/>
              </w:rPr>
              <w:t>0</w:t>
            </w:r>
          </w:p>
        </w:tc>
      </w:tr>
      <w:tr w:rsidR="005E3FD4" w:rsidRPr="00885138" w14:paraId="177671F4" w14:textId="77777777" w:rsidTr="00380069">
        <w:trPr>
          <w:trHeight w:hRule="exact" w:val="284"/>
        </w:trPr>
        <w:tc>
          <w:tcPr>
            <w:tcW w:w="1457" w:type="pct"/>
            <w:tcBorders>
              <w:top w:val="nil"/>
              <w:left w:val="nil"/>
              <w:bottom w:val="single" w:sz="8" w:space="0" w:color="DCE6F1"/>
              <w:right w:val="nil"/>
            </w:tcBorders>
            <w:shd w:val="clear" w:color="000000" w:fill="D9D9D9"/>
            <w:noWrap/>
            <w:vAlign w:val="center"/>
            <w:hideMark/>
          </w:tcPr>
          <w:p w14:paraId="72403F6D" w14:textId="77777777" w:rsidR="005E3FD4" w:rsidRPr="00885138" w:rsidRDefault="005E3FD4" w:rsidP="005E3FD4">
            <w:pPr>
              <w:spacing w:after="0" w:line="240" w:lineRule="auto"/>
              <w:rPr>
                <w:rFonts w:ascii="Calibri" w:eastAsia="Times New Roman" w:hAnsi="Calibri" w:cs="Calibri"/>
                <w:b/>
                <w:bCs/>
                <w:color w:val="000000"/>
                <w:sz w:val="18"/>
                <w:szCs w:val="18"/>
                <w:lang w:eastAsia="sk-SK"/>
              </w:rPr>
            </w:pPr>
            <w:r w:rsidRPr="00885138">
              <w:rPr>
                <w:rFonts w:ascii="Calibri" w:eastAsia="Times New Roman" w:hAnsi="Calibri" w:cs="Calibri"/>
                <w:b/>
                <w:bCs/>
                <w:color w:val="000000"/>
                <w:sz w:val="18"/>
                <w:szCs w:val="18"/>
                <w:lang w:eastAsia="sk-SK"/>
              </w:rPr>
              <w:t xml:space="preserve">290 - Iné nedaňové príjmy </w:t>
            </w:r>
          </w:p>
        </w:tc>
        <w:tc>
          <w:tcPr>
            <w:tcW w:w="503" w:type="pct"/>
            <w:tcBorders>
              <w:top w:val="nil"/>
              <w:left w:val="nil"/>
              <w:bottom w:val="single" w:sz="8" w:space="0" w:color="DCE6F1"/>
              <w:right w:val="nil"/>
            </w:tcBorders>
            <w:shd w:val="clear" w:color="000000" w:fill="D9D9D9"/>
            <w:vAlign w:val="bottom"/>
          </w:tcPr>
          <w:p w14:paraId="0A0DAC84" w14:textId="278D225A"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2 378 650</w:t>
            </w:r>
          </w:p>
        </w:tc>
        <w:tc>
          <w:tcPr>
            <w:tcW w:w="503" w:type="pct"/>
            <w:tcBorders>
              <w:top w:val="nil"/>
              <w:left w:val="nil"/>
              <w:bottom w:val="single" w:sz="8" w:space="0" w:color="DCE6F1"/>
              <w:right w:val="nil"/>
            </w:tcBorders>
            <w:shd w:val="clear" w:color="000000" w:fill="D9D9D9"/>
            <w:noWrap/>
            <w:vAlign w:val="bottom"/>
          </w:tcPr>
          <w:p w14:paraId="25CE1BBB" w14:textId="6C6B8EE4"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686 199</w:t>
            </w:r>
          </w:p>
        </w:tc>
        <w:tc>
          <w:tcPr>
            <w:tcW w:w="503" w:type="pct"/>
            <w:tcBorders>
              <w:top w:val="nil"/>
              <w:left w:val="nil"/>
              <w:bottom w:val="single" w:sz="8" w:space="0" w:color="DCE6F1"/>
              <w:right w:val="nil"/>
            </w:tcBorders>
            <w:shd w:val="clear" w:color="000000" w:fill="D9D9D9"/>
            <w:noWrap/>
            <w:vAlign w:val="bottom"/>
          </w:tcPr>
          <w:p w14:paraId="6F0A9465" w14:textId="716E949B"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394 925</w:t>
            </w:r>
          </w:p>
        </w:tc>
        <w:tc>
          <w:tcPr>
            <w:tcW w:w="503" w:type="pct"/>
            <w:tcBorders>
              <w:top w:val="nil"/>
              <w:left w:val="nil"/>
              <w:bottom w:val="single" w:sz="8" w:space="0" w:color="DCE6F1"/>
              <w:right w:val="nil"/>
            </w:tcBorders>
            <w:shd w:val="clear" w:color="000000" w:fill="D9D9D9"/>
            <w:noWrap/>
            <w:vAlign w:val="bottom"/>
          </w:tcPr>
          <w:p w14:paraId="0B285AFA" w14:textId="3A47EB2E"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1 632 676</w:t>
            </w:r>
          </w:p>
        </w:tc>
        <w:tc>
          <w:tcPr>
            <w:tcW w:w="503" w:type="pct"/>
            <w:tcBorders>
              <w:top w:val="nil"/>
              <w:left w:val="nil"/>
              <w:bottom w:val="single" w:sz="8" w:space="0" w:color="DCE6F1"/>
              <w:right w:val="nil"/>
            </w:tcBorders>
            <w:shd w:val="clear" w:color="auto" w:fill="D9D9D9" w:themeFill="background1" w:themeFillShade="D9"/>
            <w:noWrap/>
            <w:vAlign w:val="bottom"/>
          </w:tcPr>
          <w:p w14:paraId="2636CDD6" w14:textId="74161AB3"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407 815</w:t>
            </w:r>
          </w:p>
        </w:tc>
        <w:tc>
          <w:tcPr>
            <w:tcW w:w="503" w:type="pct"/>
            <w:tcBorders>
              <w:top w:val="nil"/>
              <w:left w:val="nil"/>
              <w:bottom w:val="single" w:sz="8" w:space="0" w:color="DCE6F1"/>
              <w:right w:val="nil"/>
            </w:tcBorders>
            <w:shd w:val="clear" w:color="000000" w:fill="D9D9D9"/>
            <w:noWrap/>
            <w:vAlign w:val="bottom"/>
          </w:tcPr>
          <w:p w14:paraId="1F835A3E" w14:textId="0F0B40D0"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404 921</w:t>
            </w:r>
          </w:p>
        </w:tc>
        <w:tc>
          <w:tcPr>
            <w:tcW w:w="524" w:type="pct"/>
            <w:tcBorders>
              <w:top w:val="nil"/>
              <w:left w:val="nil"/>
              <w:bottom w:val="single" w:sz="8" w:space="0" w:color="DCE6F1"/>
              <w:right w:val="nil"/>
            </w:tcBorders>
            <w:shd w:val="clear" w:color="000000" w:fill="D9D9D9"/>
            <w:noWrap/>
            <w:vAlign w:val="bottom"/>
          </w:tcPr>
          <w:p w14:paraId="0D29CBA7" w14:textId="3DC221BC" w:rsidR="005E3FD4" w:rsidRPr="00676C1A" w:rsidRDefault="005E3FD4" w:rsidP="005E3FD4">
            <w:pPr>
              <w:jc w:val="right"/>
              <w:rPr>
                <w:rFonts w:ascii="Calibri" w:hAnsi="Calibri" w:cs="Calibri"/>
                <w:b/>
                <w:bCs/>
                <w:color w:val="000000"/>
                <w:sz w:val="20"/>
                <w:szCs w:val="20"/>
              </w:rPr>
            </w:pPr>
            <w:r w:rsidRPr="00676C1A">
              <w:rPr>
                <w:rFonts w:ascii="Calibri" w:hAnsi="Calibri" w:cs="Calibri"/>
                <w:b/>
                <w:bCs/>
                <w:color w:val="000000"/>
                <w:sz w:val="20"/>
                <w:szCs w:val="20"/>
              </w:rPr>
              <w:t>405 421</w:t>
            </w:r>
          </w:p>
        </w:tc>
      </w:tr>
      <w:tr w:rsidR="005E3FD4" w:rsidRPr="00885138" w14:paraId="55CFC61A"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35FE5E88"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Úrad</w:t>
            </w:r>
          </w:p>
        </w:tc>
        <w:tc>
          <w:tcPr>
            <w:tcW w:w="503" w:type="pct"/>
            <w:tcBorders>
              <w:top w:val="nil"/>
              <w:left w:val="nil"/>
              <w:bottom w:val="single" w:sz="8" w:space="0" w:color="DCE6F1"/>
              <w:right w:val="nil"/>
            </w:tcBorders>
            <w:vAlign w:val="bottom"/>
          </w:tcPr>
          <w:p w14:paraId="1B3FAD7A" w14:textId="008631CB"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2 199 399</w:t>
            </w:r>
          </w:p>
        </w:tc>
        <w:tc>
          <w:tcPr>
            <w:tcW w:w="503" w:type="pct"/>
            <w:tcBorders>
              <w:top w:val="nil"/>
              <w:left w:val="nil"/>
              <w:bottom w:val="single" w:sz="8" w:space="0" w:color="DCE6F1"/>
              <w:right w:val="nil"/>
            </w:tcBorders>
            <w:shd w:val="clear" w:color="auto" w:fill="auto"/>
            <w:noWrap/>
            <w:vAlign w:val="bottom"/>
          </w:tcPr>
          <w:p w14:paraId="7A7D466B" w14:textId="3730EE19"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563 903</w:t>
            </w:r>
          </w:p>
        </w:tc>
        <w:tc>
          <w:tcPr>
            <w:tcW w:w="503" w:type="pct"/>
            <w:tcBorders>
              <w:top w:val="nil"/>
              <w:left w:val="nil"/>
              <w:bottom w:val="single" w:sz="8" w:space="0" w:color="DCE6F1"/>
              <w:right w:val="nil"/>
            </w:tcBorders>
            <w:shd w:val="clear" w:color="auto" w:fill="auto"/>
            <w:noWrap/>
            <w:vAlign w:val="bottom"/>
          </w:tcPr>
          <w:p w14:paraId="33036DDC" w14:textId="6A0B7D5B"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369 325</w:t>
            </w:r>
          </w:p>
        </w:tc>
        <w:tc>
          <w:tcPr>
            <w:tcW w:w="503" w:type="pct"/>
            <w:tcBorders>
              <w:top w:val="nil"/>
              <w:left w:val="nil"/>
              <w:bottom w:val="single" w:sz="8" w:space="0" w:color="DCE6F1"/>
              <w:right w:val="nil"/>
            </w:tcBorders>
            <w:shd w:val="clear" w:color="auto" w:fill="auto"/>
            <w:noWrap/>
            <w:vAlign w:val="bottom"/>
          </w:tcPr>
          <w:p w14:paraId="2CCE313E" w14:textId="55D50212"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1 139 006</w:t>
            </w:r>
          </w:p>
        </w:tc>
        <w:tc>
          <w:tcPr>
            <w:tcW w:w="503" w:type="pct"/>
            <w:tcBorders>
              <w:top w:val="nil"/>
              <w:left w:val="nil"/>
              <w:bottom w:val="single" w:sz="8" w:space="0" w:color="DCE6F1"/>
              <w:right w:val="nil"/>
            </w:tcBorders>
            <w:shd w:val="clear" w:color="auto" w:fill="D9D9D9" w:themeFill="background1" w:themeFillShade="D9"/>
            <w:noWrap/>
            <w:vAlign w:val="bottom"/>
          </w:tcPr>
          <w:p w14:paraId="7D43DE07" w14:textId="67BD4999" w:rsidR="005E3FD4" w:rsidRPr="00830B63" w:rsidRDefault="005E3FD4" w:rsidP="005E3FD4">
            <w:pPr>
              <w:jc w:val="right"/>
              <w:rPr>
                <w:rFonts w:ascii="Calibri" w:hAnsi="Calibri" w:cs="Calibri"/>
                <w:b/>
                <w:bCs/>
                <w:color w:val="000000"/>
                <w:sz w:val="20"/>
                <w:szCs w:val="20"/>
              </w:rPr>
            </w:pPr>
            <w:r w:rsidRPr="00830B63">
              <w:rPr>
                <w:rFonts w:ascii="Calibri" w:hAnsi="Calibri" w:cs="Calibri"/>
                <w:b/>
                <w:bCs/>
                <w:color w:val="000000"/>
                <w:sz w:val="20"/>
                <w:szCs w:val="20"/>
              </w:rPr>
              <w:t>373 315</w:t>
            </w:r>
          </w:p>
        </w:tc>
        <w:tc>
          <w:tcPr>
            <w:tcW w:w="503" w:type="pct"/>
            <w:tcBorders>
              <w:top w:val="nil"/>
              <w:left w:val="nil"/>
              <w:bottom w:val="single" w:sz="8" w:space="0" w:color="DCE6F1"/>
              <w:right w:val="nil"/>
            </w:tcBorders>
            <w:shd w:val="clear" w:color="auto" w:fill="auto"/>
            <w:noWrap/>
            <w:vAlign w:val="bottom"/>
          </w:tcPr>
          <w:p w14:paraId="2FA9AFD3" w14:textId="63BD6359"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369 921</w:t>
            </w:r>
          </w:p>
        </w:tc>
        <w:tc>
          <w:tcPr>
            <w:tcW w:w="524" w:type="pct"/>
            <w:tcBorders>
              <w:top w:val="nil"/>
              <w:left w:val="nil"/>
              <w:bottom w:val="single" w:sz="8" w:space="0" w:color="DCE6F1"/>
              <w:right w:val="nil"/>
            </w:tcBorders>
            <w:shd w:val="clear" w:color="auto" w:fill="auto"/>
            <w:noWrap/>
            <w:vAlign w:val="bottom"/>
          </w:tcPr>
          <w:p w14:paraId="1BCB001B" w14:textId="73993554"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369 921</w:t>
            </w:r>
          </w:p>
        </w:tc>
      </w:tr>
      <w:tr w:rsidR="005E3FD4" w:rsidRPr="00885138" w14:paraId="658D057D"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1EEFB96D"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 xml:space="preserve">Príjmy </w:t>
            </w:r>
            <w:proofErr w:type="spellStart"/>
            <w:r w:rsidRPr="0006582E">
              <w:rPr>
                <w:rFonts w:ascii="Calibri" w:eastAsia="Times New Roman" w:hAnsi="Calibri" w:cs="Calibri"/>
                <w:color w:val="000000"/>
                <w:sz w:val="18"/>
                <w:szCs w:val="18"/>
                <w:lang w:eastAsia="sk-SK"/>
              </w:rPr>
              <w:t>ZvZP</w:t>
            </w:r>
            <w:proofErr w:type="spellEnd"/>
            <w:r w:rsidRPr="0006582E">
              <w:rPr>
                <w:rFonts w:ascii="Calibri" w:eastAsia="Times New Roman" w:hAnsi="Calibri" w:cs="Calibri"/>
                <w:color w:val="000000"/>
                <w:sz w:val="18"/>
                <w:szCs w:val="18"/>
                <w:lang w:eastAsia="sk-SK"/>
              </w:rPr>
              <w:t xml:space="preserve"> - sociálne zabezpečenie</w:t>
            </w:r>
          </w:p>
        </w:tc>
        <w:tc>
          <w:tcPr>
            <w:tcW w:w="503" w:type="pct"/>
            <w:tcBorders>
              <w:top w:val="nil"/>
              <w:left w:val="nil"/>
              <w:bottom w:val="single" w:sz="8" w:space="0" w:color="DCE6F1"/>
              <w:right w:val="nil"/>
            </w:tcBorders>
            <w:vAlign w:val="bottom"/>
          </w:tcPr>
          <w:p w14:paraId="0BDECB55" w14:textId="2ACFF7D5"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99 049</w:t>
            </w:r>
          </w:p>
        </w:tc>
        <w:tc>
          <w:tcPr>
            <w:tcW w:w="503" w:type="pct"/>
            <w:tcBorders>
              <w:top w:val="nil"/>
              <w:left w:val="nil"/>
              <w:bottom w:val="single" w:sz="8" w:space="0" w:color="DCE6F1"/>
              <w:right w:val="nil"/>
            </w:tcBorders>
            <w:shd w:val="clear" w:color="auto" w:fill="auto"/>
            <w:noWrap/>
            <w:vAlign w:val="bottom"/>
          </w:tcPr>
          <w:p w14:paraId="6DA9463D" w14:textId="076375A8"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50 536</w:t>
            </w:r>
          </w:p>
        </w:tc>
        <w:tc>
          <w:tcPr>
            <w:tcW w:w="503" w:type="pct"/>
            <w:tcBorders>
              <w:top w:val="nil"/>
              <w:left w:val="nil"/>
              <w:bottom w:val="single" w:sz="8" w:space="0" w:color="DCE6F1"/>
              <w:right w:val="nil"/>
            </w:tcBorders>
            <w:shd w:val="clear" w:color="auto" w:fill="auto"/>
            <w:noWrap/>
            <w:vAlign w:val="bottom"/>
          </w:tcPr>
          <w:p w14:paraId="11F8827B" w14:textId="1D9D3E43"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6 500</w:t>
            </w:r>
          </w:p>
        </w:tc>
        <w:tc>
          <w:tcPr>
            <w:tcW w:w="503" w:type="pct"/>
            <w:tcBorders>
              <w:top w:val="nil"/>
              <w:left w:val="nil"/>
              <w:bottom w:val="single" w:sz="8" w:space="0" w:color="DCE6F1"/>
              <w:right w:val="nil"/>
            </w:tcBorders>
            <w:shd w:val="clear" w:color="auto" w:fill="auto"/>
            <w:noWrap/>
            <w:vAlign w:val="bottom"/>
          </w:tcPr>
          <w:p w14:paraId="28244FF2" w14:textId="346A501B"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27 556</w:t>
            </w:r>
          </w:p>
        </w:tc>
        <w:tc>
          <w:tcPr>
            <w:tcW w:w="503" w:type="pct"/>
            <w:tcBorders>
              <w:top w:val="nil"/>
              <w:left w:val="nil"/>
              <w:bottom w:val="single" w:sz="8" w:space="0" w:color="DCE6F1"/>
              <w:right w:val="nil"/>
            </w:tcBorders>
            <w:shd w:val="clear" w:color="auto" w:fill="D9D9D9" w:themeFill="background1" w:themeFillShade="D9"/>
            <w:noWrap/>
            <w:vAlign w:val="bottom"/>
          </w:tcPr>
          <w:p w14:paraId="141BBE53" w14:textId="6D8FE563" w:rsidR="005E3FD4" w:rsidRPr="00830B63" w:rsidRDefault="005E3FD4" w:rsidP="005E3FD4">
            <w:pPr>
              <w:jc w:val="right"/>
              <w:rPr>
                <w:rFonts w:ascii="Calibri" w:hAnsi="Calibri" w:cs="Calibri"/>
                <w:b/>
                <w:bCs/>
                <w:color w:val="000000"/>
                <w:sz w:val="20"/>
                <w:szCs w:val="20"/>
              </w:rPr>
            </w:pPr>
            <w:r w:rsidRPr="00830B63">
              <w:rPr>
                <w:rFonts w:ascii="Calibri" w:hAnsi="Calibri" w:cs="Calibri"/>
                <w:b/>
                <w:bCs/>
                <w:color w:val="000000"/>
                <w:sz w:val="20"/>
                <w:szCs w:val="20"/>
              </w:rPr>
              <w:t>6 500</w:t>
            </w:r>
          </w:p>
        </w:tc>
        <w:tc>
          <w:tcPr>
            <w:tcW w:w="503" w:type="pct"/>
            <w:tcBorders>
              <w:top w:val="nil"/>
              <w:left w:val="nil"/>
              <w:bottom w:val="single" w:sz="8" w:space="0" w:color="DCE6F1"/>
              <w:right w:val="nil"/>
            </w:tcBorders>
            <w:shd w:val="clear" w:color="auto" w:fill="auto"/>
            <w:noWrap/>
            <w:vAlign w:val="bottom"/>
          </w:tcPr>
          <w:p w14:paraId="07612D9A" w14:textId="445FEF0A"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6 500</w:t>
            </w:r>
          </w:p>
        </w:tc>
        <w:tc>
          <w:tcPr>
            <w:tcW w:w="524" w:type="pct"/>
            <w:tcBorders>
              <w:top w:val="nil"/>
              <w:left w:val="nil"/>
              <w:bottom w:val="single" w:sz="8" w:space="0" w:color="DCE6F1"/>
              <w:right w:val="nil"/>
            </w:tcBorders>
            <w:shd w:val="clear" w:color="auto" w:fill="auto"/>
            <w:noWrap/>
            <w:vAlign w:val="bottom"/>
          </w:tcPr>
          <w:p w14:paraId="361F304F" w14:textId="2F623803"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6 500</w:t>
            </w:r>
          </w:p>
        </w:tc>
      </w:tr>
      <w:tr w:rsidR="005E3FD4" w:rsidRPr="00885138" w14:paraId="05D3D070" w14:textId="77777777" w:rsidTr="00380069">
        <w:trPr>
          <w:trHeight w:hRule="exact" w:val="284"/>
        </w:trPr>
        <w:tc>
          <w:tcPr>
            <w:tcW w:w="1457" w:type="pct"/>
            <w:tcBorders>
              <w:top w:val="nil"/>
              <w:left w:val="nil"/>
              <w:bottom w:val="single" w:sz="8" w:space="0" w:color="DCE6F1"/>
              <w:right w:val="nil"/>
            </w:tcBorders>
            <w:shd w:val="clear" w:color="auto" w:fill="auto"/>
            <w:noWrap/>
            <w:vAlign w:val="center"/>
            <w:hideMark/>
          </w:tcPr>
          <w:p w14:paraId="6E186E7D" w14:textId="77777777" w:rsidR="005E3FD4" w:rsidRPr="0006582E" w:rsidRDefault="005E3FD4" w:rsidP="005E3FD4">
            <w:pPr>
              <w:spacing w:after="0" w:line="240" w:lineRule="auto"/>
              <w:rPr>
                <w:rFonts w:ascii="Calibri" w:eastAsia="Times New Roman" w:hAnsi="Calibri" w:cs="Calibri"/>
                <w:color w:val="000000"/>
                <w:sz w:val="18"/>
                <w:szCs w:val="18"/>
                <w:lang w:eastAsia="sk-SK"/>
              </w:rPr>
            </w:pPr>
            <w:r w:rsidRPr="0006582E">
              <w:rPr>
                <w:rFonts w:ascii="Calibri" w:eastAsia="Times New Roman" w:hAnsi="Calibri" w:cs="Calibri"/>
                <w:color w:val="000000"/>
                <w:sz w:val="18"/>
                <w:szCs w:val="18"/>
                <w:lang w:eastAsia="sk-SK"/>
              </w:rPr>
              <w:t xml:space="preserve">Príjmy </w:t>
            </w:r>
            <w:proofErr w:type="spellStart"/>
            <w:r w:rsidRPr="0006582E">
              <w:rPr>
                <w:rFonts w:ascii="Calibri" w:eastAsia="Times New Roman" w:hAnsi="Calibri" w:cs="Calibri"/>
                <w:color w:val="000000"/>
                <w:sz w:val="18"/>
                <w:szCs w:val="18"/>
                <w:lang w:eastAsia="sk-SK"/>
              </w:rPr>
              <w:t>ZvZP</w:t>
            </w:r>
            <w:proofErr w:type="spellEnd"/>
            <w:r w:rsidRPr="0006582E">
              <w:rPr>
                <w:rFonts w:ascii="Calibri" w:eastAsia="Times New Roman" w:hAnsi="Calibri" w:cs="Calibri"/>
                <w:color w:val="000000"/>
                <w:sz w:val="18"/>
                <w:szCs w:val="18"/>
                <w:lang w:eastAsia="sk-SK"/>
              </w:rPr>
              <w:t xml:space="preserve"> - vzdelávanie</w:t>
            </w:r>
          </w:p>
        </w:tc>
        <w:tc>
          <w:tcPr>
            <w:tcW w:w="503" w:type="pct"/>
            <w:tcBorders>
              <w:top w:val="nil"/>
              <w:left w:val="nil"/>
              <w:bottom w:val="single" w:sz="8" w:space="0" w:color="DCE6F1"/>
              <w:right w:val="nil"/>
            </w:tcBorders>
            <w:vAlign w:val="bottom"/>
          </w:tcPr>
          <w:p w14:paraId="7ED56FEE" w14:textId="6661800A"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80 203</w:t>
            </w:r>
          </w:p>
        </w:tc>
        <w:tc>
          <w:tcPr>
            <w:tcW w:w="503" w:type="pct"/>
            <w:tcBorders>
              <w:top w:val="nil"/>
              <w:left w:val="nil"/>
              <w:bottom w:val="single" w:sz="8" w:space="0" w:color="DCE6F1"/>
              <w:right w:val="nil"/>
            </w:tcBorders>
            <w:shd w:val="clear" w:color="auto" w:fill="auto"/>
            <w:noWrap/>
            <w:vAlign w:val="bottom"/>
          </w:tcPr>
          <w:p w14:paraId="3A53A8B2" w14:textId="4579E130"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71 760</w:t>
            </w:r>
          </w:p>
        </w:tc>
        <w:tc>
          <w:tcPr>
            <w:tcW w:w="503" w:type="pct"/>
            <w:tcBorders>
              <w:top w:val="nil"/>
              <w:left w:val="nil"/>
              <w:bottom w:val="single" w:sz="8" w:space="0" w:color="DCE6F1"/>
              <w:right w:val="nil"/>
            </w:tcBorders>
            <w:shd w:val="clear" w:color="auto" w:fill="auto"/>
            <w:noWrap/>
            <w:vAlign w:val="bottom"/>
          </w:tcPr>
          <w:p w14:paraId="367B9519" w14:textId="54AA3C9D"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19 100</w:t>
            </w:r>
          </w:p>
        </w:tc>
        <w:tc>
          <w:tcPr>
            <w:tcW w:w="503" w:type="pct"/>
            <w:tcBorders>
              <w:top w:val="nil"/>
              <w:left w:val="nil"/>
              <w:bottom w:val="single" w:sz="8" w:space="0" w:color="DCE6F1"/>
              <w:right w:val="nil"/>
            </w:tcBorders>
            <w:shd w:val="clear" w:color="auto" w:fill="auto"/>
            <w:noWrap/>
            <w:vAlign w:val="bottom"/>
          </w:tcPr>
          <w:p w14:paraId="1480138A" w14:textId="21E447DA"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466 114</w:t>
            </w:r>
          </w:p>
        </w:tc>
        <w:tc>
          <w:tcPr>
            <w:tcW w:w="503" w:type="pct"/>
            <w:tcBorders>
              <w:top w:val="nil"/>
              <w:left w:val="nil"/>
              <w:bottom w:val="single" w:sz="8" w:space="0" w:color="DCE6F1"/>
              <w:right w:val="nil"/>
            </w:tcBorders>
            <w:shd w:val="clear" w:color="auto" w:fill="D9D9D9" w:themeFill="background1" w:themeFillShade="D9"/>
            <w:noWrap/>
            <w:vAlign w:val="bottom"/>
          </w:tcPr>
          <w:p w14:paraId="107A5DF7" w14:textId="4DA5307D" w:rsidR="005E3FD4" w:rsidRPr="00830B63" w:rsidRDefault="005E3FD4" w:rsidP="005E3FD4">
            <w:pPr>
              <w:jc w:val="right"/>
              <w:rPr>
                <w:rFonts w:ascii="Calibri" w:hAnsi="Calibri" w:cs="Calibri"/>
                <w:b/>
                <w:bCs/>
                <w:color w:val="000000"/>
                <w:sz w:val="20"/>
                <w:szCs w:val="20"/>
              </w:rPr>
            </w:pPr>
            <w:r w:rsidRPr="00830B63">
              <w:rPr>
                <w:rFonts w:ascii="Calibri" w:hAnsi="Calibri" w:cs="Calibri"/>
                <w:b/>
                <w:bCs/>
                <w:color w:val="000000"/>
                <w:sz w:val="20"/>
                <w:szCs w:val="20"/>
              </w:rPr>
              <w:t>28 000</w:t>
            </w:r>
          </w:p>
        </w:tc>
        <w:tc>
          <w:tcPr>
            <w:tcW w:w="503" w:type="pct"/>
            <w:tcBorders>
              <w:top w:val="nil"/>
              <w:left w:val="nil"/>
              <w:bottom w:val="single" w:sz="8" w:space="0" w:color="DCE6F1"/>
              <w:right w:val="nil"/>
            </w:tcBorders>
            <w:shd w:val="clear" w:color="auto" w:fill="auto"/>
            <w:noWrap/>
            <w:vAlign w:val="bottom"/>
          </w:tcPr>
          <w:p w14:paraId="4173957C" w14:textId="55421163"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28 500</w:t>
            </w:r>
          </w:p>
        </w:tc>
        <w:tc>
          <w:tcPr>
            <w:tcW w:w="524" w:type="pct"/>
            <w:tcBorders>
              <w:top w:val="nil"/>
              <w:left w:val="nil"/>
              <w:bottom w:val="single" w:sz="8" w:space="0" w:color="DCE6F1"/>
              <w:right w:val="nil"/>
            </w:tcBorders>
            <w:shd w:val="clear" w:color="auto" w:fill="auto"/>
            <w:noWrap/>
            <w:vAlign w:val="bottom"/>
          </w:tcPr>
          <w:p w14:paraId="0A3A9E33" w14:textId="62A1E4F8" w:rsidR="005E3FD4" w:rsidRPr="00591ED5" w:rsidRDefault="005E3FD4" w:rsidP="005E3FD4">
            <w:pPr>
              <w:jc w:val="right"/>
              <w:rPr>
                <w:rFonts w:ascii="Calibri" w:hAnsi="Calibri" w:cs="Calibri"/>
                <w:color w:val="000000"/>
                <w:sz w:val="20"/>
                <w:szCs w:val="20"/>
              </w:rPr>
            </w:pPr>
            <w:r w:rsidRPr="00591ED5">
              <w:rPr>
                <w:rFonts w:ascii="Calibri" w:hAnsi="Calibri" w:cs="Calibri"/>
                <w:color w:val="000000"/>
                <w:sz w:val="20"/>
                <w:szCs w:val="20"/>
              </w:rPr>
              <w:t>29 000</w:t>
            </w:r>
          </w:p>
        </w:tc>
      </w:tr>
    </w:tbl>
    <w:p w14:paraId="7BC439C2" w14:textId="6A885D37" w:rsidR="00C8280C" w:rsidRPr="00D75A57" w:rsidRDefault="00C8280C" w:rsidP="00BA6535">
      <w:pPr>
        <w:spacing w:after="0" w:line="240" w:lineRule="auto"/>
        <w:jc w:val="both"/>
        <w:rPr>
          <w:rFonts w:cstheme="minorHAnsi"/>
          <w:b/>
          <w:bCs/>
          <w:sz w:val="24"/>
          <w:szCs w:val="24"/>
        </w:rPr>
      </w:pPr>
      <w:r w:rsidRPr="00433778">
        <w:rPr>
          <w:rFonts w:cstheme="minorHAnsi"/>
          <w:b/>
          <w:sz w:val="24"/>
          <w:szCs w:val="24"/>
        </w:rPr>
        <w:lastRenderedPageBreak/>
        <w:t>Nedaňové príjmy</w:t>
      </w:r>
      <w:r>
        <w:rPr>
          <w:rFonts w:cstheme="minorHAnsi"/>
          <w:sz w:val="24"/>
          <w:szCs w:val="24"/>
        </w:rPr>
        <w:t xml:space="preserve"> </w:t>
      </w:r>
      <w:r w:rsidRPr="00433778">
        <w:rPr>
          <w:rFonts w:cstheme="minorHAnsi"/>
          <w:sz w:val="24"/>
          <w:szCs w:val="24"/>
        </w:rPr>
        <w:t xml:space="preserve">získava kraj z činnosti organizácii v zriaďovateľskej pôsobnosti BSK </w:t>
      </w:r>
      <w:r>
        <w:rPr>
          <w:rFonts w:cstheme="minorHAnsi"/>
          <w:sz w:val="24"/>
          <w:szCs w:val="24"/>
        </w:rPr>
        <w:t xml:space="preserve">a úradu </w:t>
      </w:r>
      <w:r w:rsidRPr="00433778">
        <w:rPr>
          <w:rFonts w:cstheme="minorHAnsi"/>
          <w:sz w:val="24"/>
          <w:szCs w:val="24"/>
        </w:rPr>
        <w:t xml:space="preserve">na úseku </w:t>
      </w:r>
      <w:r>
        <w:rPr>
          <w:rFonts w:cstheme="minorHAnsi"/>
          <w:sz w:val="24"/>
          <w:szCs w:val="24"/>
        </w:rPr>
        <w:t>vzdelávania</w:t>
      </w:r>
      <w:r w:rsidRPr="00433778">
        <w:rPr>
          <w:rFonts w:cstheme="minorHAnsi"/>
          <w:sz w:val="24"/>
          <w:szCs w:val="24"/>
        </w:rPr>
        <w:t xml:space="preserve">, sociálneho zabezpečenia, dopravy, z kapitálových príjmov a z úrokov z prostriedkov vlastného hospodárenia. </w:t>
      </w:r>
      <w:r w:rsidRPr="00D75A57">
        <w:rPr>
          <w:rFonts w:cstheme="minorHAnsi"/>
          <w:b/>
          <w:bCs/>
          <w:sz w:val="24"/>
          <w:szCs w:val="24"/>
        </w:rPr>
        <w:t>Príjmy z podnikania a z vlastníctva majetku</w:t>
      </w:r>
      <w:r w:rsidRPr="00D75A57">
        <w:rPr>
          <w:rFonts w:cstheme="minorHAnsi"/>
          <w:bCs/>
          <w:sz w:val="24"/>
          <w:szCs w:val="24"/>
        </w:rPr>
        <w:t xml:space="preserve"> </w:t>
      </w:r>
      <w:r w:rsidRPr="00E55E55">
        <w:rPr>
          <w:rFonts w:cstheme="minorHAnsi"/>
          <w:sz w:val="24"/>
          <w:szCs w:val="24"/>
        </w:rPr>
        <w:t>z nájomného za prenájom pozemkov, budov, objektov a ďalšieho majetku vo vlastníctve samosprávneho kraja, ako</w:t>
      </w:r>
      <w:r w:rsidRPr="002054C4">
        <w:rPr>
          <w:rFonts w:cstheme="minorHAnsi"/>
          <w:sz w:val="24"/>
          <w:szCs w:val="24"/>
        </w:rPr>
        <w:t xml:space="preserve"> aj príjmy za majetok zverený do správy jednotlivým rozpočtovým organizáciám v zriaďovateľskej pôsobnosti</w:t>
      </w:r>
      <w:r w:rsidRPr="00433778">
        <w:rPr>
          <w:rFonts w:cstheme="minorHAnsi"/>
          <w:sz w:val="24"/>
          <w:szCs w:val="24"/>
        </w:rPr>
        <w:t xml:space="preserve"> </w:t>
      </w:r>
      <w:r>
        <w:rPr>
          <w:rFonts w:cstheme="minorHAnsi"/>
          <w:sz w:val="24"/>
          <w:szCs w:val="24"/>
        </w:rPr>
        <w:t xml:space="preserve">kraja. </w:t>
      </w:r>
      <w:r w:rsidRPr="00D75A57">
        <w:rPr>
          <w:rFonts w:cstheme="minorHAnsi"/>
          <w:bCs/>
          <w:sz w:val="24"/>
          <w:szCs w:val="24"/>
        </w:rPr>
        <w:t xml:space="preserve">Predpokladaná suma príjmov v tejto oblasti </w:t>
      </w:r>
      <w:r w:rsidRPr="004F6E37">
        <w:rPr>
          <w:rFonts w:cstheme="minorHAnsi"/>
          <w:b/>
          <w:sz w:val="24"/>
          <w:szCs w:val="24"/>
        </w:rPr>
        <w:t>pre rok 202</w:t>
      </w:r>
      <w:r w:rsidR="0026506A">
        <w:rPr>
          <w:rFonts w:cstheme="minorHAnsi"/>
          <w:b/>
          <w:sz w:val="24"/>
          <w:szCs w:val="24"/>
        </w:rPr>
        <w:t>5</w:t>
      </w:r>
      <w:r w:rsidRPr="00D75A57">
        <w:rPr>
          <w:rFonts w:cstheme="minorHAnsi"/>
          <w:bCs/>
          <w:sz w:val="24"/>
          <w:szCs w:val="24"/>
        </w:rPr>
        <w:t xml:space="preserve"> je zosumarizovaná zhrnutím všetkých súčasných zmluvných vzťahov a z budúcich možných prenájmov vrátane príjmov organizácii v ZP BSK v celkovej výške </w:t>
      </w:r>
      <w:r w:rsidR="00215D21" w:rsidRPr="00215D21">
        <w:rPr>
          <w:rFonts w:cstheme="minorHAnsi"/>
          <w:b/>
          <w:bCs/>
          <w:sz w:val="24"/>
          <w:szCs w:val="24"/>
        </w:rPr>
        <w:t>1 852</w:t>
      </w:r>
      <w:r w:rsidR="00215D21">
        <w:rPr>
          <w:rFonts w:cstheme="minorHAnsi"/>
          <w:b/>
          <w:bCs/>
          <w:sz w:val="24"/>
          <w:szCs w:val="24"/>
        </w:rPr>
        <w:t> </w:t>
      </w:r>
      <w:r w:rsidR="00215D21" w:rsidRPr="00215D21">
        <w:rPr>
          <w:rFonts w:cstheme="minorHAnsi"/>
          <w:b/>
          <w:bCs/>
          <w:sz w:val="24"/>
          <w:szCs w:val="24"/>
        </w:rPr>
        <w:t>357</w:t>
      </w:r>
      <w:r w:rsidR="00215D21">
        <w:rPr>
          <w:rFonts w:cstheme="minorHAnsi"/>
          <w:b/>
          <w:bCs/>
          <w:sz w:val="24"/>
          <w:szCs w:val="24"/>
        </w:rPr>
        <w:t xml:space="preserve"> </w:t>
      </w:r>
      <w:r w:rsidRPr="00D75A57">
        <w:rPr>
          <w:rFonts w:cstheme="minorHAnsi"/>
          <w:b/>
          <w:bCs/>
          <w:sz w:val="24"/>
          <w:szCs w:val="24"/>
        </w:rPr>
        <w:t>€.</w:t>
      </w:r>
    </w:p>
    <w:p w14:paraId="31E8CB80" w14:textId="77777777" w:rsidR="00C8280C" w:rsidRDefault="00C8280C" w:rsidP="00BA6535">
      <w:pPr>
        <w:spacing w:after="0" w:line="240" w:lineRule="auto"/>
        <w:jc w:val="both"/>
        <w:rPr>
          <w:rFonts w:cstheme="minorHAnsi"/>
          <w:sz w:val="24"/>
          <w:szCs w:val="24"/>
        </w:rPr>
      </w:pPr>
    </w:p>
    <w:p w14:paraId="4AD3C970" w14:textId="77777777" w:rsidR="00C8280C" w:rsidRPr="00D75A57" w:rsidRDefault="00C8280C" w:rsidP="00BA6535">
      <w:pPr>
        <w:spacing w:after="0" w:line="240" w:lineRule="auto"/>
        <w:jc w:val="both"/>
        <w:rPr>
          <w:rFonts w:cstheme="minorHAnsi"/>
          <w:sz w:val="24"/>
          <w:szCs w:val="24"/>
        </w:rPr>
      </w:pPr>
      <w:r w:rsidRPr="00D75A57">
        <w:rPr>
          <w:rFonts w:cstheme="minorHAnsi"/>
          <w:sz w:val="24"/>
          <w:szCs w:val="24"/>
        </w:rPr>
        <w:t xml:space="preserve">V  kategórii </w:t>
      </w:r>
      <w:r w:rsidRPr="00D75A57">
        <w:rPr>
          <w:rFonts w:cstheme="minorHAnsi"/>
          <w:b/>
          <w:sz w:val="24"/>
          <w:szCs w:val="24"/>
        </w:rPr>
        <w:t>administratívne a iné poplatky a platby</w:t>
      </w:r>
      <w:r w:rsidRPr="00D75A57">
        <w:rPr>
          <w:rFonts w:cstheme="minorHAnsi"/>
          <w:sz w:val="24"/>
          <w:szCs w:val="24"/>
        </w:rPr>
        <w:t xml:space="preserve"> sú podstatné najmä dve príjmové položky v rámci úradu:</w:t>
      </w:r>
      <w:r>
        <w:rPr>
          <w:rFonts w:cstheme="minorHAnsi"/>
          <w:sz w:val="24"/>
          <w:szCs w:val="24"/>
        </w:rPr>
        <w:t xml:space="preserve"> </w:t>
      </w:r>
      <w:r w:rsidRPr="00D75A57">
        <w:rPr>
          <w:rFonts w:cstheme="minorHAnsi"/>
          <w:b/>
          <w:bCs/>
          <w:sz w:val="24"/>
          <w:szCs w:val="24"/>
        </w:rPr>
        <w:t xml:space="preserve">príjmy za vydané povolenia na poskytovanie zdravotnej starostlivosti </w:t>
      </w:r>
      <w:r w:rsidRPr="00D75A57">
        <w:rPr>
          <w:rFonts w:cstheme="minorHAnsi"/>
          <w:bCs/>
          <w:sz w:val="24"/>
          <w:szCs w:val="24"/>
        </w:rPr>
        <w:t xml:space="preserve">(príjmy za vydané licencie a </w:t>
      </w:r>
      <w:r w:rsidRPr="00D75A57">
        <w:rPr>
          <w:rFonts w:cstheme="minorHAnsi"/>
          <w:sz w:val="24"/>
          <w:szCs w:val="24"/>
        </w:rPr>
        <w:t>z poplatkov za etické posudky),</w:t>
      </w:r>
      <w:r>
        <w:rPr>
          <w:rFonts w:cstheme="minorHAnsi"/>
          <w:sz w:val="24"/>
          <w:szCs w:val="24"/>
        </w:rPr>
        <w:t xml:space="preserve"> </w:t>
      </w:r>
      <w:r w:rsidRPr="00D75A57">
        <w:rPr>
          <w:rFonts w:cstheme="minorHAnsi"/>
          <w:sz w:val="24"/>
          <w:szCs w:val="24"/>
        </w:rPr>
        <w:t xml:space="preserve">a </w:t>
      </w:r>
      <w:r w:rsidRPr="00D75A57">
        <w:rPr>
          <w:rFonts w:cstheme="minorHAnsi"/>
          <w:b/>
          <w:bCs/>
          <w:sz w:val="24"/>
          <w:szCs w:val="24"/>
        </w:rPr>
        <w:t>príjmy za vydané licencie pre dopravcov</w:t>
      </w:r>
      <w:r>
        <w:rPr>
          <w:rFonts w:cstheme="minorHAnsi"/>
          <w:b/>
          <w:bCs/>
          <w:sz w:val="24"/>
          <w:szCs w:val="24"/>
        </w:rPr>
        <w:t xml:space="preserve"> </w:t>
      </w:r>
      <w:r>
        <w:rPr>
          <w:rFonts w:cstheme="minorHAnsi"/>
          <w:bCs/>
          <w:sz w:val="24"/>
          <w:szCs w:val="24"/>
        </w:rPr>
        <w:t>(</w:t>
      </w:r>
      <w:r w:rsidRPr="00D75A57">
        <w:rPr>
          <w:rFonts w:cstheme="minorHAnsi"/>
          <w:bCs/>
          <w:sz w:val="24"/>
          <w:szCs w:val="24"/>
        </w:rPr>
        <w:t>*licencie, poplatky za vydanie vodičských preukazov, kolaudačné rozhodnutia, stavebné povolenia, cestovné poriadky</w:t>
      </w:r>
      <w:r>
        <w:rPr>
          <w:rFonts w:cstheme="minorHAnsi"/>
          <w:bCs/>
          <w:sz w:val="24"/>
          <w:szCs w:val="24"/>
        </w:rPr>
        <w:t xml:space="preserve"> a iné</w:t>
      </w:r>
      <w:r w:rsidRPr="00D75A57">
        <w:rPr>
          <w:rFonts w:cstheme="minorHAnsi"/>
          <w:bCs/>
          <w:sz w:val="24"/>
          <w:szCs w:val="24"/>
        </w:rPr>
        <w:t>)</w:t>
      </w:r>
      <w:r>
        <w:rPr>
          <w:rFonts w:cstheme="minorHAnsi"/>
          <w:bCs/>
          <w:sz w:val="24"/>
          <w:szCs w:val="24"/>
        </w:rPr>
        <w:t>.</w:t>
      </w:r>
    </w:p>
    <w:p w14:paraId="39E3A2A8" w14:textId="1200A26D" w:rsidR="00C8280C" w:rsidRDefault="00C8280C" w:rsidP="00BA6535">
      <w:pPr>
        <w:spacing w:after="0" w:line="240" w:lineRule="auto"/>
        <w:jc w:val="both"/>
        <w:rPr>
          <w:rFonts w:cstheme="minorHAnsi"/>
          <w:b/>
          <w:bCs/>
          <w:sz w:val="24"/>
          <w:szCs w:val="24"/>
        </w:rPr>
      </w:pPr>
      <w:r w:rsidRPr="00D75A57">
        <w:rPr>
          <w:rFonts w:cstheme="minorHAnsi"/>
          <w:bCs/>
          <w:sz w:val="24"/>
          <w:szCs w:val="24"/>
        </w:rPr>
        <w:t xml:space="preserve">Výška príjmov z licencií závisí najmä od počtu predložených žiadostí v priebehu roka, resp. od počtu vydaných licencii a od sadzieb poplatkov za udelenie licencii. </w:t>
      </w:r>
      <w:r w:rsidRPr="004F6E37">
        <w:rPr>
          <w:rFonts w:cstheme="minorHAnsi"/>
          <w:b/>
          <w:sz w:val="24"/>
          <w:szCs w:val="24"/>
        </w:rPr>
        <w:t>Pre rok 202</w:t>
      </w:r>
      <w:r w:rsidR="0026506A">
        <w:rPr>
          <w:rFonts w:cstheme="minorHAnsi"/>
          <w:b/>
          <w:sz w:val="24"/>
          <w:szCs w:val="24"/>
        </w:rPr>
        <w:t>5</w:t>
      </w:r>
      <w:r w:rsidRPr="00D75A57">
        <w:rPr>
          <w:rFonts w:cstheme="minorHAnsi"/>
          <w:bCs/>
          <w:sz w:val="24"/>
          <w:szCs w:val="24"/>
        </w:rPr>
        <w:t xml:space="preserve"> administratív</w:t>
      </w:r>
      <w:r>
        <w:rPr>
          <w:rFonts w:cstheme="minorHAnsi"/>
          <w:bCs/>
          <w:sz w:val="24"/>
          <w:szCs w:val="24"/>
        </w:rPr>
        <w:t xml:space="preserve">ne a iné poplatky a platby </w:t>
      </w:r>
      <w:r w:rsidRPr="00D75A57">
        <w:rPr>
          <w:rFonts w:cstheme="minorHAnsi"/>
          <w:bCs/>
          <w:sz w:val="24"/>
          <w:szCs w:val="24"/>
        </w:rPr>
        <w:t>rozpočt</w:t>
      </w:r>
      <w:r>
        <w:rPr>
          <w:rFonts w:cstheme="minorHAnsi"/>
          <w:bCs/>
          <w:sz w:val="24"/>
          <w:szCs w:val="24"/>
        </w:rPr>
        <w:t xml:space="preserve">ujeme </w:t>
      </w:r>
      <w:r w:rsidRPr="00D75A57">
        <w:rPr>
          <w:rFonts w:cstheme="minorHAnsi"/>
          <w:bCs/>
          <w:sz w:val="24"/>
          <w:szCs w:val="24"/>
        </w:rPr>
        <w:t xml:space="preserve">vrátane príjmov organizácii v ZP BSK v celkovej výške </w:t>
      </w:r>
      <w:r w:rsidR="00215D21" w:rsidRPr="00215D21">
        <w:rPr>
          <w:rFonts w:cstheme="minorHAnsi"/>
          <w:b/>
          <w:bCs/>
          <w:sz w:val="24"/>
          <w:szCs w:val="24"/>
        </w:rPr>
        <w:t>9 954 271</w:t>
      </w:r>
      <w:r w:rsidR="00BA6535">
        <w:rPr>
          <w:rFonts w:cstheme="minorHAnsi"/>
          <w:b/>
          <w:bCs/>
          <w:sz w:val="24"/>
          <w:szCs w:val="24"/>
        </w:rPr>
        <w:t xml:space="preserve"> </w:t>
      </w:r>
      <w:r>
        <w:rPr>
          <w:rFonts w:cstheme="minorHAnsi"/>
          <w:b/>
          <w:bCs/>
          <w:sz w:val="24"/>
          <w:szCs w:val="24"/>
        </w:rPr>
        <w:t>€.</w:t>
      </w:r>
    </w:p>
    <w:p w14:paraId="6CE3E01E" w14:textId="77777777" w:rsidR="00C8280C" w:rsidRDefault="00C8280C" w:rsidP="00BA6535">
      <w:pPr>
        <w:spacing w:after="0" w:line="240" w:lineRule="auto"/>
        <w:jc w:val="both"/>
        <w:rPr>
          <w:rFonts w:cstheme="minorHAnsi"/>
          <w:sz w:val="24"/>
          <w:szCs w:val="24"/>
        </w:rPr>
      </w:pPr>
    </w:p>
    <w:p w14:paraId="7D19DDF9" w14:textId="657784EC" w:rsidR="00C8280C" w:rsidRDefault="00525408" w:rsidP="00BA6535">
      <w:pPr>
        <w:shd w:val="clear" w:color="auto" w:fill="FFFFFF" w:themeFill="background1"/>
        <w:spacing w:after="0" w:line="240" w:lineRule="auto"/>
        <w:jc w:val="both"/>
        <w:rPr>
          <w:rFonts w:cstheme="minorHAnsi"/>
          <w:b/>
          <w:sz w:val="24"/>
          <w:szCs w:val="24"/>
        </w:rPr>
      </w:pPr>
      <w:r w:rsidRPr="00260913">
        <w:rPr>
          <w:rFonts w:cstheme="minorHAnsi"/>
          <w:b/>
          <w:bCs/>
          <w:sz w:val="24"/>
          <w:szCs w:val="24"/>
        </w:rPr>
        <w:t>Pre roky 202</w:t>
      </w:r>
      <w:r>
        <w:rPr>
          <w:rFonts w:cstheme="minorHAnsi"/>
          <w:b/>
          <w:bCs/>
          <w:sz w:val="24"/>
          <w:szCs w:val="24"/>
        </w:rPr>
        <w:t>5</w:t>
      </w:r>
      <w:r>
        <w:rPr>
          <w:rFonts w:cstheme="minorHAnsi"/>
          <w:sz w:val="24"/>
          <w:szCs w:val="24"/>
        </w:rPr>
        <w:t xml:space="preserve"> BSK </w:t>
      </w:r>
      <w:r w:rsidRPr="008A7371">
        <w:rPr>
          <w:rFonts w:cstheme="minorHAnsi"/>
          <w:b/>
          <w:bCs/>
          <w:sz w:val="24"/>
          <w:szCs w:val="24"/>
        </w:rPr>
        <w:t>kapitálové príjmy</w:t>
      </w:r>
      <w:r w:rsidRPr="00A60965">
        <w:rPr>
          <w:rFonts w:cstheme="minorHAnsi"/>
          <w:sz w:val="24"/>
          <w:szCs w:val="24"/>
        </w:rPr>
        <w:t xml:space="preserve"> </w:t>
      </w:r>
      <w:r w:rsidR="008204FE">
        <w:rPr>
          <w:rFonts w:cstheme="minorHAnsi"/>
          <w:sz w:val="24"/>
          <w:szCs w:val="24"/>
        </w:rPr>
        <w:t xml:space="preserve">z </w:t>
      </w:r>
      <w:r w:rsidR="008A7371" w:rsidRPr="00D75A57">
        <w:rPr>
          <w:rFonts w:cstheme="minorHAnsi"/>
          <w:sz w:val="24"/>
          <w:szCs w:val="24"/>
        </w:rPr>
        <w:t>prebytočného hnuteľného a nehnuteľného majetku BSK</w:t>
      </w:r>
      <w:r w:rsidR="008A7371">
        <w:rPr>
          <w:rFonts w:cstheme="minorHAnsi"/>
          <w:sz w:val="24"/>
          <w:szCs w:val="24"/>
        </w:rPr>
        <w:t xml:space="preserve"> </w:t>
      </w:r>
      <w:r w:rsidRPr="00F4420A">
        <w:rPr>
          <w:b/>
          <w:bCs/>
        </w:rPr>
        <w:t>ne</w:t>
      </w:r>
      <w:r w:rsidRPr="00F4420A">
        <w:rPr>
          <w:rFonts w:cstheme="minorHAnsi"/>
          <w:b/>
          <w:bCs/>
          <w:sz w:val="24"/>
          <w:szCs w:val="24"/>
        </w:rPr>
        <w:t>r</w:t>
      </w:r>
      <w:r w:rsidRPr="00785290">
        <w:rPr>
          <w:rFonts w:cstheme="minorHAnsi"/>
          <w:b/>
          <w:bCs/>
          <w:sz w:val="24"/>
          <w:szCs w:val="24"/>
        </w:rPr>
        <w:t>ozpočtuje</w:t>
      </w:r>
      <w:r>
        <w:rPr>
          <w:rFonts w:cstheme="minorHAnsi"/>
          <w:sz w:val="24"/>
          <w:szCs w:val="24"/>
        </w:rPr>
        <w:t xml:space="preserve">. </w:t>
      </w:r>
      <w:r w:rsidR="00980690">
        <w:rPr>
          <w:rFonts w:cstheme="minorHAnsi"/>
          <w:sz w:val="24"/>
          <w:szCs w:val="24"/>
        </w:rPr>
        <w:t>A</w:t>
      </w:r>
      <w:r w:rsidR="00BB1C38">
        <w:rPr>
          <w:rFonts w:cstheme="minorHAnsi"/>
          <w:sz w:val="24"/>
          <w:szCs w:val="24"/>
        </w:rPr>
        <w:t xml:space="preserve">k sa BSK rozhodne pristúpiť k predaju </w:t>
      </w:r>
      <w:r w:rsidR="00980690">
        <w:rPr>
          <w:rFonts w:cstheme="minorHAnsi"/>
          <w:sz w:val="24"/>
          <w:szCs w:val="24"/>
        </w:rPr>
        <w:t>takéhoto majetku</w:t>
      </w:r>
      <w:r w:rsidR="0064162F">
        <w:rPr>
          <w:rFonts w:cstheme="minorHAnsi"/>
          <w:sz w:val="24"/>
          <w:szCs w:val="24"/>
        </w:rPr>
        <w:t>,</w:t>
      </w:r>
      <w:r w:rsidR="00C8280C" w:rsidRPr="00D75A57">
        <w:rPr>
          <w:rFonts w:cstheme="minorHAnsi"/>
          <w:sz w:val="24"/>
          <w:szCs w:val="24"/>
        </w:rPr>
        <w:t xml:space="preserve"> </w:t>
      </w:r>
      <w:r w:rsidR="0064162F" w:rsidRPr="00CA578B">
        <w:rPr>
          <w:rFonts w:cstheme="minorHAnsi"/>
          <w:sz w:val="24"/>
          <w:szCs w:val="24"/>
        </w:rPr>
        <w:t xml:space="preserve">bude realizovaný po schválení Zastupiteľstvom </w:t>
      </w:r>
      <w:r w:rsidR="0064162F">
        <w:rPr>
          <w:rFonts w:cstheme="minorHAnsi"/>
          <w:sz w:val="24"/>
          <w:szCs w:val="24"/>
        </w:rPr>
        <w:t>BSK</w:t>
      </w:r>
      <w:r w:rsidR="008A7371">
        <w:rPr>
          <w:rFonts w:cstheme="minorHAnsi"/>
          <w:sz w:val="24"/>
          <w:szCs w:val="24"/>
        </w:rPr>
        <w:t xml:space="preserve">. </w:t>
      </w:r>
    </w:p>
    <w:p w14:paraId="64659C0E" w14:textId="77777777" w:rsidR="00C8280C" w:rsidRDefault="00C8280C" w:rsidP="00BA6535">
      <w:pPr>
        <w:spacing w:after="0" w:line="240" w:lineRule="auto"/>
        <w:jc w:val="both"/>
        <w:rPr>
          <w:rFonts w:cstheme="minorHAnsi"/>
          <w:sz w:val="24"/>
          <w:szCs w:val="24"/>
        </w:rPr>
      </w:pPr>
    </w:p>
    <w:p w14:paraId="2920B601" w14:textId="03A088D9" w:rsidR="00C8280C" w:rsidRPr="00D75A57" w:rsidRDefault="00C8280C" w:rsidP="00BA6535">
      <w:pPr>
        <w:spacing w:after="0" w:line="240" w:lineRule="auto"/>
        <w:jc w:val="both"/>
        <w:rPr>
          <w:rFonts w:cstheme="minorHAnsi"/>
          <w:sz w:val="24"/>
          <w:szCs w:val="24"/>
        </w:rPr>
      </w:pPr>
      <w:r w:rsidRPr="00D75A57">
        <w:rPr>
          <w:rFonts w:cstheme="minorHAnsi"/>
          <w:sz w:val="24"/>
          <w:szCs w:val="24"/>
        </w:rPr>
        <w:t xml:space="preserve">Príjmy vo forme </w:t>
      </w:r>
      <w:r w:rsidRPr="00D75A57">
        <w:rPr>
          <w:rFonts w:cstheme="minorHAnsi"/>
          <w:b/>
          <w:sz w:val="24"/>
          <w:szCs w:val="24"/>
        </w:rPr>
        <w:t>úrokov</w:t>
      </w:r>
      <w:r w:rsidRPr="00D75A57">
        <w:rPr>
          <w:rFonts w:cstheme="minorHAnsi"/>
          <w:sz w:val="24"/>
          <w:szCs w:val="24"/>
        </w:rPr>
        <w:t xml:space="preserve"> predstavujú najmä úroky z účtov finančného hospodárenia a terminovaných vkladov. Výška týchto príjmov je závislá predovšetkým na objeme dočasne voľných finančných zdrojov BSK v priebehu rozpočtového roka a výške úrokových sadzieb. </w:t>
      </w:r>
      <w:r w:rsidRPr="004F6E37">
        <w:rPr>
          <w:rFonts w:cstheme="minorHAnsi"/>
          <w:b/>
          <w:bCs/>
          <w:sz w:val="24"/>
          <w:szCs w:val="24"/>
        </w:rPr>
        <w:t>Pre rok 202</w:t>
      </w:r>
      <w:r w:rsidR="0026506A">
        <w:rPr>
          <w:rFonts w:cstheme="minorHAnsi"/>
          <w:b/>
          <w:bCs/>
          <w:sz w:val="24"/>
          <w:szCs w:val="24"/>
        </w:rPr>
        <w:t>5</w:t>
      </w:r>
      <w:r>
        <w:rPr>
          <w:rFonts w:cstheme="minorHAnsi"/>
          <w:b/>
          <w:bCs/>
          <w:sz w:val="24"/>
          <w:szCs w:val="24"/>
        </w:rPr>
        <w:t xml:space="preserve"> </w:t>
      </w:r>
      <w:r>
        <w:rPr>
          <w:rFonts w:cstheme="minorHAnsi"/>
          <w:sz w:val="24"/>
          <w:szCs w:val="24"/>
        </w:rPr>
        <w:t>túto kategóriu</w:t>
      </w:r>
      <w:r>
        <w:rPr>
          <w:rFonts w:cstheme="minorHAnsi"/>
          <w:b/>
          <w:bCs/>
          <w:sz w:val="24"/>
          <w:szCs w:val="24"/>
        </w:rPr>
        <w:t xml:space="preserve"> </w:t>
      </w:r>
      <w:r w:rsidR="001856CA">
        <w:rPr>
          <w:rFonts w:cstheme="minorHAnsi"/>
          <w:b/>
          <w:bCs/>
          <w:sz w:val="24"/>
          <w:szCs w:val="24"/>
        </w:rPr>
        <w:t xml:space="preserve">rozpočtujeme v objeme </w:t>
      </w:r>
      <w:r w:rsidR="005C4332" w:rsidRPr="005C4332">
        <w:rPr>
          <w:rFonts w:cstheme="minorHAnsi"/>
          <w:b/>
          <w:bCs/>
          <w:sz w:val="24"/>
          <w:szCs w:val="24"/>
        </w:rPr>
        <w:t>510</w:t>
      </w:r>
      <w:r w:rsidR="005C4332">
        <w:rPr>
          <w:rFonts w:cstheme="minorHAnsi"/>
          <w:b/>
          <w:bCs/>
          <w:sz w:val="24"/>
          <w:szCs w:val="24"/>
        </w:rPr>
        <w:t> </w:t>
      </w:r>
      <w:r w:rsidR="005C4332" w:rsidRPr="005C4332">
        <w:rPr>
          <w:rFonts w:cstheme="minorHAnsi"/>
          <w:b/>
          <w:bCs/>
          <w:sz w:val="24"/>
          <w:szCs w:val="24"/>
        </w:rPr>
        <w:t>000</w:t>
      </w:r>
      <w:r w:rsidR="005C4332">
        <w:rPr>
          <w:rFonts w:cstheme="minorHAnsi"/>
          <w:b/>
          <w:bCs/>
          <w:sz w:val="24"/>
          <w:szCs w:val="24"/>
        </w:rPr>
        <w:t xml:space="preserve"> </w:t>
      </w:r>
      <w:r w:rsidR="0089403C" w:rsidRPr="00A60965">
        <w:rPr>
          <w:rFonts w:cstheme="minorHAnsi"/>
          <w:b/>
          <w:sz w:val="24"/>
          <w:szCs w:val="24"/>
        </w:rPr>
        <w:t>€</w:t>
      </w:r>
      <w:r>
        <w:rPr>
          <w:rFonts w:cstheme="minorHAnsi"/>
          <w:sz w:val="24"/>
          <w:szCs w:val="24"/>
        </w:rPr>
        <w:t>.</w:t>
      </w:r>
    </w:p>
    <w:p w14:paraId="66F313EF" w14:textId="77777777" w:rsidR="00C8280C" w:rsidRDefault="00C8280C" w:rsidP="00BA6535">
      <w:pPr>
        <w:spacing w:after="0" w:line="240" w:lineRule="auto"/>
        <w:jc w:val="both"/>
        <w:rPr>
          <w:rFonts w:cstheme="minorHAnsi"/>
          <w:b/>
          <w:sz w:val="24"/>
          <w:szCs w:val="24"/>
        </w:rPr>
      </w:pPr>
    </w:p>
    <w:p w14:paraId="1650B448" w14:textId="64306EC4" w:rsidR="00C8280C" w:rsidRDefault="00C8280C" w:rsidP="00BA6535">
      <w:pPr>
        <w:spacing w:after="0" w:line="240" w:lineRule="auto"/>
        <w:jc w:val="both"/>
        <w:rPr>
          <w:rFonts w:cstheme="minorHAnsi"/>
          <w:sz w:val="24"/>
          <w:szCs w:val="24"/>
        </w:rPr>
      </w:pPr>
      <w:r w:rsidRPr="00D75A57">
        <w:rPr>
          <w:rFonts w:cstheme="minorHAnsi"/>
          <w:b/>
          <w:sz w:val="24"/>
          <w:szCs w:val="24"/>
        </w:rPr>
        <w:t>Iné nedaňové príjmy</w:t>
      </w:r>
      <w:r w:rsidRPr="00D75A57">
        <w:rPr>
          <w:rFonts w:cstheme="minorHAnsi"/>
          <w:sz w:val="24"/>
          <w:szCs w:val="24"/>
        </w:rPr>
        <w:t xml:space="preserve"> tvoria najmä</w:t>
      </w:r>
      <w:r w:rsidRPr="00D75A57">
        <w:rPr>
          <w:rFonts w:cstheme="minorHAnsi"/>
          <w:iCs/>
          <w:sz w:val="24"/>
          <w:szCs w:val="24"/>
        </w:rPr>
        <w:t xml:space="preserve"> vrátené nevyčerpané bežné príspevky, dotácie, transfery</w:t>
      </w:r>
      <w:r>
        <w:rPr>
          <w:rFonts w:cstheme="minorHAnsi"/>
          <w:iCs/>
          <w:sz w:val="24"/>
          <w:szCs w:val="24"/>
        </w:rPr>
        <w:t>, dobropisy a </w:t>
      </w:r>
      <w:proofErr w:type="spellStart"/>
      <w:r>
        <w:rPr>
          <w:rFonts w:cstheme="minorHAnsi"/>
          <w:iCs/>
          <w:sz w:val="24"/>
          <w:szCs w:val="24"/>
        </w:rPr>
        <w:t>vratky</w:t>
      </w:r>
      <w:proofErr w:type="spellEnd"/>
      <w:r w:rsidRPr="00D75A57">
        <w:rPr>
          <w:rFonts w:cstheme="minorHAnsi"/>
          <w:iCs/>
          <w:sz w:val="24"/>
          <w:szCs w:val="24"/>
        </w:rPr>
        <w:t xml:space="preserve">. </w:t>
      </w:r>
      <w:r w:rsidRPr="004F6E37">
        <w:rPr>
          <w:rFonts w:cstheme="minorHAnsi"/>
          <w:b/>
          <w:bCs/>
          <w:sz w:val="24"/>
          <w:szCs w:val="24"/>
        </w:rPr>
        <w:t>Pre rok 202</w:t>
      </w:r>
      <w:r w:rsidR="0026506A">
        <w:rPr>
          <w:rFonts w:cstheme="minorHAnsi"/>
          <w:b/>
          <w:bCs/>
          <w:sz w:val="24"/>
          <w:szCs w:val="24"/>
        </w:rPr>
        <w:t>5</w:t>
      </w:r>
      <w:r w:rsidRPr="00D75A57">
        <w:rPr>
          <w:rFonts w:cstheme="minorHAnsi"/>
          <w:sz w:val="24"/>
          <w:szCs w:val="24"/>
        </w:rPr>
        <w:t xml:space="preserve"> </w:t>
      </w:r>
      <w:r>
        <w:rPr>
          <w:rFonts w:cstheme="minorHAnsi"/>
          <w:sz w:val="24"/>
          <w:szCs w:val="24"/>
        </w:rPr>
        <w:t>rozpočtujeme túto kategóriu</w:t>
      </w:r>
      <w:r w:rsidRPr="00D75A57">
        <w:rPr>
          <w:rFonts w:cstheme="minorHAnsi"/>
          <w:sz w:val="24"/>
          <w:szCs w:val="24"/>
        </w:rPr>
        <w:t xml:space="preserve"> príjmov </w:t>
      </w:r>
      <w:r>
        <w:rPr>
          <w:rFonts w:cstheme="minorHAnsi"/>
          <w:sz w:val="24"/>
          <w:szCs w:val="24"/>
        </w:rPr>
        <w:t>v objeme</w:t>
      </w:r>
      <w:r w:rsidRPr="00D75A57">
        <w:rPr>
          <w:rFonts w:cstheme="minorHAnsi"/>
          <w:sz w:val="24"/>
          <w:szCs w:val="24"/>
        </w:rPr>
        <w:t xml:space="preserve"> </w:t>
      </w:r>
      <w:r w:rsidR="002B7B5C" w:rsidRPr="002B7B5C">
        <w:rPr>
          <w:rFonts w:cstheme="minorHAnsi"/>
          <w:b/>
          <w:sz w:val="24"/>
          <w:szCs w:val="24"/>
        </w:rPr>
        <w:t>407</w:t>
      </w:r>
      <w:r w:rsidR="002B7B5C">
        <w:rPr>
          <w:rFonts w:cstheme="minorHAnsi"/>
          <w:b/>
          <w:sz w:val="24"/>
          <w:szCs w:val="24"/>
        </w:rPr>
        <w:t> </w:t>
      </w:r>
      <w:r w:rsidR="002B7B5C" w:rsidRPr="002B7B5C">
        <w:rPr>
          <w:rFonts w:cstheme="minorHAnsi"/>
          <w:b/>
          <w:sz w:val="24"/>
          <w:szCs w:val="24"/>
        </w:rPr>
        <w:t>815</w:t>
      </w:r>
      <w:r w:rsidR="002B7B5C">
        <w:rPr>
          <w:rFonts w:cstheme="minorHAnsi"/>
          <w:b/>
          <w:sz w:val="24"/>
          <w:szCs w:val="24"/>
        </w:rPr>
        <w:t xml:space="preserve"> </w:t>
      </w:r>
      <w:r w:rsidRPr="00D75A57">
        <w:rPr>
          <w:rFonts w:cstheme="minorHAnsi"/>
          <w:b/>
          <w:sz w:val="24"/>
          <w:szCs w:val="24"/>
        </w:rPr>
        <w:t>€.</w:t>
      </w:r>
      <w:r w:rsidRPr="00D75A57">
        <w:rPr>
          <w:rFonts w:cstheme="minorHAnsi"/>
          <w:sz w:val="24"/>
          <w:szCs w:val="24"/>
        </w:rPr>
        <w:t xml:space="preserve"> </w:t>
      </w:r>
    </w:p>
    <w:p w14:paraId="3120FCAF" w14:textId="77777777" w:rsidR="00C8280C" w:rsidRDefault="00C8280C" w:rsidP="00BA6535">
      <w:pPr>
        <w:spacing w:after="120" w:line="240" w:lineRule="auto"/>
        <w:jc w:val="both"/>
        <w:rPr>
          <w:rFonts w:cstheme="minorHAnsi"/>
          <w:b/>
          <w:sz w:val="28"/>
          <w:szCs w:val="28"/>
        </w:rPr>
      </w:pPr>
    </w:p>
    <w:p w14:paraId="598A86D6" w14:textId="77777777" w:rsidR="00C8280C" w:rsidRPr="003A5EF6" w:rsidRDefault="00C8280C" w:rsidP="00BA6535">
      <w:pPr>
        <w:spacing w:after="0" w:line="240" w:lineRule="auto"/>
        <w:jc w:val="both"/>
        <w:rPr>
          <w:rFonts w:cstheme="minorHAnsi"/>
          <w:b/>
          <w:sz w:val="28"/>
          <w:szCs w:val="28"/>
        </w:rPr>
      </w:pPr>
      <w:r>
        <w:rPr>
          <w:rFonts w:cstheme="minorHAnsi"/>
          <w:b/>
          <w:sz w:val="28"/>
          <w:szCs w:val="28"/>
        </w:rPr>
        <w:t xml:space="preserve">    </w:t>
      </w:r>
      <w:r w:rsidRPr="003A5EF6">
        <w:rPr>
          <w:rFonts w:cstheme="minorHAnsi"/>
          <w:b/>
          <w:sz w:val="28"/>
          <w:szCs w:val="28"/>
        </w:rPr>
        <w:t>2.3 Granty a transfery</w:t>
      </w:r>
    </w:p>
    <w:p w14:paraId="3263A19A" w14:textId="628C3073" w:rsidR="00C8280C" w:rsidRDefault="00C8280C" w:rsidP="00BA6535">
      <w:pPr>
        <w:spacing w:line="240" w:lineRule="auto"/>
        <w:jc w:val="both"/>
        <w:rPr>
          <w:rFonts w:cstheme="minorHAnsi"/>
          <w:sz w:val="24"/>
          <w:szCs w:val="24"/>
        </w:rPr>
      </w:pPr>
      <w:r w:rsidRPr="004F6E37">
        <w:rPr>
          <w:rFonts w:cstheme="minorHAnsi"/>
          <w:b/>
          <w:bCs/>
          <w:sz w:val="24"/>
          <w:szCs w:val="24"/>
        </w:rPr>
        <w:t>Granty a transfery</w:t>
      </w:r>
      <w:r>
        <w:rPr>
          <w:rFonts w:cstheme="minorHAnsi"/>
          <w:sz w:val="24"/>
          <w:szCs w:val="24"/>
        </w:rPr>
        <w:t xml:space="preserve"> </w:t>
      </w:r>
      <w:r w:rsidRPr="004F6E37">
        <w:rPr>
          <w:rFonts w:cstheme="minorHAnsi"/>
          <w:sz w:val="24"/>
          <w:szCs w:val="24"/>
        </w:rPr>
        <w:t xml:space="preserve">sú </w:t>
      </w:r>
      <w:r>
        <w:rPr>
          <w:rFonts w:cstheme="minorHAnsi"/>
          <w:sz w:val="24"/>
          <w:szCs w:val="24"/>
        </w:rPr>
        <w:t xml:space="preserve">po daňových príjmoch </w:t>
      </w:r>
      <w:r w:rsidRPr="004F6E37">
        <w:rPr>
          <w:rFonts w:cstheme="minorHAnsi"/>
          <w:sz w:val="24"/>
          <w:szCs w:val="24"/>
        </w:rPr>
        <w:t>druh</w:t>
      </w:r>
      <w:r>
        <w:rPr>
          <w:rFonts w:cstheme="minorHAnsi"/>
          <w:sz w:val="24"/>
          <w:szCs w:val="24"/>
        </w:rPr>
        <w:t>ou najvýznamnejšou položkou príjmov rozpočtu BSK. N</w:t>
      </w:r>
      <w:r w:rsidRPr="004F6E37">
        <w:rPr>
          <w:rFonts w:cstheme="minorHAnsi"/>
          <w:sz w:val="24"/>
          <w:szCs w:val="24"/>
        </w:rPr>
        <w:t>a</w:t>
      </w:r>
      <w:r>
        <w:rPr>
          <w:rFonts w:cstheme="minorHAnsi"/>
          <w:sz w:val="24"/>
          <w:szCs w:val="24"/>
        </w:rPr>
        <w:t xml:space="preserve"> </w:t>
      </w:r>
      <w:r w:rsidRPr="004F6E37">
        <w:rPr>
          <w:rFonts w:cstheme="minorHAnsi"/>
          <w:sz w:val="24"/>
          <w:szCs w:val="24"/>
        </w:rPr>
        <w:t xml:space="preserve">celkových príjmoch predstavujú podiel </w:t>
      </w:r>
      <w:r w:rsidRPr="009E0E0B">
        <w:rPr>
          <w:rFonts w:cstheme="minorHAnsi"/>
          <w:sz w:val="24"/>
          <w:szCs w:val="24"/>
        </w:rPr>
        <w:t>3</w:t>
      </w:r>
      <w:r w:rsidR="003819FF">
        <w:rPr>
          <w:rFonts w:cstheme="minorHAnsi"/>
          <w:sz w:val="24"/>
          <w:szCs w:val="24"/>
        </w:rPr>
        <w:t>6,73</w:t>
      </w:r>
      <w:r w:rsidRPr="009E0E0B">
        <w:rPr>
          <w:rFonts w:cstheme="minorHAnsi"/>
          <w:sz w:val="24"/>
          <w:szCs w:val="24"/>
        </w:rPr>
        <w:t xml:space="preserve"> %.</w:t>
      </w:r>
      <w:r w:rsidRPr="004F6E37">
        <w:rPr>
          <w:rFonts w:cstheme="minorHAnsi"/>
          <w:sz w:val="24"/>
          <w:szCs w:val="24"/>
        </w:rPr>
        <w:t xml:space="preserve"> </w:t>
      </w:r>
      <w:r w:rsidRPr="006B1975">
        <w:rPr>
          <w:rFonts w:cstheme="minorHAnsi"/>
          <w:sz w:val="24"/>
          <w:szCs w:val="24"/>
        </w:rPr>
        <w:t>Majú účelový charakter, ich použitie je presne stanovené poskytovateľom grantu alebo transferu. Celkový proces rozpočtovania neovplyvňujú, nakoľko transfery vo výške, v akej sú prijaté do rozpočtu, sú zaradené do výdavkovej časti s určeným účelom a poslaním. Výnimku tvoria granty a transfery z fondov EÚ, ktoré ovplyvňujú celkový proces rozpočtovania v tom ktorom roku buď pozitívne alebo negatívne. Je to spôsobené časovým rozlíšením príjmov a výdavkov z fondov EÚ</w:t>
      </w:r>
      <w:r>
        <w:t>.</w:t>
      </w:r>
      <w:r w:rsidRPr="004F6E37">
        <w:rPr>
          <w:rFonts w:cstheme="minorHAnsi"/>
          <w:sz w:val="24"/>
          <w:szCs w:val="24"/>
        </w:rPr>
        <w:t xml:space="preserve"> </w:t>
      </w:r>
      <w:r w:rsidRPr="004F6E37">
        <w:rPr>
          <w:rFonts w:cstheme="minorHAnsi"/>
          <w:b/>
          <w:bCs/>
          <w:sz w:val="24"/>
          <w:szCs w:val="24"/>
        </w:rPr>
        <w:t>Pre rok 202</w:t>
      </w:r>
      <w:r w:rsidR="0026506A">
        <w:rPr>
          <w:rFonts w:cstheme="minorHAnsi"/>
          <w:b/>
          <w:bCs/>
          <w:sz w:val="24"/>
          <w:szCs w:val="24"/>
        </w:rPr>
        <w:t>5</w:t>
      </w:r>
      <w:r w:rsidRPr="004F6E37">
        <w:rPr>
          <w:rFonts w:cstheme="minorHAnsi"/>
          <w:sz w:val="24"/>
          <w:szCs w:val="24"/>
        </w:rPr>
        <w:t xml:space="preserve"> ich plánujeme v objeme </w:t>
      </w:r>
      <w:r w:rsidR="00485638" w:rsidRPr="00485638">
        <w:rPr>
          <w:rFonts w:cstheme="minorHAnsi"/>
          <w:b/>
          <w:bCs/>
          <w:sz w:val="24"/>
          <w:szCs w:val="24"/>
        </w:rPr>
        <w:t>117 742</w:t>
      </w:r>
      <w:r w:rsidR="00485638">
        <w:rPr>
          <w:rFonts w:cstheme="minorHAnsi"/>
          <w:b/>
          <w:bCs/>
          <w:sz w:val="24"/>
          <w:szCs w:val="24"/>
        </w:rPr>
        <w:t> </w:t>
      </w:r>
      <w:r w:rsidR="00485638" w:rsidRPr="00485638">
        <w:rPr>
          <w:rFonts w:cstheme="minorHAnsi"/>
          <w:b/>
          <w:bCs/>
          <w:sz w:val="24"/>
          <w:szCs w:val="24"/>
        </w:rPr>
        <w:t>177</w:t>
      </w:r>
      <w:r w:rsidR="00485638">
        <w:rPr>
          <w:rFonts w:cstheme="minorHAnsi"/>
          <w:b/>
          <w:bCs/>
          <w:sz w:val="24"/>
          <w:szCs w:val="24"/>
        </w:rPr>
        <w:t xml:space="preserve"> </w:t>
      </w:r>
      <w:r w:rsidRPr="004F6E37">
        <w:rPr>
          <w:rFonts w:cstheme="minorHAnsi"/>
          <w:b/>
          <w:bCs/>
          <w:sz w:val="24"/>
          <w:szCs w:val="24"/>
        </w:rPr>
        <w:t>€</w:t>
      </w:r>
      <w:r>
        <w:rPr>
          <w:rFonts w:cstheme="minorHAnsi"/>
          <w:sz w:val="24"/>
          <w:szCs w:val="24"/>
        </w:rPr>
        <w:t xml:space="preserve">, </w:t>
      </w:r>
      <w:r w:rsidRPr="004F6E37">
        <w:rPr>
          <w:rFonts w:cstheme="minorHAnsi"/>
          <w:sz w:val="24"/>
          <w:szCs w:val="24"/>
        </w:rPr>
        <w:t xml:space="preserve"> čo </w:t>
      </w:r>
      <w:r>
        <w:rPr>
          <w:rFonts w:cstheme="minorHAnsi"/>
          <w:sz w:val="24"/>
          <w:szCs w:val="24"/>
        </w:rPr>
        <w:t>je o</w:t>
      </w:r>
      <w:r w:rsidR="000268B2">
        <w:rPr>
          <w:rFonts w:cstheme="minorHAnsi"/>
          <w:sz w:val="24"/>
          <w:szCs w:val="24"/>
        </w:rPr>
        <w:t> 13,15</w:t>
      </w:r>
      <w:r>
        <w:rPr>
          <w:rFonts w:cstheme="minorHAnsi"/>
          <w:sz w:val="24"/>
          <w:szCs w:val="24"/>
        </w:rPr>
        <w:t xml:space="preserve"> mil. € viac oproti </w:t>
      </w:r>
      <w:r w:rsidR="00A25D28">
        <w:rPr>
          <w:rFonts w:cstheme="minorHAnsi"/>
          <w:sz w:val="24"/>
          <w:szCs w:val="24"/>
        </w:rPr>
        <w:t>očakávanej skutočnosti 2024</w:t>
      </w:r>
      <w:r>
        <w:rPr>
          <w:rFonts w:cstheme="minorHAnsi"/>
          <w:sz w:val="24"/>
          <w:szCs w:val="24"/>
        </w:rPr>
        <w:t>, nárast o</w:t>
      </w:r>
      <w:r w:rsidR="00472F49">
        <w:rPr>
          <w:rFonts w:cstheme="minorHAnsi"/>
          <w:sz w:val="24"/>
          <w:szCs w:val="24"/>
        </w:rPr>
        <w:t> 1</w:t>
      </w:r>
      <w:r w:rsidR="00A25D28">
        <w:rPr>
          <w:rFonts w:cstheme="minorHAnsi"/>
          <w:sz w:val="24"/>
          <w:szCs w:val="24"/>
        </w:rPr>
        <w:t>2</w:t>
      </w:r>
      <w:r w:rsidR="00472F49">
        <w:rPr>
          <w:rFonts w:cstheme="minorHAnsi"/>
          <w:sz w:val="24"/>
          <w:szCs w:val="24"/>
        </w:rPr>
        <w:t>,</w:t>
      </w:r>
      <w:r w:rsidR="00A25D28">
        <w:rPr>
          <w:rFonts w:cstheme="minorHAnsi"/>
          <w:sz w:val="24"/>
          <w:szCs w:val="24"/>
        </w:rPr>
        <w:t>57</w:t>
      </w:r>
      <w:r>
        <w:rPr>
          <w:rFonts w:cstheme="minorHAnsi"/>
          <w:sz w:val="24"/>
          <w:szCs w:val="24"/>
        </w:rPr>
        <w:t>%.</w:t>
      </w:r>
      <w:r w:rsidRPr="00433778">
        <w:rPr>
          <w:rFonts w:cstheme="minorHAnsi"/>
          <w:sz w:val="24"/>
          <w:szCs w:val="24"/>
        </w:rPr>
        <w:t xml:space="preserve"> </w:t>
      </w:r>
    </w:p>
    <w:tbl>
      <w:tblPr>
        <w:tblW w:w="5185" w:type="pct"/>
        <w:tblLayout w:type="fixed"/>
        <w:tblCellMar>
          <w:left w:w="70" w:type="dxa"/>
          <w:right w:w="70" w:type="dxa"/>
        </w:tblCellMar>
        <w:tblLook w:val="04A0" w:firstRow="1" w:lastRow="0" w:firstColumn="1" w:lastColumn="0" w:noHBand="0" w:noVBand="1"/>
      </w:tblPr>
      <w:tblGrid>
        <w:gridCol w:w="2128"/>
        <w:gridCol w:w="1134"/>
        <w:gridCol w:w="1417"/>
        <w:gridCol w:w="1133"/>
        <w:gridCol w:w="1276"/>
        <w:gridCol w:w="1278"/>
        <w:gridCol w:w="1276"/>
        <w:gridCol w:w="1211"/>
      </w:tblGrid>
      <w:tr w:rsidR="00716EBE" w:rsidRPr="00C664BA" w14:paraId="703111AD" w14:textId="77777777" w:rsidTr="005A24D5">
        <w:trPr>
          <w:trHeight w:val="317"/>
          <w:tblHeader/>
        </w:trPr>
        <w:tc>
          <w:tcPr>
            <w:tcW w:w="980" w:type="pct"/>
            <w:tcBorders>
              <w:top w:val="nil"/>
              <w:left w:val="nil"/>
              <w:bottom w:val="single" w:sz="8" w:space="0" w:color="DCE6F1"/>
              <w:right w:val="nil"/>
            </w:tcBorders>
            <w:shd w:val="clear" w:color="000000" w:fill="366092"/>
            <w:noWrap/>
            <w:vAlign w:val="center"/>
            <w:hideMark/>
          </w:tcPr>
          <w:p w14:paraId="67DF00F2" w14:textId="77777777" w:rsidR="00C664BA" w:rsidRPr="00C664BA" w:rsidRDefault="00C664BA" w:rsidP="00C664BA">
            <w:pPr>
              <w:spacing w:after="0" w:line="240" w:lineRule="auto"/>
              <w:rPr>
                <w:rFonts w:ascii="Calibri" w:eastAsia="Times New Roman" w:hAnsi="Calibri" w:cs="Calibri"/>
                <w:b/>
                <w:bCs/>
                <w:color w:val="FFFFFF"/>
                <w:sz w:val="20"/>
                <w:szCs w:val="20"/>
                <w:lang w:eastAsia="sk-SK"/>
              </w:rPr>
            </w:pPr>
            <w:bookmarkStart w:id="1" w:name="_Hlk148522004"/>
            <w:r w:rsidRPr="00C664BA">
              <w:rPr>
                <w:rFonts w:ascii="Calibri" w:eastAsia="Times New Roman" w:hAnsi="Calibri" w:cs="Calibri"/>
                <w:b/>
                <w:bCs/>
                <w:color w:val="FFFFFF"/>
                <w:sz w:val="20"/>
                <w:szCs w:val="20"/>
                <w:lang w:eastAsia="sk-SK"/>
              </w:rPr>
              <w:t>Ukazovateľ</w:t>
            </w:r>
          </w:p>
        </w:tc>
        <w:tc>
          <w:tcPr>
            <w:tcW w:w="522" w:type="pct"/>
            <w:tcBorders>
              <w:top w:val="nil"/>
              <w:left w:val="nil"/>
              <w:bottom w:val="single" w:sz="8" w:space="0" w:color="B8CCE4"/>
              <w:right w:val="nil"/>
            </w:tcBorders>
            <w:shd w:val="clear" w:color="000000" w:fill="366092"/>
            <w:noWrap/>
            <w:vAlign w:val="center"/>
            <w:hideMark/>
          </w:tcPr>
          <w:p w14:paraId="71342624" w14:textId="17B67C06" w:rsidR="00C664BA" w:rsidRPr="00C664BA" w:rsidRDefault="00C664BA" w:rsidP="00C664BA">
            <w:pPr>
              <w:spacing w:after="0" w:line="240" w:lineRule="auto"/>
              <w:jc w:val="center"/>
              <w:rPr>
                <w:rFonts w:ascii="Calibri" w:eastAsia="Times New Roman" w:hAnsi="Calibri" w:cs="Calibri"/>
                <w:b/>
                <w:bCs/>
                <w:color w:val="FFFFFF"/>
                <w:sz w:val="16"/>
                <w:szCs w:val="16"/>
                <w:lang w:eastAsia="sk-SK"/>
              </w:rPr>
            </w:pPr>
            <w:r w:rsidRPr="00C664BA">
              <w:rPr>
                <w:rFonts w:ascii="Calibri" w:eastAsia="Times New Roman" w:hAnsi="Calibri" w:cs="Calibri"/>
                <w:b/>
                <w:bCs/>
                <w:color w:val="FFFFFF"/>
                <w:sz w:val="16"/>
                <w:szCs w:val="16"/>
                <w:lang w:eastAsia="sk-SK"/>
              </w:rPr>
              <w:t>202</w:t>
            </w:r>
            <w:r w:rsidR="0026506A">
              <w:rPr>
                <w:rFonts w:ascii="Calibri" w:eastAsia="Times New Roman" w:hAnsi="Calibri" w:cs="Calibri"/>
                <w:b/>
                <w:bCs/>
                <w:color w:val="FFFFFF"/>
                <w:sz w:val="16"/>
                <w:szCs w:val="16"/>
                <w:lang w:eastAsia="sk-SK"/>
              </w:rPr>
              <w:t>2</w:t>
            </w:r>
            <w:r w:rsidRPr="00C664BA">
              <w:rPr>
                <w:rFonts w:ascii="Calibri" w:eastAsia="Times New Roman" w:hAnsi="Calibri" w:cs="Calibri"/>
                <w:b/>
                <w:bCs/>
                <w:color w:val="FFFFFF"/>
                <w:sz w:val="16"/>
                <w:szCs w:val="16"/>
                <w:lang w:eastAsia="sk-SK"/>
              </w:rPr>
              <w:t xml:space="preserve"> (S)</w:t>
            </w:r>
          </w:p>
        </w:tc>
        <w:tc>
          <w:tcPr>
            <w:tcW w:w="653" w:type="pct"/>
            <w:tcBorders>
              <w:top w:val="nil"/>
              <w:left w:val="nil"/>
              <w:bottom w:val="single" w:sz="8" w:space="0" w:color="B8CCE4"/>
              <w:right w:val="nil"/>
            </w:tcBorders>
            <w:shd w:val="clear" w:color="000000" w:fill="366092"/>
            <w:noWrap/>
            <w:vAlign w:val="center"/>
            <w:hideMark/>
          </w:tcPr>
          <w:p w14:paraId="78A8384C" w14:textId="4EF65755" w:rsidR="00C664BA" w:rsidRPr="00C664BA" w:rsidRDefault="00C664BA" w:rsidP="00C664BA">
            <w:pPr>
              <w:spacing w:after="0" w:line="240" w:lineRule="auto"/>
              <w:jc w:val="center"/>
              <w:rPr>
                <w:rFonts w:ascii="Calibri" w:eastAsia="Times New Roman" w:hAnsi="Calibri" w:cs="Calibri"/>
                <w:b/>
                <w:bCs/>
                <w:color w:val="FFFFFF"/>
                <w:sz w:val="16"/>
                <w:szCs w:val="16"/>
                <w:lang w:eastAsia="sk-SK"/>
              </w:rPr>
            </w:pPr>
            <w:r w:rsidRPr="00C664BA">
              <w:rPr>
                <w:rFonts w:ascii="Calibri" w:eastAsia="Times New Roman" w:hAnsi="Calibri" w:cs="Calibri"/>
                <w:b/>
                <w:bCs/>
                <w:color w:val="FFFFFF"/>
                <w:sz w:val="16"/>
                <w:szCs w:val="16"/>
                <w:lang w:eastAsia="sk-SK"/>
              </w:rPr>
              <w:t>202</w:t>
            </w:r>
            <w:r w:rsidR="0026506A">
              <w:rPr>
                <w:rFonts w:ascii="Calibri" w:eastAsia="Times New Roman" w:hAnsi="Calibri" w:cs="Calibri"/>
                <w:b/>
                <w:bCs/>
                <w:color w:val="FFFFFF"/>
                <w:sz w:val="16"/>
                <w:szCs w:val="16"/>
                <w:lang w:eastAsia="sk-SK"/>
              </w:rPr>
              <w:t>3</w:t>
            </w:r>
            <w:r w:rsidRPr="00C664BA">
              <w:rPr>
                <w:rFonts w:ascii="Calibri" w:eastAsia="Times New Roman" w:hAnsi="Calibri" w:cs="Calibri"/>
                <w:b/>
                <w:bCs/>
                <w:color w:val="FFFFFF"/>
                <w:sz w:val="16"/>
                <w:szCs w:val="16"/>
                <w:lang w:eastAsia="sk-SK"/>
              </w:rPr>
              <w:t xml:space="preserve"> (S)</w:t>
            </w:r>
          </w:p>
        </w:tc>
        <w:tc>
          <w:tcPr>
            <w:tcW w:w="522" w:type="pct"/>
            <w:tcBorders>
              <w:top w:val="nil"/>
              <w:left w:val="nil"/>
              <w:bottom w:val="single" w:sz="8" w:space="0" w:color="B8CCE4"/>
              <w:right w:val="nil"/>
            </w:tcBorders>
            <w:shd w:val="clear" w:color="000000" w:fill="366092"/>
            <w:noWrap/>
            <w:vAlign w:val="center"/>
            <w:hideMark/>
          </w:tcPr>
          <w:p w14:paraId="6884BA50" w14:textId="3363944B" w:rsidR="00C664BA" w:rsidRPr="00C664BA" w:rsidRDefault="00C664BA" w:rsidP="00C664BA">
            <w:pPr>
              <w:spacing w:after="0" w:line="240" w:lineRule="auto"/>
              <w:jc w:val="center"/>
              <w:rPr>
                <w:rFonts w:ascii="Calibri" w:eastAsia="Times New Roman" w:hAnsi="Calibri" w:cs="Calibri"/>
                <w:b/>
                <w:bCs/>
                <w:color w:val="FFFFFF"/>
                <w:sz w:val="16"/>
                <w:szCs w:val="16"/>
                <w:lang w:eastAsia="sk-SK"/>
              </w:rPr>
            </w:pPr>
            <w:r w:rsidRPr="00C664BA">
              <w:rPr>
                <w:rFonts w:ascii="Calibri" w:eastAsia="Times New Roman" w:hAnsi="Calibri" w:cs="Calibri"/>
                <w:b/>
                <w:bCs/>
                <w:color w:val="FFFFFF"/>
                <w:sz w:val="16"/>
                <w:szCs w:val="16"/>
                <w:lang w:eastAsia="sk-SK"/>
              </w:rPr>
              <w:t>202</w:t>
            </w:r>
            <w:r w:rsidR="0026506A">
              <w:rPr>
                <w:rFonts w:ascii="Calibri" w:eastAsia="Times New Roman" w:hAnsi="Calibri" w:cs="Calibri"/>
                <w:b/>
                <w:bCs/>
                <w:color w:val="FFFFFF"/>
                <w:sz w:val="16"/>
                <w:szCs w:val="16"/>
                <w:lang w:eastAsia="sk-SK"/>
              </w:rPr>
              <w:t>4</w:t>
            </w:r>
            <w:r w:rsidRPr="00C664BA">
              <w:rPr>
                <w:rFonts w:ascii="Calibri" w:eastAsia="Times New Roman" w:hAnsi="Calibri" w:cs="Calibri"/>
                <w:b/>
                <w:bCs/>
                <w:color w:val="FFFFFF"/>
                <w:sz w:val="16"/>
                <w:szCs w:val="16"/>
                <w:lang w:eastAsia="sk-SK"/>
              </w:rPr>
              <w:t xml:space="preserve"> (SR)</w:t>
            </w:r>
          </w:p>
        </w:tc>
        <w:tc>
          <w:tcPr>
            <w:tcW w:w="588" w:type="pct"/>
            <w:tcBorders>
              <w:top w:val="nil"/>
              <w:left w:val="nil"/>
              <w:bottom w:val="nil"/>
              <w:right w:val="nil"/>
            </w:tcBorders>
            <w:shd w:val="clear" w:color="000000" w:fill="366092"/>
            <w:noWrap/>
            <w:vAlign w:val="center"/>
            <w:hideMark/>
          </w:tcPr>
          <w:p w14:paraId="46EC6EE5" w14:textId="3C97EFDF" w:rsidR="00C664BA" w:rsidRPr="00C664BA" w:rsidRDefault="00C664BA" w:rsidP="00C664BA">
            <w:pPr>
              <w:spacing w:after="0" w:line="240" w:lineRule="auto"/>
              <w:jc w:val="center"/>
              <w:rPr>
                <w:rFonts w:ascii="Calibri" w:eastAsia="Times New Roman" w:hAnsi="Calibri" w:cs="Calibri"/>
                <w:b/>
                <w:bCs/>
                <w:color w:val="FFFFFF"/>
                <w:sz w:val="16"/>
                <w:szCs w:val="16"/>
                <w:lang w:eastAsia="sk-SK"/>
              </w:rPr>
            </w:pPr>
            <w:r w:rsidRPr="00C664BA">
              <w:rPr>
                <w:rFonts w:ascii="Calibri" w:eastAsia="Times New Roman" w:hAnsi="Calibri" w:cs="Calibri"/>
                <w:b/>
                <w:bCs/>
                <w:color w:val="FFFFFF"/>
                <w:sz w:val="16"/>
                <w:szCs w:val="16"/>
                <w:lang w:eastAsia="sk-SK"/>
              </w:rPr>
              <w:t>202</w:t>
            </w:r>
            <w:r w:rsidR="0026506A">
              <w:rPr>
                <w:rFonts w:ascii="Calibri" w:eastAsia="Times New Roman" w:hAnsi="Calibri" w:cs="Calibri"/>
                <w:b/>
                <w:bCs/>
                <w:color w:val="FFFFFF"/>
                <w:sz w:val="16"/>
                <w:szCs w:val="16"/>
                <w:lang w:eastAsia="sk-SK"/>
              </w:rPr>
              <w:t>4</w:t>
            </w:r>
            <w:r w:rsidRPr="00C664BA">
              <w:rPr>
                <w:rFonts w:ascii="Calibri" w:eastAsia="Times New Roman" w:hAnsi="Calibri" w:cs="Calibri"/>
                <w:b/>
                <w:bCs/>
                <w:color w:val="FFFFFF"/>
                <w:sz w:val="16"/>
                <w:szCs w:val="16"/>
                <w:lang w:eastAsia="sk-SK"/>
              </w:rPr>
              <w:t xml:space="preserve"> (OS)</w:t>
            </w:r>
          </w:p>
        </w:tc>
        <w:tc>
          <w:tcPr>
            <w:tcW w:w="589" w:type="pct"/>
            <w:tcBorders>
              <w:top w:val="nil"/>
              <w:left w:val="nil"/>
              <w:bottom w:val="nil"/>
              <w:right w:val="nil"/>
            </w:tcBorders>
            <w:shd w:val="clear" w:color="000000" w:fill="366092"/>
            <w:noWrap/>
            <w:vAlign w:val="center"/>
            <w:hideMark/>
          </w:tcPr>
          <w:p w14:paraId="77672D3E" w14:textId="68677CA6" w:rsidR="00C664BA" w:rsidRPr="00C664BA" w:rsidRDefault="00C664BA" w:rsidP="00C664BA">
            <w:pPr>
              <w:spacing w:after="0" w:line="240" w:lineRule="auto"/>
              <w:jc w:val="center"/>
              <w:rPr>
                <w:rFonts w:ascii="Calibri" w:eastAsia="Times New Roman" w:hAnsi="Calibri" w:cs="Calibri"/>
                <w:b/>
                <w:bCs/>
                <w:color w:val="FFFFFF"/>
                <w:sz w:val="16"/>
                <w:szCs w:val="16"/>
                <w:lang w:eastAsia="sk-SK"/>
              </w:rPr>
            </w:pPr>
            <w:r w:rsidRPr="00C664BA">
              <w:rPr>
                <w:rFonts w:ascii="Calibri" w:eastAsia="Times New Roman" w:hAnsi="Calibri" w:cs="Calibri"/>
                <w:b/>
                <w:bCs/>
                <w:color w:val="FFFFFF"/>
                <w:sz w:val="16"/>
                <w:szCs w:val="16"/>
                <w:lang w:eastAsia="sk-SK"/>
              </w:rPr>
              <w:t>202</w:t>
            </w:r>
            <w:r w:rsidR="0026506A">
              <w:rPr>
                <w:rFonts w:ascii="Calibri" w:eastAsia="Times New Roman" w:hAnsi="Calibri" w:cs="Calibri"/>
                <w:b/>
                <w:bCs/>
                <w:color w:val="FFFFFF"/>
                <w:sz w:val="16"/>
                <w:szCs w:val="16"/>
                <w:lang w:eastAsia="sk-SK"/>
              </w:rPr>
              <w:t>5</w:t>
            </w:r>
            <w:r w:rsidRPr="00C664BA">
              <w:rPr>
                <w:rFonts w:ascii="Calibri" w:eastAsia="Times New Roman" w:hAnsi="Calibri" w:cs="Calibri"/>
                <w:b/>
                <w:bCs/>
                <w:color w:val="FFFFFF"/>
                <w:sz w:val="16"/>
                <w:szCs w:val="16"/>
                <w:lang w:eastAsia="sk-SK"/>
              </w:rPr>
              <w:t xml:space="preserve"> (N)</w:t>
            </w:r>
          </w:p>
        </w:tc>
        <w:tc>
          <w:tcPr>
            <w:tcW w:w="588" w:type="pct"/>
            <w:tcBorders>
              <w:top w:val="nil"/>
              <w:left w:val="nil"/>
              <w:bottom w:val="nil"/>
              <w:right w:val="nil"/>
            </w:tcBorders>
            <w:shd w:val="clear" w:color="000000" w:fill="366092"/>
            <w:noWrap/>
            <w:vAlign w:val="center"/>
            <w:hideMark/>
          </w:tcPr>
          <w:p w14:paraId="4C3F8C7F" w14:textId="7AB86B5A" w:rsidR="00C664BA" w:rsidRPr="00C664BA" w:rsidRDefault="00C664BA" w:rsidP="00C664BA">
            <w:pPr>
              <w:spacing w:after="0" w:line="240" w:lineRule="auto"/>
              <w:jc w:val="center"/>
              <w:rPr>
                <w:rFonts w:ascii="Calibri" w:eastAsia="Times New Roman" w:hAnsi="Calibri" w:cs="Calibri"/>
                <w:b/>
                <w:bCs/>
                <w:color w:val="FFFFFF"/>
                <w:sz w:val="16"/>
                <w:szCs w:val="16"/>
                <w:lang w:eastAsia="sk-SK"/>
              </w:rPr>
            </w:pPr>
            <w:r w:rsidRPr="00C664BA">
              <w:rPr>
                <w:rFonts w:ascii="Calibri" w:eastAsia="Times New Roman" w:hAnsi="Calibri" w:cs="Calibri"/>
                <w:b/>
                <w:bCs/>
                <w:color w:val="FFFFFF"/>
                <w:sz w:val="16"/>
                <w:szCs w:val="16"/>
                <w:lang w:eastAsia="sk-SK"/>
              </w:rPr>
              <w:t>202</w:t>
            </w:r>
            <w:r w:rsidR="0026506A">
              <w:rPr>
                <w:rFonts w:ascii="Calibri" w:eastAsia="Times New Roman" w:hAnsi="Calibri" w:cs="Calibri"/>
                <w:b/>
                <w:bCs/>
                <w:color w:val="FFFFFF"/>
                <w:sz w:val="16"/>
                <w:szCs w:val="16"/>
                <w:lang w:eastAsia="sk-SK"/>
              </w:rPr>
              <w:t>6</w:t>
            </w:r>
            <w:r w:rsidRPr="00C664BA">
              <w:rPr>
                <w:rFonts w:ascii="Calibri" w:eastAsia="Times New Roman" w:hAnsi="Calibri" w:cs="Calibri"/>
                <w:b/>
                <w:bCs/>
                <w:color w:val="FFFFFF"/>
                <w:sz w:val="16"/>
                <w:szCs w:val="16"/>
                <w:lang w:eastAsia="sk-SK"/>
              </w:rPr>
              <w:t xml:space="preserve"> (N)</w:t>
            </w:r>
          </w:p>
        </w:tc>
        <w:tc>
          <w:tcPr>
            <w:tcW w:w="558" w:type="pct"/>
            <w:tcBorders>
              <w:top w:val="nil"/>
              <w:left w:val="nil"/>
              <w:bottom w:val="single" w:sz="8" w:space="0" w:color="B8CCE4"/>
              <w:right w:val="nil"/>
            </w:tcBorders>
            <w:shd w:val="clear" w:color="000000" w:fill="366092"/>
            <w:noWrap/>
            <w:vAlign w:val="center"/>
            <w:hideMark/>
          </w:tcPr>
          <w:p w14:paraId="3CFDD069" w14:textId="392C7670" w:rsidR="00C664BA" w:rsidRPr="00C664BA" w:rsidRDefault="00C664BA" w:rsidP="00C664BA">
            <w:pPr>
              <w:spacing w:after="0" w:line="240" w:lineRule="auto"/>
              <w:jc w:val="center"/>
              <w:rPr>
                <w:rFonts w:ascii="Calibri" w:eastAsia="Times New Roman" w:hAnsi="Calibri" w:cs="Calibri"/>
                <w:b/>
                <w:bCs/>
                <w:color w:val="FFFFFF"/>
                <w:sz w:val="16"/>
                <w:szCs w:val="16"/>
                <w:lang w:eastAsia="sk-SK"/>
              </w:rPr>
            </w:pPr>
            <w:r w:rsidRPr="00C664BA">
              <w:rPr>
                <w:rFonts w:ascii="Calibri" w:eastAsia="Times New Roman" w:hAnsi="Calibri" w:cs="Calibri"/>
                <w:b/>
                <w:bCs/>
                <w:color w:val="FFFFFF"/>
                <w:sz w:val="16"/>
                <w:szCs w:val="16"/>
                <w:lang w:eastAsia="sk-SK"/>
              </w:rPr>
              <w:t>202</w:t>
            </w:r>
            <w:r w:rsidR="0026506A">
              <w:rPr>
                <w:rFonts w:ascii="Calibri" w:eastAsia="Times New Roman" w:hAnsi="Calibri" w:cs="Calibri"/>
                <w:b/>
                <w:bCs/>
                <w:color w:val="FFFFFF"/>
                <w:sz w:val="16"/>
                <w:szCs w:val="16"/>
                <w:lang w:eastAsia="sk-SK"/>
              </w:rPr>
              <w:t>7</w:t>
            </w:r>
            <w:r w:rsidRPr="00C664BA">
              <w:rPr>
                <w:rFonts w:ascii="Calibri" w:eastAsia="Times New Roman" w:hAnsi="Calibri" w:cs="Calibri"/>
                <w:b/>
                <w:bCs/>
                <w:color w:val="FFFFFF"/>
                <w:sz w:val="16"/>
                <w:szCs w:val="16"/>
                <w:lang w:eastAsia="sk-SK"/>
              </w:rPr>
              <w:t xml:space="preserve"> (N)</w:t>
            </w:r>
          </w:p>
        </w:tc>
      </w:tr>
      <w:bookmarkEnd w:id="1"/>
      <w:tr w:rsidR="00716EBE" w:rsidRPr="00C664BA" w14:paraId="232822B4" w14:textId="77777777" w:rsidTr="00716EBE">
        <w:trPr>
          <w:trHeight w:val="317"/>
        </w:trPr>
        <w:tc>
          <w:tcPr>
            <w:tcW w:w="980" w:type="pct"/>
            <w:tcBorders>
              <w:top w:val="nil"/>
              <w:left w:val="nil"/>
              <w:bottom w:val="single" w:sz="8" w:space="0" w:color="DCE6F1"/>
              <w:right w:val="nil"/>
            </w:tcBorders>
            <w:shd w:val="clear" w:color="000000" w:fill="9CC2E5"/>
            <w:noWrap/>
            <w:vAlign w:val="center"/>
            <w:hideMark/>
          </w:tcPr>
          <w:p w14:paraId="25800945" w14:textId="77777777" w:rsidR="00F93812" w:rsidRPr="00C664BA" w:rsidRDefault="00F93812" w:rsidP="00F93812">
            <w:pPr>
              <w:spacing w:after="0" w:line="240" w:lineRule="auto"/>
              <w:rPr>
                <w:rFonts w:ascii="Calibri" w:eastAsia="Times New Roman" w:hAnsi="Calibri" w:cs="Calibri"/>
                <w:b/>
                <w:bCs/>
                <w:color w:val="000000"/>
                <w:sz w:val="18"/>
                <w:szCs w:val="18"/>
                <w:lang w:eastAsia="sk-SK"/>
              </w:rPr>
            </w:pPr>
            <w:r w:rsidRPr="00C664BA">
              <w:rPr>
                <w:rFonts w:ascii="Calibri" w:eastAsia="Times New Roman" w:hAnsi="Calibri" w:cs="Calibri"/>
                <w:b/>
                <w:bCs/>
                <w:color w:val="000000"/>
                <w:sz w:val="18"/>
                <w:szCs w:val="18"/>
                <w:lang w:eastAsia="sk-SK"/>
              </w:rPr>
              <w:t>Granty a transfery</w:t>
            </w:r>
          </w:p>
        </w:tc>
        <w:tc>
          <w:tcPr>
            <w:tcW w:w="522" w:type="pct"/>
            <w:tcBorders>
              <w:top w:val="nil"/>
              <w:left w:val="nil"/>
              <w:bottom w:val="single" w:sz="8" w:space="0" w:color="DCE6F1"/>
              <w:right w:val="nil"/>
            </w:tcBorders>
            <w:shd w:val="clear" w:color="000000" w:fill="9CC2E5"/>
            <w:noWrap/>
            <w:vAlign w:val="bottom"/>
            <w:hideMark/>
          </w:tcPr>
          <w:p w14:paraId="3BF05370" w14:textId="5EFE64BB"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84 639 807</w:t>
            </w:r>
          </w:p>
        </w:tc>
        <w:tc>
          <w:tcPr>
            <w:tcW w:w="653" w:type="pct"/>
            <w:tcBorders>
              <w:top w:val="nil"/>
              <w:left w:val="nil"/>
              <w:bottom w:val="single" w:sz="8" w:space="0" w:color="DCE6F1"/>
              <w:right w:val="nil"/>
            </w:tcBorders>
            <w:shd w:val="clear" w:color="000000" w:fill="9CC2E5"/>
            <w:noWrap/>
            <w:vAlign w:val="bottom"/>
          </w:tcPr>
          <w:p w14:paraId="0DBDD272" w14:textId="606B3C17"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104 103 654</w:t>
            </w:r>
          </w:p>
        </w:tc>
        <w:tc>
          <w:tcPr>
            <w:tcW w:w="522" w:type="pct"/>
            <w:tcBorders>
              <w:top w:val="nil"/>
              <w:left w:val="nil"/>
              <w:bottom w:val="nil"/>
              <w:right w:val="nil"/>
            </w:tcBorders>
            <w:shd w:val="clear" w:color="000000" w:fill="9CC2E5"/>
            <w:noWrap/>
            <w:vAlign w:val="bottom"/>
            <w:hideMark/>
          </w:tcPr>
          <w:p w14:paraId="463F2253" w14:textId="7E7B4B32"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97 681 791</w:t>
            </w:r>
          </w:p>
        </w:tc>
        <w:tc>
          <w:tcPr>
            <w:tcW w:w="588" w:type="pct"/>
            <w:tcBorders>
              <w:top w:val="nil"/>
              <w:left w:val="nil"/>
              <w:bottom w:val="nil"/>
              <w:right w:val="nil"/>
            </w:tcBorders>
            <w:shd w:val="clear" w:color="000000" w:fill="9CC2E5"/>
            <w:noWrap/>
            <w:vAlign w:val="bottom"/>
          </w:tcPr>
          <w:p w14:paraId="7F14ABDB" w14:textId="5B00B4F9"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104 592 691</w:t>
            </w:r>
          </w:p>
        </w:tc>
        <w:tc>
          <w:tcPr>
            <w:tcW w:w="589" w:type="pct"/>
            <w:tcBorders>
              <w:top w:val="nil"/>
              <w:left w:val="nil"/>
              <w:bottom w:val="nil"/>
              <w:right w:val="nil"/>
            </w:tcBorders>
            <w:shd w:val="clear" w:color="000000" w:fill="D9D9D9"/>
            <w:noWrap/>
            <w:vAlign w:val="bottom"/>
          </w:tcPr>
          <w:p w14:paraId="5711EB5D" w14:textId="452B9F61"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117 742 177</w:t>
            </w:r>
          </w:p>
        </w:tc>
        <w:tc>
          <w:tcPr>
            <w:tcW w:w="588" w:type="pct"/>
            <w:tcBorders>
              <w:top w:val="nil"/>
              <w:left w:val="nil"/>
              <w:bottom w:val="nil"/>
              <w:right w:val="nil"/>
            </w:tcBorders>
            <w:shd w:val="clear" w:color="000000" w:fill="9CC2E5"/>
            <w:noWrap/>
            <w:vAlign w:val="bottom"/>
          </w:tcPr>
          <w:p w14:paraId="657F43E5" w14:textId="358E2DCC"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143 437 773</w:t>
            </w:r>
          </w:p>
        </w:tc>
        <w:tc>
          <w:tcPr>
            <w:tcW w:w="558" w:type="pct"/>
            <w:tcBorders>
              <w:top w:val="nil"/>
              <w:left w:val="nil"/>
              <w:bottom w:val="nil"/>
              <w:right w:val="nil"/>
            </w:tcBorders>
            <w:shd w:val="clear" w:color="000000" w:fill="9CC2E5"/>
            <w:noWrap/>
            <w:vAlign w:val="bottom"/>
          </w:tcPr>
          <w:p w14:paraId="5E5CA4B8" w14:textId="2A7FB19E"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143 708 292</w:t>
            </w:r>
          </w:p>
        </w:tc>
      </w:tr>
      <w:tr w:rsidR="00716EBE" w:rsidRPr="00C664BA" w14:paraId="01DDB436" w14:textId="77777777" w:rsidTr="00716EBE">
        <w:trPr>
          <w:trHeight w:val="317"/>
        </w:trPr>
        <w:tc>
          <w:tcPr>
            <w:tcW w:w="980" w:type="pct"/>
            <w:tcBorders>
              <w:top w:val="nil"/>
              <w:left w:val="nil"/>
              <w:bottom w:val="single" w:sz="8" w:space="0" w:color="DCE6F1"/>
              <w:right w:val="nil"/>
            </w:tcBorders>
            <w:shd w:val="clear" w:color="000000" w:fill="D9D9D9"/>
            <w:noWrap/>
            <w:vAlign w:val="center"/>
            <w:hideMark/>
          </w:tcPr>
          <w:p w14:paraId="55C81088" w14:textId="77777777" w:rsidR="00F93812" w:rsidRPr="00C664BA" w:rsidRDefault="00F93812" w:rsidP="00F93812">
            <w:pPr>
              <w:spacing w:after="0" w:line="240" w:lineRule="auto"/>
              <w:rPr>
                <w:rFonts w:ascii="Calibri" w:eastAsia="Times New Roman" w:hAnsi="Calibri" w:cs="Calibri"/>
                <w:b/>
                <w:bCs/>
                <w:color w:val="000000"/>
                <w:sz w:val="18"/>
                <w:szCs w:val="18"/>
                <w:lang w:eastAsia="sk-SK"/>
              </w:rPr>
            </w:pPr>
            <w:r w:rsidRPr="00C664BA">
              <w:rPr>
                <w:rFonts w:ascii="Calibri" w:eastAsia="Times New Roman" w:hAnsi="Calibri" w:cs="Calibri"/>
                <w:b/>
                <w:bCs/>
                <w:color w:val="000000"/>
                <w:sz w:val="18"/>
                <w:szCs w:val="18"/>
                <w:lang w:eastAsia="sk-SK"/>
              </w:rPr>
              <w:t>310 -Tuzemské bežné granty a transfery</w:t>
            </w:r>
          </w:p>
        </w:tc>
        <w:tc>
          <w:tcPr>
            <w:tcW w:w="522" w:type="pct"/>
            <w:tcBorders>
              <w:top w:val="nil"/>
              <w:left w:val="nil"/>
              <w:bottom w:val="single" w:sz="8" w:space="0" w:color="DCE6F1"/>
              <w:right w:val="nil"/>
            </w:tcBorders>
            <w:shd w:val="clear" w:color="000000" w:fill="D9D9D9"/>
            <w:noWrap/>
            <w:vAlign w:val="bottom"/>
            <w:hideMark/>
          </w:tcPr>
          <w:p w14:paraId="772F13A2" w14:textId="15E3DEE1"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75 615 717</w:t>
            </w:r>
          </w:p>
        </w:tc>
        <w:tc>
          <w:tcPr>
            <w:tcW w:w="653" w:type="pct"/>
            <w:tcBorders>
              <w:top w:val="nil"/>
              <w:left w:val="nil"/>
              <w:bottom w:val="single" w:sz="8" w:space="0" w:color="DCE6F1"/>
              <w:right w:val="nil"/>
            </w:tcBorders>
            <w:shd w:val="clear" w:color="000000" w:fill="D9D9D9"/>
            <w:noWrap/>
            <w:vAlign w:val="bottom"/>
          </w:tcPr>
          <w:p w14:paraId="64113312" w14:textId="61EA181B"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95 278 829</w:t>
            </w:r>
          </w:p>
        </w:tc>
        <w:tc>
          <w:tcPr>
            <w:tcW w:w="522" w:type="pct"/>
            <w:tcBorders>
              <w:top w:val="nil"/>
              <w:left w:val="nil"/>
              <w:bottom w:val="nil"/>
              <w:right w:val="nil"/>
            </w:tcBorders>
            <w:shd w:val="clear" w:color="000000" w:fill="D9D9D9"/>
            <w:noWrap/>
            <w:vAlign w:val="bottom"/>
            <w:hideMark/>
          </w:tcPr>
          <w:p w14:paraId="02E1383F" w14:textId="11A8BA00"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87 207 697</w:t>
            </w:r>
          </w:p>
        </w:tc>
        <w:tc>
          <w:tcPr>
            <w:tcW w:w="588" w:type="pct"/>
            <w:tcBorders>
              <w:top w:val="nil"/>
              <w:left w:val="nil"/>
              <w:bottom w:val="nil"/>
              <w:right w:val="nil"/>
            </w:tcBorders>
            <w:shd w:val="clear" w:color="000000" w:fill="D9D9D9"/>
            <w:noWrap/>
            <w:vAlign w:val="bottom"/>
          </w:tcPr>
          <w:p w14:paraId="15378249" w14:textId="10F45C68"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96 706 677</w:t>
            </w:r>
          </w:p>
        </w:tc>
        <w:tc>
          <w:tcPr>
            <w:tcW w:w="589" w:type="pct"/>
            <w:tcBorders>
              <w:top w:val="nil"/>
              <w:left w:val="nil"/>
              <w:bottom w:val="nil"/>
              <w:right w:val="nil"/>
            </w:tcBorders>
            <w:shd w:val="clear" w:color="000000" w:fill="D9D9D9"/>
            <w:noWrap/>
            <w:vAlign w:val="bottom"/>
          </w:tcPr>
          <w:p w14:paraId="0D8DE33F" w14:textId="0989C36C"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96 415 381</w:t>
            </w:r>
          </w:p>
        </w:tc>
        <w:tc>
          <w:tcPr>
            <w:tcW w:w="588" w:type="pct"/>
            <w:tcBorders>
              <w:top w:val="nil"/>
              <w:left w:val="nil"/>
              <w:bottom w:val="nil"/>
              <w:right w:val="nil"/>
            </w:tcBorders>
            <w:shd w:val="clear" w:color="000000" w:fill="D9D9D9"/>
            <w:noWrap/>
            <w:vAlign w:val="bottom"/>
          </w:tcPr>
          <w:p w14:paraId="17539F43" w14:textId="051ABE36"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100 369 100</w:t>
            </w:r>
          </w:p>
        </w:tc>
        <w:tc>
          <w:tcPr>
            <w:tcW w:w="558" w:type="pct"/>
            <w:tcBorders>
              <w:top w:val="nil"/>
              <w:left w:val="nil"/>
              <w:bottom w:val="nil"/>
              <w:right w:val="nil"/>
            </w:tcBorders>
            <w:shd w:val="clear" w:color="000000" w:fill="D9D9D9"/>
            <w:noWrap/>
            <w:vAlign w:val="bottom"/>
          </w:tcPr>
          <w:p w14:paraId="7E1189BB" w14:textId="6DFFC507"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104 086 517</w:t>
            </w:r>
          </w:p>
        </w:tc>
      </w:tr>
      <w:tr w:rsidR="00716EBE" w:rsidRPr="00C664BA" w14:paraId="0E19BE53" w14:textId="77777777" w:rsidTr="00716EBE">
        <w:trPr>
          <w:trHeight w:val="317"/>
        </w:trPr>
        <w:tc>
          <w:tcPr>
            <w:tcW w:w="980" w:type="pct"/>
            <w:tcBorders>
              <w:top w:val="nil"/>
              <w:left w:val="nil"/>
              <w:bottom w:val="single" w:sz="8" w:space="0" w:color="DCE6F1"/>
              <w:right w:val="nil"/>
            </w:tcBorders>
            <w:shd w:val="clear" w:color="auto" w:fill="auto"/>
            <w:noWrap/>
            <w:vAlign w:val="center"/>
            <w:hideMark/>
          </w:tcPr>
          <w:p w14:paraId="31573709" w14:textId="77777777" w:rsidR="00F93812" w:rsidRPr="00C664BA" w:rsidRDefault="00F93812" w:rsidP="00F93812">
            <w:pPr>
              <w:spacing w:after="0" w:line="240" w:lineRule="auto"/>
              <w:rPr>
                <w:rFonts w:ascii="Calibri" w:eastAsia="Times New Roman" w:hAnsi="Calibri" w:cs="Calibri"/>
                <w:color w:val="000000"/>
                <w:sz w:val="16"/>
                <w:szCs w:val="16"/>
                <w:lang w:eastAsia="sk-SK"/>
              </w:rPr>
            </w:pPr>
            <w:r w:rsidRPr="00C664BA">
              <w:rPr>
                <w:rFonts w:ascii="Calibri" w:eastAsia="Times New Roman" w:hAnsi="Calibri" w:cs="Calibri"/>
                <w:color w:val="000000"/>
                <w:sz w:val="16"/>
                <w:szCs w:val="16"/>
                <w:lang w:eastAsia="sk-SK"/>
              </w:rPr>
              <w:t>Úrad</w:t>
            </w:r>
          </w:p>
        </w:tc>
        <w:tc>
          <w:tcPr>
            <w:tcW w:w="522" w:type="pct"/>
            <w:tcBorders>
              <w:top w:val="nil"/>
              <w:left w:val="nil"/>
              <w:bottom w:val="single" w:sz="8" w:space="0" w:color="DCE6F1"/>
              <w:right w:val="nil"/>
            </w:tcBorders>
            <w:shd w:val="clear" w:color="auto" w:fill="auto"/>
            <w:noWrap/>
            <w:vAlign w:val="bottom"/>
            <w:hideMark/>
          </w:tcPr>
          <w:p w14:paraId="79E72FAE" w14:textId="2FADD866"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73 713 506</w:t>
            </w:r>
          </w:p>
        </w:tc>
        <w:tc>
          <w:tcPr>
            <w:tcW w:w="653" w:type="pct"/>
            <w:tcBorders>
              <w:top w:val="nil"/>
              <w:left w:val="nil"/>
              <w:bottom w:val="single" w:sz="8" w:space="0" w:color="DCE6F1"/>
              <w:right w:val="nil"/>
            </w:tcBorders>
            <w:shd w:val="clear" w:color="auto" w:fill="auto"/>
            <w:noWrap/>
            <w:vAlign w:val="bottom"/>
          </w:tcPr>
          <w:p w14:paraId="351D2E22" w14:textId="3B53804B"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93 345 511</w:t>
            </w:r>
          </w:p>
        </w:tc>
        <w:tc>
          <w:tcPr>
            <w:tcW w:w="522" w:type="pct"/>
            <w:tcBorders>
              <w:top w:val="nil"/>
              <w:left w:val="nil"/>
              <w:bottom w:val="single" w:sz="8" w:space="0" w:color="DCE6F1"/>
              <w:right w:val="nil"/>
            </w:tcBorders>
            <w:shd w:val="clear" w:color="auto" w:fill="auto"/>
            <w:noWrap/>
            <w:vAlign w:val="bottom"/>
            <w:hideMark/>
          </w:tcPr>
          <w:p w14:paraId="3B7F9502" w14:textId="420A647D"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86 067 933</w:t>
            </w:r>
          </w:p>
        </w:tc>
        <w:tc>
          <w:tcPr>
            <w:tcW w:w="588" w:type="pct"/>
            <w:tcBorders>
              <w:top w:val="nil"/>
              <w:left w:val="nil"/>
              <w:bottom w:val="single" w:sz="8" w:space="0" w:color="DCE6F1"/>
              <w:right w:val="nil"/>
            </w:tcBorders>
            <w:shd w:val="clear" w:color="auto" w:fill="auto"/>
            <w:noWrap/>
            <w:vAlign w:val="bottom"/>
          </w:tcPr>
          <w:p w14:paraId="28845295" w14:textId="23BDF218"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94 671 366</w:t>
            </w:r>
          </w:p>
        </w:tc>
        <w:tc>
          <w:tcPr>
            <w:tcW w:w="589" w:type="pct"/>
            <w:tcBorders>
              <w:top w:val="nil"/>
              <w:left w:val="nil"/>
              <w:bottom w:val="single" w:sz="8" w:space="0" w:color="DCE6F1"/>
              <w:right w:val="nil"/>
            </w:tcBorders>
            <w:shd w:val="clear" w:color="000000" w:fill="D9D9D9"/>
            <w:noWrap/>
            <w:vAlign w:val="bottom"/>
          </w:tcPr>
          <w:p w14:paraId="7760E455" w14:textId="48FD3EA9"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95 146 273</w:t>
            </w:r>
          </w:p>
        </w:tc>
        <w:tc>
          <w:tcPr>
            <w:tcW w:w="588" w:type="pct"/>
            <w:tcBorders>
              <w:top w:val="nil"/>
              <w:left w:val="nil"/>
              <w:bottom w:val="single" w:sz="8" w:space="0" w:color="DCE6F1"/>
              <w:right w:val="nil"/>
            </w:tcBorders>
            <w:shd w:val="clear" w:color="auto" w:fill="auto"/>
            <w:noWrap/>
            <w:vAlign w:val="bottom"/>
          </w:tcPr>
          <w:p w14:paraId="5B2498A6" w14:textId="3659BF39"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99 339 264</w:t>
            </w:r>
          </w:p>
        </w:tc>
        <w:tc>
          <w:tcPr>
            <w:tcW w:w="558" w:type="pct"/>
            <w:tcBorders>
              <w:top w:val="nil"/>
              <w:left w:val="nil"/>
              <w:bottom w:val="single" w:sz="8" w:space="0" w:color="DCE6F1"/>
              <w:right w:val="nil"/>
            </w:tcBorders>
            <w:shd w:val="clear" w:color="auto" w:fill="auto"/>
            <w:noWrap/>
            <w:vAlign w:val="bottom"/>
          </w:tcPr>
          <w:p w14:paraId="2600F73E" w14:textId="2C09C1C7"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103 066 385</w:t>
            </w:r>
          </w:p>
        </w:tc>
      </w:tr>
      <w:tr w:rsidR="00716EBE" w:rsidRPr="00C664BA" w14:paraId="6E5DA5B6" w14:textId="77777777" w:rsidTr="00716EBE">
        <w:trPr>
          <w:trHeight w:val="317"/>
        </w:trPr>
        <w:tc>
          <w:tcPr>
            <w:tcW w:w="980" w:type="pct"/>
            <w:tcBorders>
              <w:top w:val="nil"/>
              <w:left w:val="nil"/>
              <w:bottom w:val="single" w:sz="8" w:space="0" w:color="DCE6F1"/>
              <w:right w:val="nil"/>
            </w:tcBorders>
            <w:shd w:val="clear" w:color="auto" w:fill="auto"/>
            <w:noWrap/>
            <w:vAlign w:val="center"/>
            <w:hideMark/>
          </w:tcPr>
          <w:p w14:paraId="0CA71D7E" w14:textId="77777777" w:rsidR="00F93812" w:rsidRPr="00C664BA" w:rsidRDefault="00F93812" w:rsidP="00F93812">
            <w:pPr>
              <w:spacing w:after="0" w:line="240" w:lineRule="auto"/>
              <w:rPr>
                <w:rFonts w:ascii="Calibri" w:eastAsia="Times New Roman" w:hAnsi="Calibri" w:cs="Calibri"/>
                <w:color w:val="000000"/>
                <w:sz w:val="16"/>
                <w:szCs w:val="16"/>
                <w:lang w:eastAsia="sk-SK"/>
              </w:rPr>
            </w:pPr>
            <w:r w:rsidRPr="00C664BA">
              <w:rPr>
                <w:rFonts w:ascii="Calibri" w:eastAsia="Times New Roman" w:hAnsi="Calibri" w:cs="Calibri"/>
                <w:color w:val="000000"/>
                <w:sz w:val="16"/>
                <w:szCs w:val="16"/>
                <w:lang w:eastAsia="sk-SK"/>
              </w:rPr>
              <w:t xml:space="preserve">Príjmy </w:t>
            </w:r>
            <w:proofErr w:type="spellStart"/>
            <w:r w:rsidRPr="00C664BA">
              <w:rPr>
                <w:rFonts w:ascii="Calibri" w:eastAsia="Times New Roman" w:hAnsi="Calibri" w:cs="Calibri"/>
                <w:color w:val="000000"/>
                <w:sz w:val="16"/>
                <w:szCs w:val="16"/>
                <w:lang w:eastAsia="sk-SK"/>
              </w:rPr>
              <w:t>ZvZP</w:t>
            </w:r>
            <w:proofErr w:type="spellEnd"/>
            <w:r w:rsidRPr="00C664BA">
              <w:rPr>
                <w:rFonts w:ascii="Calibri" w:eastAsia="Times New Roman" w:hAnsi="Calibri" w:cs="Calibri"/>
                <w:color w:val="000000"/>
                <w:sz w:val="16"/>
                <w:szCs w:val="16"/>
                <w:lang w:eastAsia="sk-SK"/>
              </w:rPr>
              <w:t xml:space="preserve"> - sociálne zabezpečenie</w:t>
            </w:r>
          </w:p>
        </w:tc>
        <w:tc>
          <w:tcPr>
            <w:tcW w:w="522" w:type="pct"/>
            <w:tcBorders>
              <w:top w:val="nil"/>
              <w:left w:val="nil"/>
              <w:bottom w:val="single" w:sz="8" w:space="0" w:color="DCE6F1"/>
              <w:right w:val="nil"/>
            </w:tcBorders>
            <w:shd w:val="clear" w:color="auto" w:fill="auto"/>
            <w:noWrap/>
            <w:vAlign w:val="bottom"/>
            <w:hideMark/>
          </w:tcPr>
          <w:p w14:paraId="02232C1D" w14:textId="141ABC38"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536 523</w:t>
            </w:r>
          </w:p>
        </w:tc>
        <w:tc>
          <w:tcPr>
            <w:tcW w:w="653" w:type="pct"/>
            <w:tcBorders>
              <w:top w:val="nil"/>
              <w:left w:val="nil"/>
              <w:bottom w:val="single" w:sz="8" w:space="0" w:color="DCE6F1"/>
              <w:right w:val="nil"/>
            </w:tcBorders>
            <w:shd w:val="clear" w:color="auto" w:fill="auto"/>
            <w:noWrap/>
            <w:vAlign w:val="bottom"/>
          </w:tcPr>
          <w:p w14:paraId="1A601700" w14:textId="60B361B8"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460 990</w:t>
            </w:r>
          </w:p>
        </w:tc>
        <w:tc>
          <w:tcPr>
            <w:tcW w:w="522" w:type="pct"/>
            <w:tcBorders>
              <w:top w:val="nil"/>
              <w:left w:val="nil"/>
              <w:bottom w:val="single" w:sz="8" w:space="0" w:color="DCE6F1"/>
              <w:right w:val="nil"/>
            </w:tcBorders>
            <w:shd w:val="clear" w:color="auto" w:fill="auto"/>
            <w:noWrap/>
            <w:vAlign w:val="bottom"/>
            <w:hideMark/>
          </w:tcPr>
          <w:p w14:paraId="735F12E5" w14:textId="375A61D2"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382 864</w:t>
            </w:r>
          </w:p>
        </w:tc>
        <w:tc>
          <w:tcPr>
            <w:tcW w:w="588" w:type="pct"/>
            <w:tcBorders>
              <w:top w:val="nil"/>
              <w:left w:val="nil"/>
              <w:bottom w:val="single" w:sz="8" w:space="0" w:color="DCE6F1"/>
              <w:right w:val="nil"/>
            </w:tcBorders>
            <w:shd w:val="clear" w:color="auto" w:fill="auto"/>
            <w:noWrap/>
            <w:vAlign w:val="bottom"/>
          </w:tcPr>
          <w:p w14:paraId="2164DF5E" w14:textId="21677907"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419 747</w:t>
            </w:r>
          </w:p>
        </w:tc>
        <w:tc>
          <w:tcPr>
            <w:tcW w:w="589" w:type="pct"/>
            <w:tcBorders>
              <w:top w:val="nil"/>
              <w:left w:val="nil"/>
              <w:bottom w:val="single" w:sz="8" w:space="0" w:color="DCE6F1"/>
              <w:right w:val="nil"/>
            </w:tcBorders>
            <w:shd w:val="clear" w:color="000000" w:fill="D9D9D9"/>
            <w:noWrap/>
            <w:vAlign w:val="bottom"/>
          </w:tcPr>
          <w:p w14:paraId="35D9DC83" w14:textId="199ABCD0"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411 872</w:t>
            </w:r>
          </w:p>
        </w:tc>
        <w:tc>
          <w:tcPr>
            <w:tcW w:w="588" w:type="pct"/>
            <w:tcBorders>
              <w:top w:val="nil"/>
              <w:left w:val="nil"/>
              <w:bottom w:val="single" w:sz="8" w:space="0" w:color="DCE6F1"/>
              <w:right w:val="nil"/>
            </w:tcBorders>
            <w:shd w:val="clear" w:color="auto" w:fill="auto"/>
            <w:noWrap/>
            <w:vAlign w:val="bottom"/>
          </w:tcPr>
          <w:p w14:paraId="01ED4C62" w14:textId="604A4509"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390 232</w:t>
            </w:r>
          </w:p>
        </w:tc>
        <w:tc>
          <w:tcPr>
            <w:tcW w:w="558" w:type="pct"/>
            <w:tcBorders>
              <w:top w:val="nil"/>
              <w:left w:val="nil"/>
              <w:bottom w:val="single" w:sz="8" w:space="0" w:color="DCE6F1"/>
              <w:right w:val="nil"/>
            </w:tcBorders>
            <w:shd w:val="clear" w:color="auto" w:fill="auto"/>
            <w:noWrap/>
            <w:vAlign w:val="bottom"/>
          </w:tcPr>
          <w:p w14:paraId="07980753" w14:textId="1C47636E"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390 232</w:t>
            </w:r>
          </w:p>
        </w:tc>
      </w:tr>
      <w:tr w:rsidR="00716EBE" w:rsidRPr="00C664BA" w14:paraId="176654AB" w14:textId="77777777" w:rsidTr="00716EBE">
        <w:trPr>
          <w:trHeight w:val="317"/>
        </w:trPr>
        <w:tc>
          <w:tcPr>
            <w:tcW w:w="980" w:type="pct"/>
            <w:tcBorders>
              <w:top w:val="nil"/>
              <w:left w:val="nil"/>
              <w:bottom w:val="single" w:sz="8" w:space="0" w:color="DCE6F1"/>
              <w:right w:val="nil"/>
            </w:tcBorders>
            <w:shd w:val="clear" w:color="auto" w:fill="auto"/>
            <w:noWrap/>
            <w:vAlign w:val="center"/>
            <w:hideMark/>
          </w:tcPr>
          <w:p w14:paraId="19AB2E8C" w14:textId="77777777" w:rsidR="00F93812" w:rsidRPr="00C664BA" w:rsidRDefault="00F93812" w:rsidP="00F93812">
            <w:pPr>
              <w:spacing w:after="0" w:line="240" w:lineRule="auto"/>
              <w:rPr>
                <w:rFonts w:ascii="Calibri" w:eastAsia="Times New Roman" w:hAnsi="Calibri" w:cs="Calibri"/>
                <w:color w:val="000000"/>
                <w:sz w:val="16"/>
                <w:szCs w:val="16"/>
                <w:lang w:eastAsia="sk-SK"/>
              </w:rPr>
            </w:pPr>
            <w:r w:rsidRPr="00C664BA">
              <w:rPr>
                <w:rFonts w:ascii="Calibri" w:eastAsia="Times New Roman" w:hAnsi="Calibri" w:cs="Calibri"/>
                <w:color w:val="000000"/>
                <w:sz w:val="16"/>
                <w:szCs w:val="16"/>
                <w:lang w:eastAsia="sk-SK"/>
              </w:rPr>
              <w:t xml:space="preserve">Príjmy </w:t>
            </w:r>
            <w:proofErr w:type="spellStart"/>
            <w:r w:rsidRPr="00C664BA">
              <w:rPr>
                <w:rFonts w:ascii="Calibri" w:eastAsia="Times New Roman" w:hAnsi="Calibri" w:cs="Calibri"/>
                <w:color w:val="000000"/>
                <w:sz w:val="16"/>
                <w:szCs w:val="16"/>
                <w:lang w:eastAsia="sk-SK"/>
              </w:rPr>
              <w:t>ZvZP</w:t>
            </w:r>
            <w:proofErr w:type="spellEnd"/>
            <w:r w:rsidRPr="00C664BA">
              <w:rPr>
                <w:rFonts w:ascii="Calibri" w:eastAsia="Times New Roman" w:hAnsi="Calibri" w:cs="Calibri"/>
                <w:color w:val="000000"/>
                <w:sz w:val="16"/>
                <w:szCs w:val="16"/>
                <w:lang w:eastAsia="sk-SK"/>
              </w:rPr>
              <w:t xml:space="preserve"> - vzdelávanie</w:t>
            </w:r>
          </w:p>
        </w:tc>
        <w:tc>
          <w:tcPr>
            <w:tcW w:w="522" w:type="pct"/>
            <w:tcBorders>
              <w:top w:val="nil"/>
              <w:left w:val="nil"/>
              <w:bottom w:val="single" w:sz="8" w:space="0" w:color="DCE6F1"/>
              <w:right w:val="nil"/>
            </w:tcBorders>
            <w:shd w:val="clear" w:color="auto" w:fill="auto"/>
            <w:noWrap/>
            <w:vAlign w:val="bottom"/>
            <w:hideMark/>
          </w:tcPr>
          <w:p w14:paraId="572569BB" w14:textId="12EE9929"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1 365 688</w:t>
            </w:r>
          </w:p>
        </w:tc>
        <w:tc>
          <w:tcPr>
            <w:tcW w:w="653" w:type="pct"/>
            <w:tcBorders>
              <w:top w:val="nil"/>
              <w:left w:val="nil"/>
              <w:bottom w:val="single" w:sz="8" w:space="0" w:color="DCE6F1"/>
              <w:right w:val="nil"/>
            </w:tcBorders>
            <w:shd w:val="clear" w:color="auto" w:fill="auto"/>
            <w:noWrap/>
            <w:vAlign w:val="bottom"/>
          </w:tcPr>
          <w:p w14:paraId="5155FF9A" w14:textId="667664FA"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1 472 328</w:t>
            </w:r>
          </w:p>
        </w:tc>
        <w:tc>
          <w:tcPr>
            <w:tcW w:w="522" w:type="pct"/>
            <w:tcBorders>
              <w:top w:val="nil"/>
              <w:left w:val="nil"/>
              <w:bottom w:val="single" w:sz="8" w:space="0" w:color="DCE6F1"/>
              <w:right w:val="nil"/>
            </w:tcBorders>
            <w:shd w:val="clear" w:color="auto" w:fill="auto"/>
            <w:noWrap/>
            <w:vAlign w:val="bottom"/>
            <w:hideMark/>
          </w:tcPr>
          <w:p w14:paraId="6B3B9A86" w14:textId="6DA23BB5"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756 900</w:t>
            </w:r>
          </w:p>
        </w:tc>
        <w:tc>
          <w:tcPr>
            <w:tcW w:w="588" w:type="pct"/>
            <w:tcBorders>
              <w:top w:val="nil"/>
              <w:left w:val="nil"/>
              <w:bottom w:val="single" w:sz="8" w:space="0" w:color="DCE6F1"/>
              <w:right w:val="nil"/>
            </w:tcBorders>
            <w:shd w:val="clear" w:color="auto" w:fill="auto"/>
            <w:noWrap/>
            <w:vAlign w:val="bottom"/>
          </w:tcPr>
          <w:p w14:paraId="68A3EFE0" w14:textId="03D97FC0"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1 615 564</w:t>
            </w:r>
          </w:p>
        </w:tc>
        <w:tc>
          <w:tcPr>
            <w:tcW w:w="589" w:type="pct"/>
            <w:tcBorders>
              <w:top w:val="nil"/>
              <w:left w:val="nil"/>
              <w:bottom w:val="single" w:sz="8" w:space="0" w:color="DCE6F1"/>
              <w:right w:val="nil"/>
            </w:tcBorders>
            <w:shd w:val="clear" w:color="000000" w:fill="D9D9D9"/>
            <w:noWrap/>
            <w:vAlign w:val="bottom"/>
          </w:tcPr>
          <w:p w14:paraId="74366579" w14:textId="4A0698EE"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857 236</w:t>
            </w:r>
          </w:p>
        </w:tc>
        <w:tc>
          <w:tcPr>
            <w:tcW w:w="588" w:type="pct"/>
            <w:tcBorders>
              <w:top w:val="nil"/>
              <w:left w:val="nil"/>
              <w:bottom w:val="single" w:sz="8" w:space="0" w:color="DCE6F1"/>
              <w:right w:val="nil"/>
            </w:tcBorders>
            <w:shd w:val="clear" w:color="auto" w:fill="auto"/>
            <w:noWrap/>
            <w:vAlign w:val="bottom"/>
          </w:tcPr>
          <w:p w14:paraId="65DFD1E2" w14:textId="7A25B46E"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639 604</w:t>
            </w:r>
          </w:p>
        </w:tc>
        <w:tc>
          <w:tcPr>
            <w:tcW w:w="558" w:type="pct"/>
            <w:tcBorders>
              <w:top w:val="nil"/>
              <w:left w:val="nil"/>
              <w:bottom w:val="single" w:sz="8" w:space="0" w:color="DCE6F1"/>
              <w:right w:val="nil"/>
            </w:tcBorders>
            <w:shd w:val="clear" w:color="auto" w:fill="auto"/>
            <w:noWrap/>
            <w:vAlign w:val="bottom"/>
          </w:tcPr>
          <w:p w14:paraId="5683BFEA" w14:textId="1387D53A"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629 900</w:t>
            </w:r>
          </w:p>
        </w:tc>
      </w:tr>
      <w:tr w:rsidR="00716EBE" w:rsidRPr="00C664BA" w14:paraId="247FDEE6" w14:textId="77777777" w:rsidTr="00716EBE">
        <w:trPr>
          <w:trHeight w:val="317"/>
        </w:trPr>
        <w:tc>
          <w:tcPr>
            <w:tcW w:w="980" w:type="pct"/>
            <w:tcBorders>
              <w:top w:val="nil"/>
              <w:left w:val="nil"/>
              <w:bottom w:val="single" w:sz="8" w:space="0" w:color="DCE6F1"/>
              <w:right w:val="nil"/>
            </w:tcBorders>
            <w:shd w:val="clear" w:color="000000" w:fill="D9D9D9"/>
            <w:noWrap/>
            <w:vAlign w:val="center"/>
            <w:hideMark/>
          </w:tcPr>
          <w:p w14:paraId="4BCAE3BC" w14:textId="59B4CD90" w:rsidR="00F93812" w:rsidRPr="00C664BA" w:rsidRDefault="00F93812" w:rsidP="00F93812">
            <w:pPr>
              <w:spacing w:after="0" w:line="240" w:lineRule="auto"/>
              <w:rPr>
                <w:rFonts w:ascii="Calibri" w:eastAsia="Times New Roman" w:hAnsi="Calibri" w:cs="Calibri"/>
                <w:b/>
                <w:bCs/>
                <w:color w:val="000000"/>
                <w:sz w:val="18"/>
                <w:szCs w:val="18"/>
                <w:lang w:eastAsia="sk-SK"/>
              </w:rPr>
            </w:pPr>
            <w:r w:rsidRPr="00C664BA">
              <w:rPr>
                <w:rFonts w:ascii="Calibri" w:eastAsia="Times New Roman" w:hAnsi="Calibri" w:cs="Calibri"/>
                <w:b/>
                <w:bCs/>
                <w:color w:val="000000"/>
                <w:sz w:val="18"/>
                <w:szCs w:val="18"/>
                <w:lang w:eastAsia="sk-SK"/>
              </w:rPr>
              <w:t>320 -Tuzemské kap</w:t>
            </w:r>
            <w:r>
              <w:rPr>
                <w:rFonts w:ascii="Calibri" w:eastAsia="Times New Roman" w:hAnsi="Calibri" w:cs="Calibri"/>
                <w:b/>
                <w:bCs/>
                <w:color w:val="000000"/>
                <w:sz w:val="18"/>
                <w:szCs w:val="18"/>
                <w:lang w:eastAsia="sk-SK"/>
              </w:rPr>
              <w:t>.</w:t>
            </w:r>
            <w:r w:rsidRPr="00C664BA">
              <w:rPr>
                <w:rFonts w:ascii="Calibri" w:eastAsia="Times New Roman" w:hAnsi="Calibri" w:cs="Calibri"/>
                <w:b/>
                <w:bCs/>
                <w:color w:val="000000"/>
                <w:sz w:val="18"/>
                <w:szCs w:val="18"/>
                <w:lang w:eastAsia="sk-SK"/>
              </w:rPr>
              <w:t xml:space="preserve"> granty a transfery</w:t>
            </w:r>
          </w:p>
        </w:tc>
        <w:tc>
          <w:tcPr>
            <w:tcW w:w="522" w:type="pct"/>
            <w:tcBorders>
              <w:top w:val="nil"/>
              <w:left w:val="nil"/>
              <w:bottom w:val="single" w:sz="8" w:space="0" w:color="DCE6F1"/>
              <w:right w:val="nil"/>
            </w:tcBorders>
            <w:shd w:val="clear" w:color="000000" w:fill="D9D9D9"/>
            <w:noWrap/>
            <w:vAlign w:val="bottom"/>
            <w:hideMark/>
          </w:tcPr>
          <w:p w14:paraId="418F854E" w14:textId="29330BB0"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9 024 090</w:t>
            </w:r>
          </w:p>
        </w:tc>
        <w:tc>
          <w:tcPr>
            <w:tcW w:w="653" w:type="pct"/>
            <w:tcBorders>
              <w:top w:val="nil"/>
              <w:left w:val="nil"/>
              <w:bottom w:val="single" w:sz="8" w:space="0" w:color="DCE6F1"/>
              <w:right w:val="nil"/>
            </w:tcBorders>
            <w:shd w:val="clear" w:color="000000" w:fill="D9D9D9"/>
            <w:noWrap/>
            <w:vAlign w:val="bottom"/>
          </w:tcPr>
          <w:p w14:paraId="39F9CB4A" w14:textId="265418B6"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8 824 825</w:t>
            </w:r>
          </w:p>
        </w:tc>
        <w:tc>
          <w:tcPr>
            <w:tcW w:w="522" w:type="pct"/>
            <w:tcBorders>
              <w:top w:val="nil"/>
              <w:left w:val="nil"/>
              <w:bottom w:val="single" w:sz="8" w:space="0" w:color="DCE6F1"/>
              <w:right w:val="nil"/>
            </w:tcBorders>
            <w:shd w:val="clear" w:color="000000" w:fill="D9D9D9"/>
            <w:noWrap/>
            <w:vAlign w:val="bottom"/>
            <w:hideMark/>
          </w:tcPr>
          <w:p w14:paraId="3EF8BA70" w14:textId="7DA002EA"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10 474 094</w:t>
            </w:r>
          </w:p>
        </w:tc>
        <w:tc>
          <w:tcPr>
            <w:tcW w:w="588" w:type="pct"/>
            <w:tcBorders>
              <w:top w:val="nil"/>
              <w:left w:val="nil"/>
              <w:bottom w:val="single" w:sz="8" w:space="0" w:color="DCE6F1"/>
              <w:right w:val="nil"/>
            </w:tcBorders>
            <w:shd w:val="clear" w:color="000000" w:fill="D9D9D9"/>
            <w:noWrap/>
            <w:vAlign w:val="bottom"/>
          </w:tcPr>
          <w:p w14:paraId="67152B62" w14:textId="7E9CB8B4"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7 886 014</w:t>
            </w:r>
          </w:p>
        </w:tc>
        <w:tc>
          <w:tcPr>
            <w:tcW w:w="589" w:type="pct"/>
            <w:tcBorders>
              <w:top w:val="nil"/>
              <w:left w:val="nil"/>
              <w:bottom w:val="single" w:sz="8" w:space="0" w:color="DCE6F1"/>
              <w:right w:val="nil"/>
            </w:tcBorders>
            <w:shd w:val="clear" w:color="000000" w:fill="D9D9D9"/>
            <w:noWrap/>
            <w:vAlign w:val="bottom"/>
          </w:tcPr>
          <w:p w14:paraId="322E407E" w14:textId="5D66BF4F"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21 326 797</w:t>
            </w:r>
          </w:p>
        </w:tc>
        <w:tc>
          <w:tcPr>
            <w:tcW w:w="588" w:type="pct"/>
            <w:tcBorders>
              <w:top w:val="nil"/>
              <w:left w:val="nil"/>
              <w:bottom w:val="single" w:sz="8" w:space="0" w:color="DCE6F1"/>
              <w:right w:val="nil"/>
            </w:tcBorders>
            <w:shd w:val="clear" w:color="000000" w:fill="D9D9D9"/>
            <w:noWrap/>
            <w:vAlign w:val="bottom"/>
          </w:tcPr>
          <w:p w14:paraId="336CFF36" w14:textId="49C62585"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43 068 673</w:t>
            </w:r>
          </w:p>
        </w:tc>
        <w:tc>
          <w:tcPr>
            <w:tcW w:w="558" w:type="pct"/>
            <w:tcBorders>
              <w:top w:val="nil"/>
              <w:left w:val="nil"/>
              <w:bottom w:val="single" w:sz="8" w:space="0" w:color="DCE6F1"/>
              <w:right w:val="nil"/>
            </w:tcBorders>
            <w:shd w:val="clear" w:color="000000" w:fill="D9D9D9"/>
            <w:noWrap/>
            <w:vAlign w:val="bottom"/>
          </w:tcPr>
          <w:p w14:paraId="7787817F" w14:textId="519A47C4"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37 531 775</w:t>
            </w:r>
          </w:p>
        </w:tc>
      </w:tr>
      <w:tr w:rsidR="00716EBE" w:rsidRPr="00C664BA" w14:paraId="38402D12" w14:textId="77777777" w:rsidTr="00716EBE">
        <w:trPr>
          <w:trHeight w:val="317"/>
        </w:trPr>
        <w:tc>
          <w:tcPr>
            <w:tcW w:w="980" w:type="pct"/>
            <w:tcBorders>
              <w:top w:val="nil"/>
              <w:left w:val="nil"/>
              <w:bottom w:val="single" w:sz="8" w:space="0" w:color="DCE6F1"/>
              <w:right w:val="nil"/>
            </w:tcBorders>
            <w:shd w:val="clear" w:color="auto" w:fill="auto"/>
            <w:noWrap/>
            <w:vAlign w:val="center"/>
            <w:hideMark/>
          </w:tcPr>
          <w:p w14:paraId="5896D779" w14:textId="77777777" w:rsidR="00F93812" w:rsidRPr="00C664BA" w:rsidRDefault="00F93812" w:rsidP="00F93812">
            <w:pPr>
              <w:spacing w:after="0" w:line="240" w:lineRule="auto"/>
              <w:rPr>
                <w:rFonts w:ascii="Calibri" w:eastAsia="Times New Roman" w:hAnsi="Calibri" w:cs="Calibri"/>
                <w:color w:val="000000"/>
                <w:sz w:val="16"/>
                <w:szCs w:val="16"/>
                <w:lang w:eastAsia="sk-SK"/>
              </w:rPr>
            </w:pPr>
            <w:r w:rsidRPr="00C664BA">
              <w:rPr>
                <w:rFonts w:ascii="Calibri" w:eastAsia="Times New Roman" w:hAnsi="Calibri" w:cs="Calibri"/>
                <w:color w:val="000000"/>
                <w:sz w:val="16"/>
                <w:szCs w:val="16"/>
                <w:lang w:eastAsia="sk-SK"/>
              </w:rPr>
              <w:t>Úrad</w:t>
            </w:r>
          </w:p>
        </w:tc>
        <w:tc>
          <w:tcPr>
            <w:tcW w:w="522" w:type="pct"/>
            <w:tcBorders>
              <w:top w:val="nil"/>
              <w:left w:val="nil"/>
              <w:bottom w:val="single" w:sz="8" w:space="0" w:color="DCE6F1"/>
              <w:right w:val="nil"/>
            </w:tcBorders>
            <w:shd w:val="clear" w:color="auto" w:fill="auto"/>
            <w:noWrap/>
            <w:vAlign w:val="bottom"/>
            <w:hideMark/>
          </w:tcPr>
          <w:p w14:paraId="2DD52675" w14:textId="30989DF6"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8 967 913</w:t>
            </w:r>
          </w:p>
        </w:tc>
        <w:tc>
          <w:tcPr>
            <w:tcW w:w="653" w:type="pct"/>
            <w:tcBorders>
              <w:top w:val="nil"/>
              <w:left w:val="nil"/>
              <w:bottom w:val="single" w:sz="8" w:space="0" w:color="DCE6F1"/>
              <w:right w:val="nil"/>
            </w:tcBorders>
            <w:shd w:val="clear" w:color="auto" w:fill="auto"/>
            <w:noWrap/>
            <w:vAlign w:val="bottom"/>
          </w:tcPr>
          <w:p w14:paraId="653126C0" w14:textId="69F0B0EB"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8 815 448</w:t>
            </w:r>
          </w:p>
        </w:tc>
        <w:tc>
          <w:tcPr>
            <w:tcW w:w="522" w:type="pct"/>
            <w:tcBorders>
              <w:top w:val="nil"/>
              <w:left w:val="nil"/>
              <w:bottom w:val="single" w:sz="8" w:space="0" w:color="DCE6F1"/>
              <w:right w:val="nil"/>
            </w:tcBorders>
            <w:shd w:val="clear" w:color="auto" w:fill="auto"/>
            <w:noWrap/>
            <w:vAlign w:val="bottom"/>
            <w:hideMark/>
          </w:tcPr>
          <w:p w14:paraId="29A88232" w14:textId="523135CB"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10 474 094</w:t>
            </w:r>
          </w:p>
        </w:tc>
        <w:tc>
          <w:tcPr>
            <w:tcW w:w="588" w:type="pct"/>
            <w:tcBorders>
              <w:top w:val="nil"/>
              <w:left w:val="nil"/>
              <w:bottom w:val="single" w:sz="8" w:space="0" w:color="DCE6F1"/>
              <w:right w:val="nil"/>
            </w:tcBorders>
            <w:shd w:val="clear" w:color="auto" w:fill="auto"/>
            <w:noWrap/>
            <w:vAlign w:val="bottom"/>
          </w:tcPr>
          <w:p w14:paraId="409787F7" w14:textId="44E97B45"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7 879 230</w:t>
            </w:r>
          </w:p>
        </w:tc>
        <w:tc>
          <w:tcPr>
            <w:tcW w:w="589" w:type="pct"/>
            <w:tcBorders>
              <w:top w:val="nil"/>
              <w:left w:val="nil"/>
              <w:bottom w:val="single" w:sz="8" w:space="0" w:color="DCE6F1"/>
              <w:right w:val="nil"/>
            </w:tcBorders>
            <w:shd w:val="clear" w:color="000000" w:fill="D9D9D9"/>
            <w:noWrap/>
            <w:vAlign w:val="bottom"/>
          </w:tcPr>
          <w:p w14:paraId="1047D35E" w14:textId="4C2AEDB1" w:rsidR="00F93812" w:rsidRPr="00365016" w:rsidRDefault="00F93812" w:rsidP="00F93812">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21 326 797</w:t>
            </w:r>
          </w:p>
        </w:tc>
        <w:tc>
          <w:tcPr>
            <w:tcW w:w="588" w:type="pct"/>
            <w:tcBorders>
              <w:top w:val="nil"/>
              <w:left w:val="nil"/>
              <w:bottom w:val="single" w:sz="8" w:space="0" w:color="DCE6F1"/>
              <w:right w:val="nil"/>
            </w:tcBorders>
            <w:shd w:val="clear" w:color="auto" w:fill="auto"/>
            <w:noWrap/>
            <w:vAlign w:val="bottom"/>
          </w:tcPr>
          <w:p w14:paraId="2E847F50" w14:textId="25ED8129"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43 068 673</w:t>
            </w:r>
          </w:p>
        </w:tc>
        <w:tc>
          <w:tcPr>
            <w:tcW w:w="558" w:type="pct"/>
            <w:tcBorders>
              <w:top w:val="nil"/>
              <w:left w:val="nil"/>
              <w:bottom w:val="single" w:sz="8" w:space="0" w:color="DCE6F1"/>
              <w:right w:val="nil"/>
            </w:tcBorders>
            <w:shd w:val="clear" w:color="auto" w:fill="auto"/>
            <w:noWrap/>
            <w:vAlign w:val="bottom"/>
          </w:tcPr>
          <w:p w14:paraId="2C14E273" w14:textId="2380BDEA" w:rsidR="00F93812" w:rsidRPr="00716EBE" w:rsidRDefault="00F93812" w:rsidP="00F93812">
            <w:pPr>
              <w:spacing w:after="0" w:line="240" w:lineRule="auto"/>
              <w:jc w:val="right"/>
              <w:rPr>
                <w:rFonts w:ascii="Calibri" w:eastAsia="Times New Roman" w:hAnsi="Calibri" w:cs="Calibri"/>
                <w:color w:val="000000"/>
                <w:sz w:val="20"/>
                <w:szCs w:val="20"/>
                <w:lang w:eastAsia="sk-SK"/>
              </w:rPr>
            </w:pPr>
            <w:r w:rsidRPr="00716EBE">
              <w:rPr>
                <w:rFonts w:ascii="Calibri" w:hAnsi="Calibri" w:cs="Calibri"/>
                <w:color w:val="000000"/>
                <w:sz w:val="20"/>
                <w:szCs w:val="20"/>
              </w:rPr>
              <w:t>37 531 775</w:t>
            </w:r>
          </w:p>
        </w:tc>
      </w:tr>
      <w:tr w:rsidR="00365016" w:rsidRPr="00C664BA" w14:paraId="14B8AA32" w14:textId="77777777" w:rsidTr="0030782C">
        <w:trPr>
          <w:trHeight w:val="317"/>
        </w:trPr>
        <w:tc>
          <w:tcPr>
            <w:tcW w:w="980" w:type="pct"/>
            <w:tcBorders>
              <w:top w:val="nil"/>
              <w:left w:val="nil"/>
              <w:bottom w:val="single" w:sz="8" w:space="0" w:color="DCE6F1"/>
              <w:right w:val="nil"/>
            </w:tcBorders>
            <w:shd w:val="clear" w:color="auto" w:fill="auto"/>
            <w:noWrap/>
            <w:vAlign w:val="center"/>
            <w:hideMark/>
          </w:tcPr>
          <w:p w14:paraId="627A0A60" w14:textId="77777777" w:rsidR="00365016" w:rsidRPr="00C664BA" w:rsidRDefault="00365016" w:rsidP="00365016">
            <w:pPr>
              <w:spacing w:after="0" w:line="240" w:lineRule="auto"/>
              <w:rPr>
                <w:rFonts w:ascii="Calibri" w:eastAsia="Times New Roman" w:hAnsi="Calibri" w:cs="Calibri"/>
                <w:color w:val="000000"/>
                <w:sz w:val="16"/>
                <w:szCs w:val="16"/>
                <w:lang w:eastAsia="sk-SK"/>
              </w:rPr>
            </w:pPr>
            <w:r w:rsidRPr="00C664BA">
              <w:rPr>
                <w:rFonts w:ascii="Calibri" w:eastAsia="Times New Roman" w:hAnsi="Calibri" w:cs="Calibri"/>
                <w:color w:val="000000"/>
                <w:sz w:val="16"/>
                <w:szCs w:val="16"/>
                <w:lang w:eastAsia="sk-SK"/>
              </w:rPr>
              <w:t xml:space="preserve">Príjmy </w:t>
            </w:r>
            <w:proofErr w:type="spellStart"/>
            <w:r w:rsidRPr="00C664BA">
              <w:rPr>
                <w:rFonts w:ascii="Calibri" w:eastAsia="Times New Roman" w:hAnsi="Calibri" w:cs="Calibri"/>
                <w:color w:val="000000"/>
                <w:sz w:val="16"/>
                <w:szCs w:val="16"/>
                <w:lang w:eastAsia="sk-SK"/>
              </w:rPr>
              <w:t>ZvZP</w:t>
            </w:r>
            <w:proofErr w:type="spellEnd"/>
            <w:r w:rsidRPr="00C664BA">
              <w:rPr>
                <w:rFonts w:ascii="Calibri" w:eastAsia="Times New Roman" w:hAnsi="Calibri" w:cs="Calibri"/>
                <w:color w:val="000000"/>
                <w:sz w:val="16"/>
                <w:szCs w:val="16"/>
                <w:lang w:eastAsia="sk-SK"/>
              </w:rPr>
              <w:t xml:space="preserve"> - vzdelávanie</w:t>
            </w:r>
          </w:p>
        </w:tc>
        <w:tc>
          <w:tcPr>
            <w:tcW w:w="522" w:type="pct"/>
            <w:tcBorders>
              <w:top w:val="nil"/>
              <w:left w:val="nil"/>
              <w:bottom w:val="single" w:sz="8" w:space="0" w:color="DCE6F1"/>
              <w:right w:val="nil"/>
            </w:tcBorders>
            <w:shd w:val="clear" w:color="auto" w:fill="auto"/>
            <w:noWrap/>
            <w:vAlign w:val="bottom"/>
            <w:hideMark/>
          </w:tcPr>
          <w:p w14:paraId="7EECED8C" w14:textId="6CFF888D" w:rsidR="00365016" w:rsidRPr="00365016" w:rsidRDefault="00365016" w:rsidP="00365016">
            <w:pPr>
              <w:spacing w:after="0" w:line="240" w:lineRule="auto"/>
              <w:jc w:val="right"/>
              <w:rPr>
                <w:rFonts w:ascii="Calibri" w:eastAsia="Times New Roman" w:hAnsi="Calibri" w:cs="Calibri"/>
                <w:color w:val="000000"/>
                <w:sz w:val="20"/>
                <w:szCs w:val="20"/>
                <w:lang w:eastAsia="sk-SK"/>
              </w:rPr>
            </w:pPr>
            <w:r w:rsidRPr="00365016">
              <w:rPr>
                <w:rFonts w:ascii="Calibri" w:hAnsi="Calibri" w:cs="Calibri"/>
                <w:color w:val="000000"/>
                <w:sz w:val="20"/>
                <w:szCs w:val="20"/>
              </w:rPr>
              <w:t>56 177</w:t>
            </w:r>
          </w:p>
        </w:tc>
        <w:tc>
          <w:tcPr>
            <w:tcW w:w="653" w:type="pct"/>
            <w:tcBorders>
              <w:top w:val="nil"/>
              <w:left w:val="nil"/>
              <w:bottom w:val="single" w:sz="8" w:space="0" w:color="DCE6F1"/>
              <w:right w:val="nil"/>
            </w:tcBorders>
            <w:shd w:val="clear" w:color="auto" w:fill="auto"/>
            <w:noWrap/>
            <w:vAlign w:val="bottom"/>
          </w:tcPr>
          <w:p w14:paraId="62620A8B" w14:textId="222678F1" w:rsidR="00365016" w:rsidRPr="00365016" w:rsidRDefault="00365016" w:rsidP="00365016">
            <w:pPr>
              <w:spacing w:after="0" w:line="240" w:lineRule="auto"/>
              <w:jc w:val="right"/>
              <w:rPr>
                <w:rFonts w:ascii="Calibri" w:eastAsia="Times New Roman" w:hAnsi="Calibri" w:cs="Calibri"/>
                <w:color w:val="000000"/>
                <w:sz w:val="20"/>
                <w:szCs w:val="20"/>
                <w:lang w:eastAsia="sk-SK"/>
              </w:rPr>
            </w:pPr>
            <w:r w:rsidRPr="00365016">
              <w:rPr>
                <w:rFonts w:ascii="Calibri" w:hAnsi="Calibri" w:cs="Calibri"/>
                <w:color w:val="000000"/>
                <w:sz w:val="20"/>
                <w:szCs w:val="20"/>
              </w:rPr>
              <w:t>9 378</w:t>
            </w:r>
          </w:p>
        </w:tc>
        <w:tc>
          <w:tcPr>
            <w:tcW w:w="522" w:type="pct"/>
            <w:tcBorders>
              <w:top w:val="nil"/>
              <w:left w:val="nil"/>
              <w:bottom w:val="single" w:sz="8" w:space="0" w:color="DCE6F1"/>
              <w:right w:val="nil"/>
            </w:tcBorders>
            <w:shd w:val="clear" w:color="auto" w:fill="auto"/>
            <w:noWrap/>
            <w:vAlign w:val="bottom"/>
            <w:hideMark/>
          </w:tcPr>
          <w:p w14:paraId="663B6BE8" w14:textId="7E5ECC61" w:rsidR="00365016" w:rsidRPr="00365016" w:rsidRDefault="00365016" w:rsidP="00365016">
            <w:pPr>
              <w:spacing w:after="0" w:line="240" w:lineRule="auto"/>
              <w:jc w:val="right"/>
              <w:rPr>
                <w:rFonts w:ascii="Calibri" w:eastAsia="Times New Roman" w:hAnsi="Calibri" w:cs="Calibri"/>
                <w:color w:val="000000"/>
                <w:sz w:val="20"/>
                <w:szCs w:val="20"/>
                <w:lang w:eastAsia="sk-SK"/>
              </w:rPr>
            </w:pPr>
            <w:r w:rsidRPr="00365016">
              <w:rPr>
                <w:rFonts w:ascii="Calibri" w:hAnsi="Calibri" w:cs="Calibri"/>
                <w:color w:val="000000"/>
                <w:sz w:val="20"/>
                <w:szCs w:val="20"/>
              </w:rPr>
              <w:t>0</w:t>
            </w:r>
          </w:p>
        </w:tc>
        <w:tc>
          <w:tcPr>
            <w:tcW w:w="588" w:type="pct"/>
            <w:tcBorders>
              <w:top w:val="nil"/>
              <w:left w:val="nil"/>
              <w:bottom w:val="single" w:sz="8" w:space="0" w:color="DCE6F1"/>
              <w:right w:val="nil"/>
            </w:tcBorders>
            <w:shd w:val="clear" w:color="auto" w:fill="auto"/>
            <w:noWrap/>
            <w:vAlign w:val="bottom"/>
          </w:tcPr>
          <w:p w14:paraId="10A79553" w14:textId="15D39004" w:rsidR="00365016" w:rsidRPr="00365016" w:rsidRDefault="00365016" w:rsidP="00365016">
            <w:pPr>
              <w:spacing w:after="0" w:line="240" w:lineRule="auto"/>
              <w:jc w:val="right"/>
              <w:rPr>
                <w:rFonts w:ascii="Calibri" w:eastAsia="Times New Roman" w:hAnsi="Calibri" w:cs="Calibri"/>
                <w:color w:val="000000"/>
                <w:sz w:val="20"/>
                <w:szCs w:val="20"/>
                <w:lang w:eastAsia="sk-SK"/>
              </w:rPr>
            </w:pPr>
            <w:r w:rsidRPr="00365016">
              <w:rPr>
                <w:rFonts w:ascii="Calibri" w:hAnsi="Calibri" w:cs="Calibri"/>
                <w:color w:val="000000"/>
                <w:sz w:val="20"/>
                <w:szCs w:val="20"/>
              </w:rPr>
              <w:t>6 783</w:t>
            </w:r>
          </w:p>
        </w:tc>
        <w:tc>
          <w:tcPr>
            <w:tcW w:w="589" w:type="pct"/>
            <w:tcBorders>
              <w:top w:val="nil"/>
              <w:left w:val="nil"/>
              <w:bottom w:val="single" w:sz="8" w:space="0" w:color="DCE6F1"/>
              <w:right w:val="nil"/>
            </w:tcBorders>
            <w:shd w:val="clear" w:color="000000" w:fill="D9D9D9"/>
            <w:noWrap/>
            <w:vAlign w:val="bottom"/>
          </w:tcPr>
          <w:p w14:paraId="0818562A" w14:textId="704896C8" w:rsidR="00365016" w:rsidRPr="00365016" w:rsidRDefault="00365016" w:rsidP="00365016">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0</w:t>
            </w:r>
          </w:p>
        </w:tc>
        <w:tc>
          <w:tcPr>
            <w:tcW w:w="588" w:type="pct"/>
            <w:tcBorders>
              <w:top w:val="nil"/>
              <w:left w:val="nil"/>
              <w:bottom w:val="single" w:sz="8" w:space="0" w:color="DCE6F1"/>
              <w:right w:val="nil"/>
            </w:tcBorders>
            <w:shd w:val="clear" w:color="auto" w:fill="auto"/>
            <w:noWrap/>
            <w:vAlign w:val="bottom"/>
          </w:tcPr>
          <w:p w14:paraId="28AE47E6" w14:textId="2BCD72BD" w:rsidR="00365016" w:rsidRPr="00365016" w:rsidRDefault="00365016" w:rsidP="00365016">
            <w:pPr>
              <w:spacing w:after="0" w:line="240" w:lineRule="auto"/>
              <w:jc w:val="right"/>
              <w:rPr>
                <w:rFonts w:ascii="Calibri" w:eastAsia="Times New Roman" w:hAnsi="Calibri" w:cs="Calibri"/>
                <w:color w:val="000000"/>
                <w:sz w:val="20"/>
                <w:szCs w:val="20"/>
                <w:lang w:eastAsia="sk-SK"/>
              </w:rPr>
            </w:pPr>
            <w:r w:rsidRPr="00365016">
              <w:rPr>
                <w:rFonts w:ascii="Calibri" w:hAnsi="Calibri" w:cs="Calibri"/>
                <w:color w:val="000000"/>
                <w:sz w:val="20"/>
                <w:szCs w:val="20"/>
              </w:rPr>
              <w:t>0</w:t>
            </w:r>
          </w:p>
        </w:tc>
        <w:tc>
          <w:tcPr>
            <w:tcW w:w="558" w:type="pct"/>
            <w:tcBorders>
              <w:top w:val="nil"/>
              <w:left w:val="nil"/>
              <w:bottom w:val="single" w:sz="8" w:space="0" w:color="DCE6F1"/>
              <w:right w:val="nil"/>
            </w:tcBorders>
            <w:shd w:val="clear" w:color="auto" w:fill="auto"/>
            <w:noWrap/>
            <w:vAlign w:val="bottom"/>
          </w:tcPr>
          <w:p w14:paraId="410916B3" w14:textId="03B78EB6" w:rsidR="00365016" w:rsidRPr="00365016" w:rsidRDefault="00365016" w:rsidP="00365016">
            <w:pPr>
              <w:spacing w:after="0" w:line="240" w:lineRule="auto"/>
              <w:jc w:val="right"/>
              <w:rPr>
                <w:rFonts w:ascii="Calibri" w:eastAsia="Times New Roman" w:hAnsi="Calibri" w:cs="Calibri"/>
                <w:color w:val="000000"/>
                <w:sz w:val="20"/>
                <w:szCs w:val="20"/>
                <w:lang w:eastAsia="sk-SK"/>
              </w:rPr>
            </w:pPr>
            <w:r w:rsidRPr="00365016">
              <w:rPr>
                <w:rFonts w:ascii="Calibri" w:hAnsi="Calibri" w:cs="Calibri"/>
                <w:color w:val="000000"/>
                <w:sz w:val="20"/>
                <w:szCs w:val="20"/>
              </w:rPr>
              <w:t>0</w:t>
            </w:r>
          </w:p>
        </w:tc>
      </w:tr>
      <w:tr w:rsidR="00365016" w:rsidRPr="00C664BA" w14:paraId="1B0D62CC" w14:textId="77777777" w:rsidTr="0030782C">
        <w:trPr>
          <w:trHeight w:val="317"/>
        </w:trPr>
        <w:tc>
          <w:tcPr>
            <w:tcW w:w="980" w:type="pct"/>
            <w:tcBorders>
              <w:top w:val="nil"/>
              <w:left w:val="nil"/>
              <w:bottom w:val="single" w:sz="8" w:space="0" w:color="DCE6F1"/>
              <w:right w:val="nil"/>
            </w:tcBorders>
            <w:shd w:val="clear" w:color="000000" w:fill="D9D9D9"/>
            <w:noWrap/>
            <w:vAlign w:val="center"/>
            <w:hideMark/>
          </w:tcPr>
          <w:p w14:paraId="0B65F97D" w14:textId="77777777" w:rsidR="00365016" w:rsidRPr="00C664BA" w:rsidRDefault="00365016" w:rsidP="00365016">
            <w:pPr>
              <w:spacing w:after="0" w:line="240" w:lineRule="auto"/>
              <w:rPr>
                <w:rFonts w:ascii="Calibri" w:eastAsia="Times New Roman" w:hAnsi="Calibri" w:cs="Calibri"/>
                <w:b/>
                <w:bCs/>
                <w:color w:val="000000"/>
                <w:sz w:val="18"/>
                <w:szCs w:val="18"/>
                <w:lang w:eastAsia="sk-SK"/>
              </w:rPr>
            </w:pPr>
            <w:r w:rsidRPr="00C664BA">
              <w:rPr>
                <w:rFonts w:ascii="Calibri" w:eastAsia="Times New Roman" w:hAnsi="Calibri" w:cs="Calibri"/>
                <w:b/>
                <w:bCs/>
                <w:color w:val="000000"/>
                <w:sz w:val="18"/>
                <w:szCs w:val="18"/>
                <w:lang w:eastAsia="sk-SK"/>
              </w:rPr>
              <w:t>330 -Zahraničné granty bežné</w:t>
            </w:r>
          </w:p>
        </w:tc>
        <w:tc>
          <w:tcPr>
            <w:tcW w:w="522" w:type="pct"/>
            <w:tcBorders>
              <w:top w:val="nil"/>
              <w:left w:val="nil"/>
              <w:bottom w:val="single" w:sz="8" w:space="0" w:color="DCE6F1"/>
              <w:right w:val="nil"/>
            </w:tcBorders>
            <w:shd w:val="clear" w:color="000000" w:fill="D9D9D9"/>
            <w:noWrap/>
            <w:vAlign w:val="bottom"/>
            <w:hideMark/>
          </w:tcPr>
          <w:p w14:paraId="6220E229" w14:textId="47FB32BF" w:rsidR="00365016" w:rsidRPr="00365016" w:rsidRDefault="00365016" w:rsidP="00365016">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0</w:t>
            </w:r>
          </w:p>
        </w:tc>
        <w:tc>
          <w:tcPr>
            <w:tcW w:w="653" w:type="pct"/>
            <w:tcBorders>
              <w:top w:val="nil"/>
              <w:left w:val="nil"/>
              <w:bottom w:val="single" w:sz="8" w:space="0" w:color="DCE6F1"/>
              <w:right w:val="nil"/>
            </w:tcBorders>
            <w:shd w:val="clear" w:color="000000" w:fill="D9D9D9"/>
            <w:noWrap/>
            <w:vAlign w:val="bottom"/>
          </w:tcPr>
          <w:p w14:paraId="2291301D" w14:textId="0AD69704" w:rsidR="00365016" w:rsidRPr="00365016" w:rsidRDefault="00365016" w:rsidP="00365016">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0</w:t>
            </w:r>
          </w:p>
        </w:tc>
        <w:tc>
          <w:tcPr>
            <w:tcW w:w="522" w:type="pct"/>
            <w:tcBorders>
              <w:top w:val="nil"/>
              <w:left w:val="nil"/>
              <w:bottom w:val="single" w:sz="8" w:space="0" w:color="DCE6F1"/>
              <w:right w:val="nil"/>
            </w:tcBorders>
            <w:shd w:val="clear" w:color="000000" w:fill="D9D9D9"/>
            <w:noWrap/>
            <w:vAlign w:val="bottom"/>
            <w:hideMark/>
          </w:tcPr>
          <w:p w14:paraId="36EF8D9F" w14:textId="024D1B3D" w:rsidR="00365016" w:rsidRPr="00365016" w:rsidRDefault="00365016" w:rsidP="00365016">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0</w:t>
            </w:r>
          </w:p>
        </w:tc>
        <w:tc>
          <w:tcPr>
            <w:tcW w:w="588" w:type="pct"/>
            <w:tcBorders>
              <w:top w:val="nil"/>
              <w:left w:val="nil"/>
              <w:bottom w:val="single" w:sz="8" w:space="0" w:color="DCE6F1"/>
              <w:right w:val="nil"/>
            </w:tcBorders>
            <w:shd w:val="clear" w:color="000000" w:fill="D9D9D9"/>
            <w:noWrap/>
            <w:vAlign w:val="bottom"/>
          </w:tcPr>
          <w:p w14:paraId="1F18D25F" w14:textId="1C9C250D" w:rsidR="00365016" w:rsidRPr="00365016" w:rsidRDefault="00365016" w:rsidP="00365016">
            <w:pPr>
              <w:spacing w:after="0" w:line="240" w:lineRule="auto"/>
              <w:jc w:val="right"/>
              <w:rPr>
                <w:rFonts w:ascii="Calibri" w:eastAsia="Times New Roman" w:hAnsi="Calibri" w:cs="Calibri"/>
                <w:b/>
                <w:bCs/>
                <w:color w:val="000000"/>
                <w:sz w:val="20"/>
                <w:szCs w:val="20"/>
                <w:lang w:eastAsia="sk-SK"/>
              </w:rPr>
            </w:pPr>
          </w:p>
        </w:tc>
        <w:tc>
          <w:tcPr>
            <w:tcW w:w="589" w:type="pct"/>
            <w:tcBorders>
              <w:top w:val="nil"/>
              <w:left w:val="nil"/>
              <w:bottom w:val="single" w:sz="8" w:space="0" w:color="DCE6F1"/>
              <w:right w:val="nil"/>
            </w:tcBorders>
            <w:shd w:val="clear" w:color="000000" w:fill="D9D9D9"/>
            <w:noWrap/>
            <w:vAlign w:val="bottom"/>
          </w:tcPr>
          <w:p w14:paraId="164B568A" w14:textId="631AAAAE" w:rsidR="00365016" w:rsidRPr="00365016" w:rsidRDefault="00365016" w:rsidP="00365016">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0</w:t>
            </w:r>
          </w:p>
        </w:tc>
        <w:tc>
          <w:tcPr>
            <w:tcW w:w="588" w:type="pct"/>
            <w:tcBorders>
              <w:top w:val="nil"/>
              <w:left w:val="nil"/>
              <w:bottom w:val="single" w:sz="8" w:space="0" w:color="DCE6F1"/>
              <w:right w:val="nil"/>
            </w:tcBorders>
            <w:shd w:val="clear" w:color="000000" w:fill="D9D9D9"/>
            <w:noWrap/>
            <w:vAlign w:val="bottom"/>
          </w:tcPr>
          <w:p w14:paraId="63439F4F" w14:textId="1112C5E9" w:rsidR="00365016" w:rsidRPr="00365016" w:rsidRDefault="00365016" w:rsidP="00365016">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0</w:t>
            </w:r>
          </w:p>
        </w:tc>
        <w:tc>
          <w:tcPr>
            <w:tcW w:w="558" w:type="pct"/>
            <w:tcBorders>
              <w:top w:val="nil"/>
              <w:left w:val="nil"/>
              <w:bottom w:val="single" w:sz="8" w:space="0" w:color="DCE6F1"/>
              <w:right w:val="nil"/>
            </w:tcBorders>
            <w:shd w:val="clear" w:color="000000" w:fill="D9D9D9"/>
            <w:noWrap/>
            <w:vAlign w:val="bottom"/>
          </w:tcPr>
          <w:p w14:paraId="344375DD" w14:textId="183F26F5" w:rsidR="00365016" w:rsidRPr="00365016" w:rsidRDefault="00365016" w:rsidP="00365016">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2 090 000</w:t>
            </w:r>
          </w:p>
        </w:tc>
      </w:tr>
      <w:tr w:rsidR="00365016" w:rsidRPr="00C664BA" w14:paraId="4D3913A7" w14:textId="77777777" w:rsidTr="00746C02">
        <w:trPr>
          <w:trHeight w:val="60"/>
        </w:trPr>
        <w:tc>
          <w:tcPr>
            <w:tcW w:w="980" w:type="pct"/>
            <w:tcBorders>
              <w:top w:val="nil"/>
              <w:left w:val="nil"/>
              <w:bottom w:val="single" w:sz="8" w:space="0" w:color="DCE6F1"/>
              <w:right w:val="nil"/>
            </w:tcBorders>
            <w:shd w:val="clear" w:color="auto" w:fill="auto"/>
            <w:noWrap/>
            <w:vAlign w:val="center"/>
            <w:hideMark/>
          </w:tcPr>
          <w:p w14:paraId="6B93F8D5" w14:textId="77777777" w:rsidR="00365016" w:rsidRPr="00C664BA" w:rsidRDefault="00365016" w:rsidP="00365016">
            <w:pPr>
              <w:spacing w:after="0" w:line="240" w:lineRule="auto"/>
              <w:rPr>
                <w:rFonts w:ascii="Calibri" w:eastAsia="Times New Roman" w:hAnsi="Calibri" w:cs="Calibri"/>
                <w:color w:val="000000"/>
                <w:sz w:val="16"/>
                <w:szCs w:val="16"/>
                <w:lang w:eastAsia="sk-SK"/>
              </w:rPr>
            </w:pPr>
            <w:r w:rsidRPr="00C664BA">
              <w:rPr>
                <w:rFonts w:ascii="Calibri" w:eastAsia="Times New Roman" w:hAnsi="Calibri" w:cs="Calibri"/>
                <w:color w:val="000000"/>
                <w:sz w:val="16"/>
                <w:szCs w:val="16"/>
                <w:lang w:eastAsia="sk-SK"/>
              </w:rPr>
              <w:t>Úrad</w:t>
            </w:r>
          </w:p>
        </w:tc>
        <w:tc>
          <w:tcPr>
            <w:tcW w:w="522" w:type="pct"/>
            <w:tcBorders>
              <w:top w:val="nil"/>
              <w:left w:val="nil"/>
              <w:bottom w:val="single" w:sz="8" w:space="0" w:color="DCE6F1"/>
              <w:right w:val="nil"/>
            </w:tcBorders>
            <w:shd w:val="clear" w:color="auto" w:fill="auto"/>
            <w:noWrap/>
            <w:vAlign w:val="bottom"/>
            <w:hideMark/>
          </w:tcPr>
          <w:p w14:paraId="26BE0395" w14:textId="54605921" w:rsidR="00365016" w:rsidRPr="00365016" w:rsidRDefault="00365016" w:rsidP="00365016">
            <w:pPr>
              <w:spacing w:after="0" w:line="240" w:lineRule="auto"/>
              <w:jc w:val="right"/>
              <w:rPr>
                <w:rFonts w:ascii="Calibri" w:eastAsia="Times New Roman" w:hAnsi="Calibri" w:cs="Calibri"/>
                <w:color w:val="000000"/>
                <w:sz w:val="20"/>
                <w:szCs w:val="20"/>
                <w:lang w:eastAsia="sk-SK"/>
              </w:rPr>
            </w:pPr>
            <w:r w:rsidRPr="00365016">
              <w:rPr>
                <w:rFonts w:ascii="Calibri" w:hAnsi="Calibri" w:cs="Calibri"/>
                <w:color w:val="000000"/>
                <w:sz w:val="20"/>
                <w:szCs w:val="20"/>
              </w:rPr>
              <w:t>0</w:t>
            </w:r>
          </w:p>
        </w:tc>
        <w:tc>
          <w:tcPr>
            <w:tcW w:w="653" w:type="pct"/>
            <w:tcBorders>
              <w:top w:val="nil"/>
              <w:left w:val="nil"/>
              <w:bottom w:val="single" w:sz="8" w:space="0" w:color="DCE6F1"/>
              <w:right w:val="nil"/>
            </w:tcBorders>
            <w:shd w:val="clear" w:color="auto" w:fill="auto"/>
            <w:noWrap/>
            <w:vAlign w:val="bottom"/>
          </w:tcPr>
          <w:p w14:paraId="629C3CE0" w14:textId="0F48391B" w:rsidR="00365016" w:rsidRPr="00365016" w:rsidRDefault="00365016" w:rsidP="00365016">
            <w:pPr>
              <w:spacing w:after="0" w:line="240" w:lineRule="auto"/>
              <w:jc w:val="right"/>
              <w:rPr>
                <w:rFonts w:ascii="Calibri" w:eastAsia="Times New Roman" w:hAnsi="Calibri" w:cs="Calibri"/>
                <w:color w:val="000000"/>
                <w:sz w:val="20"/>
                <w:szCs w:val="20"/>
                <w:lang w:eastAsia="sk-SK"/>
              </w:rPr>
            </w:pPr>
            <w:r w:rsidRPr="00365016">
              <w:rPr>
                <w:rFonts w:ascii="Calibri" w:hAnsi="Calibri" w:cs="Calibri"/>
                <w:color w:val="000000"/>
                <w:sz w:val="20"/>
                <w:szCs w:val="20"/>
              </w:rPr>
              <w:t>0</w:t>
            </w:r>
          </w:p>
        </w:tc>
        <w:tc>
          <w:tcPr>
            <w:tcW w:w="522" w:type="pct"/>
            <w:tcBorders>
              <w:top w:val="nil"/>
              <w:left w:val="nil"/>
              <w:bottom w:val="single" w:sz="8" w:space="0" w:color="DCE6F1"/>
              <w:right w:val="nil"/>
            </w:tcBorders>
            <w:shd w:val="clear" w:color="auto" w:fill="auto"/>
            <w:noWrap/>
            <w:vAlign w:val="bottom"/>
            <w:hideMark/>
          </w:tcPr>
          <w:p w14:paraId="1ED83DBC" w14:textId="48FCDBE7" w:rsidR="00365016" w:rsidRPr="00365016" w:rsidRDefault="00365016" w:rsidP="00365016">
            <w:pPr>
              <w:spacing w:after="0" w:line="240" w:lineRule="auto"/>
              <w:jc w:val="right"/>
              <w:rPr>
                <w:rFonts w:ascii="Calibri" w:eastAsia="Times New Roman" w:hAnsi="Calibri" w:cs="Calibri"/>
                <w:color w:val="000000"/>
                <w:sz w:val="20"/>
                <w:szCs w:val="20"/>
                <w:lang w:eastAsia="sk-SK"/>
              </w:rPr>
            </w:pPr>
            <w:r w:rsidRPr="00365016">
              <w:rPr>
                <w:rFonts w:ascii="Calibri" w:hAnsi="Calibri" w:cs="Calibri"/>
                <w:color w:val="000000"/>
                <w:sz w:val="20"/>
                <w:szCs w:val="20"/>
              </w:rPr>
              <w:t>0</w:t>
            </w:r>
          </w:p>
        </w:tc>
        <w:tc>
          <w:tcPr>
            <w:tcW w:w="588" w:type="pct"/>
            <w:tcBorders>
              <w:top w:val="nil"/>
              <w:left w:val="nil"/>
              <w:bottom w:val="single" w:sz="8" w:space="0" w:color="DCE6F1"/>
              <w:right w:val="nil"/>
            </w:tcBorders>
            <w:shd w:val="clear" w:color="auto" w:fill="auto"/>
            <w:noWrap/>
            <w:vAlign w:val="bottom"/>
          </w:tcPr>
          <w:p w14:paraId="68C51F66" w14:textId="36661307" w:rsidR="00365016" w:rsidRPr="00365016" w:rsidRDefault="00365016" w:rsidP="00365016">
            <w:pPr>
              <w:spacing w:after="0" w:line="240" w:lineRule="auto"/>
              <w:jc w:val="right"/>
              <w:rPr>
                <w:rFonts w:ascii="Calibri" w:eastAsia="Times New Roman" w:hAnsi="Calibri" w:cs="Calibri"/>
                <w:color w:val="000000"/>
                <w:sz w:val="20"/>
                <w:szCs w:val="20"/>
                <w:lang w:eastAsia="sk-SK"/>
              </w:rPr>
            </w:pPr>
          </w:p>
        </w:tc>
        <w:tc>
          <w:tcPr>
            <w:tcW w:w="589" w:type="pct"/>
            <w:tcBorders>
              <w:top w:val="nil"/>
              <w:left w:val="nil"/>
              <w:bottom w:val="single" w:sz="8" w:space="0" w:color="DCE6F1"/>
              <w:right w:val="nil"/>
            </w:tcBorders>
            <w:shd w:val="clear" w:color="000000" w:fill="D9D9D9"/>
            <w:noWrap/>
            <w:vAlign w:val="bottom"/>
          </w:tcPr>
          <w:p w14:paraId="6D527E8B" w14:textId="278D0170" w:rsidR="00365016" w:rsidRPr="00365016" w:rsidRDefault="00365016" w:rsidP="00365016">
            <w:pPr>
              <w:spacing w:after="0" w:line="240" w:lineRule="auto"/>
              <w:jc w:val="right"/>
              <w:rPr>
                <w:rFonts w:ascii="Calibri" w:eastAsia="Times New Roman" w:hAnsi="Calibri" w:cs="Calibri"/>
                <w:b/>
                <w:bCs/>
                <w:color w:val="000000"/>
                <w:sz w:val="20"/>
                <w:szCs w:val="20"/>
                <w:lang w:eastAsia="sk-SK"/>
              </w:rPr>
            </w:pPr>
            <w:r w:rsidRPr="00365016">
              <w:rPr>
                <w:rFonts w:ascii="Calibri" w:hAnsi="Calibri" w:cs="Calibri"/>
                <w:b/>
                <w:bCs/>
                <w:color w:val="000000"/>
                <w:sz w:val="20"/>
                <w:szCs w:val="20"/>
              </w:rPr>
              <w:t>0</w:t>
            </w:r>
          </w:p>
        </w:tc>
        <w:tc>
          <w:tcPr>
            <w:tcW w:w="588" w:type="pct"/>
            <w:tcBorders>
              <w:top w:val="nil"/>
              <w:left w:val="nil"/>
              <w:bottom w:val="single" w:sz="8" w:space="0" w:color="DCE6F1"/>
              <w:right w:val="nil"/>
            </w:tcBorders>
            <w:shd w:val="clear" w:color="auto" w:fill="auto"/>
            <w:noWrap/>
            <w:vAlign w:val="bottom"/>
          </w:tcPr>
          <w:p w14:paraId="10CD8951" w14:textId="677CFB54" w:rsidR="00365016" w:rsidRPr="00365016" w:rsidRDefault="00365016" w:rsidP="00365016">
            <w:pPr>
              <w:spacing w:after="0" w:line="240" w:lineRule="auto"/>
              <w:jc w:val="right"/>
              <w:rPr>
                <w:rFonts w:ascii="Calibri" w:eastAsia="Times New Roman" w:hAnsi="Calibri" w:cs="Calibri"/>
                <w:color w:val="000000"/>
                <w:sz w:val="20"/>
                <w:szCs w:val="20"/>
                <w:lang w:eastAsia="sk-SK"/>
              </w:rPr>
            </w:pPr>
            <w:r w:rsidRPr="00365016">
              <w:rPr>
                <w:rFonts w:ascii="Calibri" w:hAnsi="Calibri" w:cs="Calibri"/>
                <w:color w:val="000000"/>
                <w:sz w:val="20"/>
                <w:szCs w:val="20"/>
              </w:rPr>
              <w:t>0</w:t>
            </w:r>
          </w:p>
        </w:tc>
        <w:tc>
          <w:tcPr>
            <w:tcW w:w="558" w:type="pct"/>
            <w:tcBorders>
              <w:top w:val="nil"/>
              <w:left w:val="nil"/>
              <w:bottom w:val="single" w:sz="8" w:space="0" w:color="DCE6F1"/>
              <w:right w:val="nil"/>
            </w:tcBorders>
            <w:shd w:val="clear" w:color="auto" w:fill="auto"/>
            <w:noWrap/>
            <w:vAlign w:val="bottom"/>
          </w:tcPr>
          <w:p w14:paraId="3819B4C7" w14:textId="40C2B6F5" w:rsidR="00365016" w:rsidRPr="00365016" w:rsidRDefault="00365016" w:rsidP="00365016">
            <w:pPr>
              <w:spacing w:after="0" w:line="240" w:lineRule="auto"/>
              <w:jc w:val="right"/>
              <w:rPr>
                <w:rFonts w:ascii="Calibri" w:eastAsia="Times New Roman" w:hAnsi="Calibri" w:cs="Calibri"/>
                <w:color w:val="000000"/>
                <w:sz w:val="20"/>
                <w:szCs w:val="20"/>
                <w:lang w:eastAsia="sk-SK"/>
              </w:rPr>
            </w:pPr>
            <w:r w:rsidRPr="00365016">
              <w:rPr>
                <w:rFonts w:ascii="Calibri" w:hAnsi="Calibri" w:cs="Calibri"/>
                <w:color w:val="000000"/>
                <w:sz w:val="20"/>
                <w:szCs w:val="20"/>
              </w:rPr>
              <w:t>2 090 000</w:t>
            </w:r>
          </w:p>
        </w:tc>
      </w:tr>
    </w:tbl>
    <w:p w14:paraId="4764DB50" w14:textId="7A1C9EE2" w:rsidR="00C8280C" w:rsidRPr="00FF0509" w:rsidRDefault="00C8280C" w:rsidP="00554F73">
      <w:pPr>
        <w:jc w:val="both"/>
        <w:rPr>
          <w:rFonts w:ascii="Calibri" w:eastAsia="Times New Roman" w:hAnsi="Calibri" w:cs="Calibri"/>
          <w:color w:val="000000"/>
          <w:lang w:eastAsia="sk-SK"/>
        </w:rPr>
      </w:pPr>
      <w:r w:rsidRPr="001609B2">
        <w:rPr>
          <w:rFonts w:cstheme="minorHAnsi"/>
          <w:sz w:val="24"/>
          <w:szCs w:val="24"/>
        </w:rPr>
        <w:lastRenderedPageBreak/>
        <w:t>Významnú časť</w:t>
      </w:r>
      <w:r w:rsidRPr="009D099B">
        <w:rPr>
          <w:rFonts w:cstheme="minorHAnsi"/>
          <w:sz w:val="24"/>
          <w:szCs w:val="24"/>
        </w:rPr>
        <w:t xml:space="preserve">  </w:t>
      </w:r>
      <w:r w:rsidRPr="005B6FD5">
        <w:rPr>
          <w:rFonts w:cstheme="minorHAnsi"/>
          <w:b/>
          <w:sz w:val="24"/>
          <w:szCs w:val="24"/>
        </w:rPr>
        <w:t>bežných grantov a transferov</w:t>
      </w:r>
      <w:r w:rsidRPr="009D099B">
        <w:rPr>
          <w:rFonts w:cstheme="minorHAnsi"/>
          <w:sz w:val="24"/>
          <w:szCs w:val="24"/>
        </w:rPr>
        <w:t xml:space="preserve"> predstavujú v</w:t>
      </w:r>
      <w:r>
        <w:rPr>
          <w:rFonts w:cstheme="minorHAnsi"/>
          <w:sz w:val="24"/>
          <w:szCs w:val="24"/>
        </w:rPr>
        <w:t> </w:t>
      </w:r>
      <w:r w:rsidRPr="009D099B">
        <w:rPr>
          <w:rFonts w:cstheme="minorHAnsi"/>
          <w:sz w:val="24"/>
          <w:szCs w:val="24"/>
        </w:rPr>
        <w:t>roku</w:t>
      </w:r>
      <w:r>
        <w:rPr>
          <w:rFonts w:cstheme="minorHAnsi"/>
          <w:sz w:val="24"/>
          <w:szCs w:val="24"/>
        </w:rPr>
        <w:t xml:space="preserve"> </w:t>
      </w:r>
      <w:r w:rsidRPr="00402DB7">
        <w:rPr>
          <w:rFonts w:cstheme="minorHAnsi"/>
          <w:b/>
          <w:bCs/>
          <w:sz w:val="24"/>
          <w:szCs w:val="24"/>
        </w:rPr>
        <w:t>202</w:t>
      </w:r>
      <w:r w:rsidR="00402DB7" w:rsidRPr="00402DB7">
        <w:rPr>
          <w:rFonts w:cstheme="minorHAnsi"/>
          <w:b/>
          <w:bCs/>
          <w:sz w:val="24"/>
          <w:szCs w:val="24"/>
        </w:rPr>
        <w:t>5</w:t>
      </w:r>
      <w:r>
        <w:rPr>
          <w:rFonts w:cstheme="minorHAnsi"/>
          <w:sz w:val="24"/>
          <w:szCs w:val="24"/>
        </w:rPr>
        <w:t xml:space="preserve"> </w:t>
      </w:r>
      <w:r w:rsidRPr="009D099B">
        <w:rPr>
          <w:rFonts w:cstheme="minorHAnsi"/>
          <w:sz w:val="24"/>
          <w:szCs w:val="24"/>
        </w:rPr>
        <w:t xml:space="preserve">finančné prostriedky </w:t>
      </w:r>
      <w:r w:rsidRPr="00554F73">
        <w:rPr>
          <w:rFonts w:cstheme="minorHAnsi"/>
        </w:rPr>
        <w:t>z M</w:t>
      </w:r>
      <w:r w:rsidR="00F36B9A">
        <w:rPr>
          <w:rFonts w:cstheme="minorHAnsi"/>
        </w:rPr>
        <w:t>Š</w:t>
      </w:r>
      <w:r w:rsidRPr="00554F73">
        <w:rPr>
          <w:rFonts w:cstheme="minorHAnsi"/>
        </w:rPr>
        <w:t xml:space="preserve"> SR, ktoré sú </w:t>
      </w:r>
      <w:r w:rsidRPr="00C83C6F">
        <w:rPr>
          <w:rFonts w:cstheme="minorHAnsi"/>
          <w:sz w:val="24"/>
          <w:szCs w:val="24"/>
        </w:rPr>
        <w:t xml:space="preserve">určené na financovanie  prenesených kompetencií v zmysle zákona č. 596/2003 Z. z. o štátnej správe v školstve a školskej samospráve a o zmene a doplnení niektorých zákonov v znení neskorších zmien </w:t>
      </w:r>
      <w:r w:rsidRPr="00DA5B86">
        <w:rPr>
          <w:rFonts w:cstheme="minorHAnsi"/>
          <w:sz w:val="24"/>
          <w:szCs w:val="24"/>
        </w:rPr>
        <w:t xml:space="preserve">a doplnkov </w:t>
      </w:r>
      <w:r w:rsidRPr="00DA5B86">
        <w:rPr>
          <w:rFonts w:cstheme="minorHAnsi"/>
          <w:b/>
          <w:bCs/>
          <w:sz w:val="24"/>
          <w:szCs w:val="24"/>
        </w:rPr>
        <w:t xml:space="preserve">v predpokladanej výške na normatív vo výške </w:t>
      </w:r>
      <w:r w:rsidR="00FF0509" w:rsidRPr="00BB0982">
        <w:rPr>
          <w:rFonts w:cstheme="minorHAnsi"/>
          <w:b/>
          <w:bCs/>
          <w:sz w:val="24"/>
          <w:szCs w:val="24"/>
        </w:rPr>
        <w:t xml:space="preserve">93 159 432 </w:t>
      </w:r>
      <w:r w:rsidR="00BB0982" w:rsidRPr="00BB0982">
        <w:rPr>
          <w:rFonts w:cstheme="minorHAnsi"/>
          <w:b/>
          <w:bCs/>
          <w:sz w:val="24"/>
          <w:szCs w:val="24"/>
        </w:rPr>
        <w:t>€</w:t>
      </w:r>
      <w:r w:rsidR="00BB0982">
        <w:rPr>
          <w:rFonts w:ascii="Calibri" w:eastAsia="Times New Roman" w:hAnsi="Calibri" w:cs="Calibri"/>
          <w:color w:val="000000"/>
          <w:lang w:eastAsia="sk-SK"/>
        </w:rPr>
        <w:t xml:space="preserve"> (rok 2024 N: </w:t>
      </w:r>
      <w:r w:rsidR="00385917" w:rsidRPr="00BB0982">
        <w:rPr>
          <w:rFonts w:cstheme="minorHAnsi"/>
          <w:sz w:val="24"/>
          <w:szCs w:val="24"/>
        </w:rPr>
        <w:t xml:space="preserve">83 973 005 </w:t>
      </w:r>
      <w:r w:rsidRPr="00BB0982">
        <w:rPr>
          <w:rFonts w:cstheme="minorHAnsi"/>
          <w:sz w:val="24"/>
          <w:szCs w:val="24"/>
        </w:rPr>
        <w:t>€</w:t>
      </w:r>
      <w:r w:rsidR="00B5289A">
        <w:rPr>
          <w:rFonts w:cstheme="minorHAnsi"/>
          <w:sz w:val="24"/>
          <w:szCs w:val="24"/>
        </w:rPr>
        <w:t>)</w:t>
      </w:r>
      <w:r w:rsidRPr="00DA5B86">
        <w:rPr>
          <w:rFonts w:cstheme="minorHAnsi"/>
          <w:b/>
          <w:bCs/>
          <w:sz w:val="24"/>
          <w:szCs w:val="24"/>
        </w:rPr>
        <w:t xml:space="preserve"> a na školský úrad </w:t>
      </w:r>
      <w:r w:rsidR="00B5289A" w:rsidRPr="00B5289A">
        <w:rPr>
          <w:rFonts w:cstheme="minorHAnsi"/>
          <w:b/>
          <w:bCs/>
          <w:sz w:val="24"/>
          <w:szCs w:val="24"/>
        </w:rPr>
        <w:t>77 206</w:t>
      </w:r>
      <w:r w:rsidR="00B5289A" w:rsidRPr="00580E4D">
        <w:rPr>
          <w:rFonts w:cstheme="minorHAnsi"/>
          <w:b/>
          <w:bCs/>
          <w:sz w:val="24"/>
          <w:szCs w:val="24"/>
        </w:rPr>
        <w:t xml:space="preserve"> </w:t>
      </w:r>
      <w:r w:rsidR="00580E4D" w:rsidRPr="00580E4D">
        <w:rPr>
          <w:rFonts w:cstheme="minorHAnsi"/>
          <w:b/>
          <w:bCs/>
          <w:sz w:val="24"/>
          <w:szCs w:val="24"/>
        </w:rPr>
        <w:t>€</w:t>
      </w:r>
      <w:r w:rsidR="00580E4D">
        <w:rPr>
          <w:rFonts w:cstheme="minorHAnsi"/>
          <w:b/>
          <w:bCs/>
          <w:sz w:val="24"/>
          <w:szCs w:val="24"/>
        </w:rPr>
        <w:t xml:space="preserve"> </w:t>
      </w:r>
      <w:r w:rsidR="00B5289A" w:rsidRPr="00580E4D">
        <w:rPr>
          <w:rFonts w:ascii="Calibri" w:eastAsia="Times New Roman" w:hAnsi="Calibri" w:cs="Calibri"/>
          <w:color w:val="000000"/>
          <w:lang w:eastAsia="sk-SK"/>
        </w:rPr>
        <w:t>(</w:t>
      </w:r>
      <w:r w:rsidR="00B5289A">
        <w:rPr>
          <w:rFonts w:ascii="Calibri" w:eastAsia="Times New Roman" w:hAnsi="Calibri" w:cs="Calibri"/>
          <w:color w:val="000000"/>
          <w:lang w:eastAsia="sk-SK"/>
        </w:rPr>
        <w:t>rok 2024</w:t>
      </w:r>
      <w:r w:rsidR="00580E4D">
        <w:rPr>
          <w:rFonts w:ascii="Calibri" w:eastAsia="Times New Roman" w:hAnsi="Calibri" w:cs="Calibri"/>
          <w:color w:val="000000"/>
          <w:lang w:eastAsia="sk-SK"/>
        </w:rPr>
        <w:t xml:space="preserve"> </w:t>
      </w:r>
      <w:r w:rsidR="005547A1" w:rsidRPr="00580E4D">
        <w:rPr>
          <w:rFonts w:cstheme="minorHAnsi"/>
          <w:sz w:val="24"/>
          <w:szCs w:val="24"/>
        </w:rPr>
        <w:t xml:space="preserve">73 977 </w:t>
      </w:r>
      <w:r w:rsidRPr="00580E4D">
        <w:rPr>
          <w:rFonts w:cstheme="minorHAnsi"/>
        </w:rPr>
        <w:t>€</w:t>
      </w:r>
      <w:r w:rsidR="00580E4D" w:rsidRPr="00580E4D">
        <w:rPr>
          <w:rFonts w:cstheme="minorHAnsi"/>
        </w:rPr>
        <w:t>)</w:t>
      </w:r>
      <w:r w:rsidRPr="00580E4D">
        <w:rPr>
          <w:rFonts w:cstheme="minorHAnsi"/>
        </w:rPr>
        <w:t>.</w:t>
      </w:r>
      <w:r w:rsidRPr="00554F73">
        <w:rPr>
          <w:rFonts w:cstheme="minorHAnsi"/>
        </w:rPr>
        <w:t xml:space="preserve"> </w:t>
      </w:r>
      <w:r w:rsidRPr="00C83C6F">
        <w:rPr>
          <w:rFonts w:cstheme="minorHAnsi"/>
          <w:sz w:val="24"/>
          <w:szCs w:val="24"/>
        </w:rPr>
        <w:t>Objem pridelených finančných prostriedkov závisí od počtu žiakov a od výšky normatívu na jedného žiaka. Ide teda o odhad normatívnych prostriedkov a ich skutočná výška bude počas roka upravovaná na základe skutočne pridelených finančných prostriedkov zo strany štátu. Podobne budú upravované aj výdavky naviazané na tento druh príjmov</w:t>
      </w:r>
      <w:r w:rsidR="00DA5B86">
        <w:rPr>
          <w:rFonts w:cstheme="minorHAnsi"/>
          <w:sz w:val="24"/>
          <w:szCs w:val="24"/>
        </w:rPr>
        <w:t>.</w:t>
      </w:r>
      <w:r w:rsidR="00C441ED">
        <w:rPr>
          <w:rFonts w:cstheme="minorHAnsi"/>
          <w:sz w:val="24"/>
          <w:szCs w:val="24"/>
        </w:rPr>
        <w:t xml:space="preserve"> </w:t>
      </w:r>
      <w:r w:rsidR="00D3426C">
        <w:rPr>
          <w:rFonts w:cstheme="minorHAnsi"/>
          <w:sz w:val="24"/>
          <w:szCs w:val="24"/>
        </w:rPr>
        <w:t>Ostatné bežné granty a</w:t>
      </w:r>
      <w:r w:rsidR="00C441ED">
        <w:rPr>
          <w:rFonts w:cstheme="minorHAnsi"/>
          <w:sz w:val="24"/>
          <w:szCs w:val="24"/>
        </w:rPr>
        <w:t xml:space="preserve"> transfery </w:t>
      </w:r>
      <w:r w:rsidR="00EF21B8">
        <w:rPr>
          <w:rFonts w:cstheme="minorHAnsi"/>
          <w:sz w:val="24"/>
          <w:szCs w:val="24"/>
        </w:rPr>
        <w:t xml:space="preserve">úradu BSK </w:t>
      </w:r>
      <w:r w:rsidR="00C441ED">
        <w:rPr>
          <w:rFonts w:cstheme="minorHAnsi"/>
          <w:sz w:val="24"/>
          <w:szCs w:val="24"/>
        </w:rPr>
        <w:t xml:space="preserve">sú plánované v rámci </w:t>
      </w:r>
      <w:r w:rsidR="00AE7A02">
        <w:rPr>
          <w:rFonts w:cstheme="minorHAnsi"/>
          <w:sz w:val="24"/>
          <w:szCs w:val="24"/>
        </w:rPr>
        <w:t xml:space="preserve">realizácie </w:t>
      </w:r>
      <w:r w:rsidR="00C441ED">
        <w:rPr>
          <w:rFonts w:cstheme="minorHAnsi"/>
          <w:sz w:val="24"/>
          <w:szCs w:val="24"/>
        </w:rPr>
        <w:t xml:space="preserve">projektov </w:t>
      </w:r>
      <w:r w:rsidR="00AE7A02">
        <w:rPr>
          <w:rFonts w:cstheme="minorHAnsi"/>
          <w:sz w:val="24"/>
          <w:szCs w:val="24"/>
        </w:rPr>
        <w:t>a projektových zámerov BSK v </w:t>
      </w:r>
      <w:r w:rsidR="00B66E2C">
        <w:rPr>
          <w:rFonts w:cstheme="minorHAnsi"/>
          <w:sz w:val="24"/>
          <w:szCs w:val="24"/>
        </w:rPr>
        <w:t>s</w:t>
      </w:r>
      <w:r w:rsidR="00AE7A02">
        <w:rPr>
          <w:rFonts w:cstheme="minorHAnsi"/>
          <w:sz w:val="24"/>
          <w:szCs w:val="24"/>
        </w:rPr>
        <w:t>ume 1</w:t>
      </w:r>
      <w:r w:rsidR="00477137">
        <w:rPr>
          <w:rFonts w:cstheme="minorHAnsi"/>
          <w:sz w:val="24"/>
          <w:szCs w:val="24"/>
        </w:rPr>
        <w:t> 909 635</w:t>
      </w:r>
      <w:r w:rsidR="00AE7A02">
        <w:rPr>
          <w:rFonts w:cstheme="minorHAnsi"/>
          <w:sz w:val="24"/>
          <w:szCs w:val="24"/>
        </w:rPr>
        <w:t xml:space="preserve"> €</w:t>
      </w:r>
      <w:r w:rsidR="00B66E2C">
        <w:rPr>
          <w:rFonts w:cstheme="minorHAnsi"/>
          <w:sz w:val="24"/>
          <w:szCs w:val="24"/>
        </w:rPr>
        <w:t>.</w:t>
      </w:r>
    </w:p>
    <w:p w14:paraId="0E1146FD" w14:textId="05A28900" w:rsidR="00C8280C" w:rsidRDefault="00C8280C" w:rsidP="00C8280C">
      <w:pPr>
        <w:spacing w:after="0" w:line="240" w:lineRule="auto"/>
        <w:jc w:val="both"/>
        <w:rPr>
          <w:rFonts w:cstheme="minorHAnsi"/>
          <w:sz w:val="24"/>
          <w:szCs w:val="24"/>
        </w:rPr>
      </w:pPr>
      <w:r w:rsidRPr="009D099B">
        <w:rPr>
          <w:rFonts w:cstheme="minorHAnsi"/>
          <w:sz w:val="24"/>
          <w:szCs w:val="24"/>
        </w:rPr>
        <w:t xml:space="preserve">V rámci </w:t>
      </w:r>
      <w:r w:rsidRPr="009D099B">
        <w:rPr>
          <w:rFonts w:cstheme="minorHAnsi"/>
          <w:b/>
          <w:sz w:val="24"/>
          <w:szCs w:val="24"/>
        </w:rPr>
        <w:t xml:space="preserve">tuzemských kapitálových grantov </w:t>
      </w:r>
      <w:r>
        <w:rPr>
          <w:rFonts w:cstheme="minorHAnsi"/>
          <w:b/>
          <w:sz w:val="24"/>
          <w:szCs w:val="24"/>
        </w:rPr>
        <w:t>a </w:t>
      </w:r>
      <w:r w:rsidRPr="009D099B">
        <w:rPr>
          <w:rFonts w:cstheme="minorHAnsi"/>
          <w:b/>
          <w:sz w:val="24"/>
          <w:szCs w:val="24"/>
        </w:rPr>
        <w:t>transferov</w:t>
      </w:r>
      <w:r>
        <w:rPr>
          <w:rFonts w:cstheme="minorHAnsi"/>
          <w:b/>
          <w:sz w:val="24"/>
          <w:szCs w:val="24"/>
        </w:rPr>
        <w:t xml:space="preserve"> </w:t>
      </w:r>
      <w:r w:rsidRPr="009D099B">
        <w:rPr>
          <w:rFonts w:cstheme="minorHAnsi"/>
          <w:sz w:val="24"/>
          <w:szCs w:val="24"/>
        </w:rPr>
        <w:t xml:space="preserve"> </w:t>
      </w:r>
      <w:r>
        <w:rPr>
          <w:rFonts w:cstheme="minorHAnsi"/>
          <w:sz w:val="24"/>
          <w:szCs w:val="24"/>
        </w:rPr>
        <w:t xml:space="preserve">sa </w:t>
      </w:r>
      <w:r w:rsidRPr="009D099B">
        <w:rPr>
          <w:rFonts w:cstheme="minorHAnsi"/>
          <w:sz w:val="24"/>
          <w:szCs w:val="24"/>
        </w:rPr>
        <w:t>v</w:t>
      </w:r>
      <w:r>
        <w:rPr>
          <w:rFonts w:cstheme="minorHAnsi"/>
          <w:sz w:val="24"/>
          <w:szCs w:val="24"/>
        </w:rPr>
        <w:t> </w:t>
      </w:r>
      <w:r w:rsidRPr="009D099B">
        <w:rPr>
          <w:rFonts w:cstheme="minorHAnsi"/>
          <w:sz w:val="24"/>
          <w:szCs w:val="24"/>
        </w:rPr>
        <w:t>roku</w:t>
      </w:r>
      <w:r>
        <w:rPr>
          <w:rFonts w:cstheme="minorHAnsi"/>
          <w:sz w:val="24"/>
          <w:szCs w:val="24"/>
        </w:rPr>
        <w:t xml:space="preserve"> </w:t>
      </w:r>
      <w:r w:rsidRPr="00402DB7">
        <w:rPr>
          <w:rFonts w:cstheme="minorHAnsi"/>
          <w:b/>
          <w:bCs/>
          <w:sz w:val="24"/>
          <w:szCs w:val="24"/>
        </w:rPr>
        <w:t>202</w:t>
      </w:r>
      <w:r w:rsidR="00402DB7" w:rsidRPr="00402DB7">
        <w:rPr>
          <w:rFonts w:cstheme="minorHAnsi"/>
          <w:b/>
          <w:bCs/>
          <w:sz w:val="24"/>
          <w:szCs w:val="24"/>
        </w:rPr>
        <w:t>5</w:t>
      </w:r>
      <w:r>
        <w:rPr>
          <w:rFonts w:cstheme="minorHAnsi"/>
          <w:sz w:val="24"/>
          <w:szCs w:val="24"/>
        </w:rPr>
        <w:t xml:space="preserve"> </w:t>
      </w:r>
      <w:r w:rsidRPr="009D099B">
        <w:rPr>
          <w:rFonts w:cstheme="minorHAnsi"/>
          <w:sz w:val="24"/>
          <w:szCs w:val="24"/>
        </w:rPr>
        <w:t xml:space="preserve">rozpočtujú kapitálové príjmy  </w:t>
      </w:r>
      <w:r>
        <w:rPr>
          <w:rFonts w:cstheme="minorHAnsi"/>
          <w:sz w:val="24"/>
          <w:szCs w:val="24"/>
        </w:rPr>
        <w:br/>
      </w:r>
      <w:r w:rsidRPr="009D099B">
        <w:rPr>
          <w:rFonts w:cstheme="minorHAnsi"/>
          <w:sz w:val="24"/>
          <w:szCs w:val="24"/>
        </w:rPr>
        <w:t xml:space="preserve">v </w:t>
      </w:r>
      <w:r>
        <w:rPr>
          <w:rFonts w:cstheme="minorHAnsi"/>
          <w:sz w:val="24"/>
          <w:szCs w:val="24"/>
        </w:rPr>
        <w:t xml:space="preserve">celkovej </w:t>
      </w:r>
      <w:r w:rsidRPr="009D099B">
        <w:rPr>
          <w:rFonts w:cstheme="minorHAnsi"/>
          <w:sz w:val="24"/>
          <w:szCs w:val="24"/>
        </w:rPr>
        <w:t xml:space="preserve">výške </w:t>
      </w:r>
      <w:r w:rsidR="00605FF0" w:rsidRPr="00605FF0">
        <w:rPr>
          <w:rFonts w:cstheme="minorHAnsi"/>
          <w:b/>
          <w:bCs/>
          <w:sz w:val="24"/>
          <w:szCs w:val="24"/>
        </w:rPr>
        <w:t>21 326</w:t>
      </w:r>
      <w:r w:rsidR="00605FF0">
        <w:rPr>
          <w:rFonts w:cstheme="minorHAnsi"/>
          <w:b/>
          <w:bCs/>
          <w:sz w:val="24"/>
          <w:szCs w:val="24"/>
        </w:rPr>
        <w:t> </w:t>
      </w:r>
      <w:r w:rsidR="00605FF0" w:rsidRPr="00605FF0">
        <w:rPr>
          <w:rFonts w:cstheme="minorHAnsi"/>
          <w:b/>
          <w:bCs/>
          <w:sz w:val="24"/>
          <w:szCs w:val="24"/>
        </w:rPr>
        <w:t>797</w:t>
      </w:r>
      <w:r w:rsidR="00605FF0">
        <w:rPr>
          <w:rFonts w:cstheme="minorHAnsi"/>
          <w:b/>
          <w:bCs/>
          <w:sz w:val="24"/>
          <w:szCs w:val="24"/>
        </w:rPr>
        <w:t xml:space="preserve"> </w:t>
      </w:r>
      <w:r w:rsidRPr="00156E59">
        <w:rPr>
          <w:rFonts w:cstheme="minorHAnsi"/>
          <w:b/>
          <w:bCs/>
          <w:sz w:val="24"/>
          <w:szCs w:val="24"/>
        </w:rPr>
        <w:t>€</w:t>
      </w:r>
      <w:r>
        <w:rPr>
          <w:rFonts w:cstheme="minorHAnsi"/>
          <w:b/>
          <w:sz w:val="24"/>
          <w:szCs w:val="24"/>
        </w:rPr>
        <w:t xml:space="preserve">, </w:t>
      </w:r>
      <w:r w:rsidRPr="00F206F1">
        <w:rPr>
          <w:rFonts w:cstheme="minorHAnsi"/>
          <w:sz w:val="24"/>
          <w:szCs w:val="24"/>
        </w:rPr>
        <w:t>z</w:t>
      </w:r>
      <w:r>
        <w:rPr>
          <w:rFonts w:cstheme="minorHAnsi"/>
          <w:sz w:val="24"/>
          <w:szCs w:val="24"/>
        </w:rPr>
        <w:t> čoho najväčšie položky predstavujú granty z</w:t>
      </w:r>
      <w:r w:rsidR="00A909B7">
        <w:rPr>
          <w:rFonts w:cstheme="minorHAnsi"/>
          <w:sz w:val="24"/>
          <w:szCs w:val="24"/>
        </w:rPr>
        <w:t> </w:t>
      </w:r>
      <w:r>
        <w:rPr>
          <w:rFonts w:cstheme="minorHAnsi"/>
          <w:sz w:val="24"/>
          <w:szCs w:val="24"/>
        </w:rPr>
        <w:t>E</w:t>
      </w:r>
      <w:r w:rsidR="00CF4801">
        <w:rPr>
          <w:rFonts w:cstheme="minorHAnsi"/>
          <w:sz w:val="24"/>
          <w:szCs w:val="24"/>
        </w:rPr>
        <w:t>Ú</w:t>
      </w:r>
      <w:r w:rsidR="00A909B7">
        <w:rPr>
          <w:rFonts w:cstheme="minorHAnsi"/>
          <w:sz w:val="24"/>
          <w:szCs w:val="24"/>
        </w:rPr>
        <w:t>,</w:t>
      </w:r>
      <w:r>
        <w:rPr>
          <w:rFonts w:cstheme="minorHAnsi"/>
          <w:sz w:val="24"/>
          <w:szCs w:val="24"/>
        </w:rPr>
        <w:t> spolufinancovanie zo ŠR v rámci prebiehajúcich, ale aj plánovaných projektov BSK</w:t>
      </w:r>
      <w:r w:rsidR="00A909B7">
        <w:rPr>
          <w:rFonts w:cstheme="minorHAnsi"/>
          <w:sz w:val="24"/>
          <w:szCs w:val="24"/>
        </w:rPr>
        <w:t xml:space="preserve"> a taktiež je n</w:t>
      </w:r>
      <w:r w:rsidR="00946A73">
        <w:rPr>
          <w:rFonts w:cstheme="minorHAnsi"/>
          <w:sz w:val="24"/>
          <w:szCs w:val="24"/>
        </w:rPr>
        <w:t>aplánovaná dotácia z</w:t>
      </w:r>
      <w:r w:rsidR="008C03FF">
        <w:rPr>
          <w:rFonts w:cstheme="minorHAnsi"/>
          <w:sz w:val="24"/>
          <w:szCs w:val="24"/>
        </w:rPr>
        <w:t xml:space="preserve"> MF SR na odstránenie následkov povodní </w:t>
      </w:r>
      <w:r w:rsidR="00A86B99">
        <w:rPr>
          <w:rFonts w:cstheme="minorHAnsi"/>
          <w:sz w:val="24"/>
          <w:szCs w:val="24"/>
        </w:rPr>
        <w:t>v</w:t>
      </w:r>
      <w:r w:rsidR="003C4BCD">
        <w:rPr>
          <w:rFonts w:cstheme="minorHAnsi"/>
          <w:sz w:val="24"/>
          <w:szCs w:val="24"/>
        </w:rPr>
        <w:t> Bratislavskom kraji vo výške 7</w:t>
      </w:r>
      <w:r w:rsidR="00A909B7">
        <w:rPr>
          <w:rFonts w:cstheme="minorHAnsi"/>
          <w:sz w:val="24"/>
          <w:szCs w:val="24"/>
        </w:rPr>
        <w:t> </w:t>
      </w:r>
      <w:r w:rsidR="003C4BCD">
        <w:rPr>
          <w:rFonts w:cstheme="minorHAnsi"/>
          <w:sz w:val="24"/>
          <w:szCs w:val="24"/>
        </w:rPr>
        <w:t>0</w:t>
      </w:r>
      <w:r w:rsidR="00A909B7">
        <w:rPr>
          <w:rFonts w:cstheme="minorHAnsi"/>
          <w:sz w:val="24"/>
          <w:szCs w:val="24"/>
        </w:rPr>
        <w:t>30 000 €.</w:t>
      </w:r>
      <w:r w:rsidR="008A4D01">
        <w:rPr>
          <w:rFonts w:cstheme="minorHAnsi"/>
          <w:sz w:val="24"/>
          <w:szCs w:val="24"/>
        </w:rPr>
        <w:t xml:space="preserve"> </w:t>
      </w:r>
    </w:p>
    <w:p w14:paraId="47DD0099" w14:textId="77777777" w:rsidR="00C8280C" w:rsidRDefault="00C8280C" w:rsidP="00C8280C">
      <w:pPr>
        <w:spacing w:after="0" w:line="240" w:lineRule="auto"/>
        <w:jc w:val="both"/>
        <w:rPr>
          <w:rFonts w:cstheme="minorHAnsi"/>
          <w:sz w:val="24"/>
          <w:szCs w:val="24"/>
        </w:rPr>
      </w:pPr>
    </w:p>
    <w:p w14:paraId="046CD044" w14:textId="26166044" w:rsidR="00C8280C" w:rsidRDefault="00C8280C" w:rsidP="00C8280C">
      <w:pPr>
        <w:spacing w:after="0" w:line="240" w:lineRule="auto"/>
        <w:jc w:val="both"/>
        <w:rPr>
          <w:rFonts w:cstheme="minorHAnsi"/>
          <w:sz w:val="24"/>
          <w:szCs w:val="24"/>
        </w:rPr>
      </w:pPr>
      <w:r>
        <w:rPr>
          <w:rFonts w:cstheme="minorHAnsi"/>
          <w:sz w:val="24"/>
          <w:szCs w:val="24"/>
        </w:rPr>
        <w:t>Uvedená tabuľka prezentuje v rámci projektov a projektových zámerov očakávaný príjem v roku 202</w:t>
      </w:r>
      <w:r w:rsidR="00402DB7">
        <w:rPr>
          <w:rFonts w:cstheme="minorHAnsi"/>
          <w:sz w:val="24"/>
          <w:szCs w:val="24"/>
        </w:rPr>
        <w:t>5</w:t>
      </w:r>
      <w:r>
        <w:rPr>
          <w:rFonts w:cstheme="minorHAnsi"/>
          <w:sz w:val="24"/>
          <w:szCs w:val="24"/>
        </w:rPr>
        <w:t xml:space="preserve"> a </w:t>
      </w:r>
      <w:r>
        <w:rPr>
          <w:rFonts w:cstheme="minorHAnsi"/>
          <w:sz w:val="24"/>
          <w:szCs w:val="24"/>
        </w:rPr>
        <w:br/>
        <w:t xml:space="preserve">k ním rozpočtované aj výdavky. Pri niektorých projektoch spolufinancovaných z EÚ a ŠR nie sú plánované príjmy, nakoľko sa refundácie očakávajú až v nasledujúcich rokoch. </w:t>
      </w:r>
    </w:p>
    <w:p w14:paraId="0B7D95D3" w14:textId="77777777" w:rsidR="00B25D61" w:rsidRDefault="00B25D61" w:rsidP="00C8280C">
      <w:pPr>
        <w:spacing w:after="0" w:line="240" w:lineRule="auto"/>
        <w:jc w:val="both"/>
        <w:rPr>
          <w:rFonts w:cstheme="minorHAnsi"/>
          <w:sz w:val="24"/>
          <w:szCs w:val="24"/>
        </w:rPr>
      </w:pPr>
    </w:p>
    <w:tbl>
      <w:tblPr>
        <w:tblW w:w="0" w:type="auto"/>
        <w:tblCellMar>
          <w:left w:w="70" w:type="dxa"/>
          <w:right w:w="70" w:type="dxa"/>
        </w:tblCellMar>
        <w:tblLook w:val="04A0" w:firstRow="1" w:lastRow="0" w:firstColumn="1" w:lastColumn="0" w:noHBand="0" w:noVBand="1"/>
      </w:tblPr>
      <w:tblGrid>
        <w:gridCol w:w="594"/>
        <w:gridCol w:w="3962"/>
        <w:gridCol w:w="811"/>
        <w:gridCol w:w="1054"/>
        <w:gridCol w:w="998"/>
        <w:gridCol w:w="933"/>
        <w:gridCol w:w="1083"/>
        <w:gridCol w:w="1031"/>
      </w:tblGrid>
      <w:tr w:rsidR="00B25D61" w:rsidRPr="00B25D61" w14:paraId="6FED37BB" w14:textId="77777777" w:rsidTr="00096FAB">
        <w:trPr>
          <w:trHeight w:val="315"/>
          <w:tblHeader/>
        </w:trPr>
        <w:tc>
          <w:tcPr>
            <w:tcW w:w="0" w:type="auto"/>
            <w:tcBorders>
              <w:top w:val="nil"/>
              <w:left w:val="nil"/>
              <w:bottom w:val="single" w:sz="8" w:space="0" w:color="B8CCE4"/>
              <w:right w:val="nil"/>
            </w:tcBorders>
            <w:shd w:val="clear" w:color="000000" w:fill="366092"/>
            <w:noWrap/>
            <w:vAlign w:val="center"/>
            <w:hideMark/>
          </w:tcPr>
          <w:p w14:paraId="28B931F6" w14:textId="77777777" w:rsidR="00B25D61" w:rsidRPr="00B25D61" w:rsidRDefault="00B25D61" w:rsidP="00B25D61">
            <w:pPr>
              <w:spacing w:after="0" w:line="240" w:lineRule="auto"/>
              <w:jc w:val="center"/>
              <w:rPr>
                <w:rFonts w:ascii="Aptos Narrow" w:eastAsia="Times New Roman" w:hAnsi="Aptos Narrow" w:cs="Times New Roman"/>
                <w:b/>
                <w:bCs/>
                <w:color w:val="FFFFFF"/>
                <w:sz w:val="18"/>
                <w:szCs w:val="18"/>
                <w:lang w:eastAsia="sk-SK"/>
              </w:rPr>
            </w:pPr>
            <w:r w:rsidRPr="00B25D61">
              <w:rPr>
                <w:rFonts w:ascii="Aptos Narrow" w:eastAsia="Times New Roman" w:hAnsi="Aptos Narrow" w:cs="Times New Roman"/>
                <w:b/>
                <w:bCs/>
                <w:color w:val="FFFFFF"/>
                <w:sz w:val="18"/>
                <w:szCs w:val="18"/>
                <w:lang w:eastAsia="sk-SK"/>
              </w:rPr>
              <w:t> </w:t>
            </w:r>
          </w:p>
        </w:tc>
        <w:tc>
          <w:tcPr>
            <w:tcW w:w="0" w:type="auto"/>
            <w:tcBorders>
              <w:top w:val="nil"/>
              <w:left w:val="nil"/>
              <w:bottom w:val="single" w:sz="8" w:space="0" w:color="B8CCE4"/>
              <w:right w:val="nil"/>
            </w:tcBorders>
            <w:shd w:val="clear" w:color="000000" w:fill="366092"/>
            <w:noWrap/>
            <w:vAlign w:val="center"/>
            <w:hideMark/>
          </w:tcPr>
          <w:p w14:paraId="63BE664F" w14:textId="77777777" w:rsidR="00B25D61" w:rsidRPr="00B25D61" w:rsidRDefault="00B25D61" w:rsidP="00B25D61">
            <w:pPr>
              <w:spacing w:after="0" w:line="240" w:lineRule="auto"/>
              <w:jc w:val="center"/>
              <w:rPr>
                <w:rFonts w:ascii="Aptos Narrow" w:eastAsia="Times New Roman" w:hAnsi="Aptos Narrow" w:cs="Times New Roman"/>
                <w:b/>
                <w:bCs/>
                <w:color w:val="FFFFFF"/>
                <w:sz w:val="18"/>
                <w:szCs w:val="18"/>
                <w:lang w:eastAsia="sk-SK"/>
              </w:rPr>
            </w:pPr>
            <w:r w:rsidRPr="00B25D61">
              <w:rPr>
                <w:rFonts w:ascii="Aptos Narrow" w:eastAsia="Times New Roman" w:hAnsi="Aptos Narrow" w:cs="Times New Roman"/>
                <w:b/>
                <w:bCs/>
                <w:color w:val="FFFFFF"/>
                <w:sz w:val="18"/>
                <w:szCs w:val="18"/>
                <w:lang w:eastAsia="sk-SK"/>
              </w:rPr>
              <w:t>Názov projektu a projektového zámeru BSK</w:t>
            </w:r>
          </w:p>
        </w:tc>
        <w:tc>
          <w:tcPr>
            <w:tcW w:w="0" w:type="auto"/>
            <w:gridSpan w:val="3"/>
            <w:tcBorders>
              <w:top w:val="nil"/>
              <w:left w:val="nil"/>
              <w:bottom w:val="single" w:sz="8" w:space="0" w:color="B8CCE4"/>
              <w:right w:val="nil"/>
            </w:tcBorders>
            <w:shd w:val="clear" w:color="000000" w:fill="366092"/>
            <w:noWrap/>
            <w:vAlign w:val="center"/>
            <w:hideMark/>
          </w:tcPr>
          <w:p w14:paraId="1A67CA88" w14:textId="77777777" w:rsidR="00B25D61" w:rsidRPr="00B25D61" w:rsidRDefault="00B25D61" w:rsidP="00B25D61">
            <w:pPr>
              <w:spacing w:after="0" w:line="240" w:lineRule="auto"/>
              <w:jc w:val="center"/>
              <w:rPr>
                <w:rFonts w:ascii="Aptos Narrow" w:eastAsia="Times New Roman" w:hAnsi="Aptos Narrow" w:cs="Times New Roman"/>
                <w:b/>
                <w:bCs/>
                <w:color w:val="FFFFFF"/>
                <w:sz w:val="18"/>
                <w:szCs w:val="18"/>
                <w:lang w:eastAsia="sk-SK"/>
              </w:rPr>
            </w:pPr>
            <w:r w:rsidRPr="00B25D61">
              <w:rPr>
                <w:rFonts w:ascii="Aptos Narrow" w:eastAsia="Times New Roman" w:hAnsi="Aptos Narrow" w:cs="Times New Roman"/>
                <w:b/>
                <w:bCs/>
                <w:color w:val="FFFFFF"/>
                <w:sz w:val="18"/>
                <w:szCs w:val="18"/>
                <w:lang w:eastAsia="sk-SK"/>
              </w:rPr>
              <w:t>PRÍJMY 2025</w:t>
            </w:r>
          </w:p>
        </w:tc>
        <w:tc>
          <w:tcPr>
            <w:tcW w:w="0" w:type="auto"/>
            <w:gridSpan w:val="3"/>
            <w:tcBorders>
              <w:top w:val="nil"/>
              <w:left w:val="nil"/>
              <w:bottom w:val="single" w:sz="8" w:space="0" w:color="B8CCE4"/>
              <w:right w:val="nil"/>
            </w:tcBorders>
            <w:shd w:val="clear" w:color="000000" w:fill="366092"/>
            <w:noWrap/>
            <w:vAlign w:val="center"/>
            <w:hideMark/>
          </w:tcPr>
          <w:p w14:paraId="1AD1711D" w14:textId="77777777" w:rsidR="00B25D61" w:rsidRPr="00B25D61" w:rsidRDefault="00B25D61" w:rsidP="00B25D61">
            <w:pPr>
              <w:spacing w:after="0" w:line="240" w:lineRule="auto"/>
              <w:jc w:val="center"/>
              <w:rPr>
                <w:rFonts w:ascii="Aptos Narrow" w:eastAsia="Times New Roman" w:hAnsi="Aptos Narrow" w:cs="Times New Roman"/>
                <w:b/>
                <w:bCs/>
                <w:color w:val="FFFFFF"/>
                <w:sz w:val="18"/>
                <w:szCs w:val="18"/>
                <w:lang w:eastAsia="sk-SK"/>
              </w:rPr>
            </w:pPr>
            <w:r w:rsidRPr="00B25D61">
              <w:rPr>
                <w:rFonts w:ascii="Aptos Narrow" w:eastAsia="Times New Roman" w:hAnsi="Aptos Narrow" w:cs="Times New Roman"/>
                <w:b/>
                <w:bCs/>
                <w:color w:val="FFFFFF"/>
                <w:sz w:val="18"/>
                <w:szCs w:val="18"/>
                <w:lang w:eastAsia="sk-SK"/>
              </w:rPr>
              <w:t>VÝDAVKY 2025</w:t>
            </w:r>
          </w:p>
        </w:tc>
      </w:tr>
      <w:tr w:rsidR="00B25D61" w:rsidRPr="00B25D61" w14:paraId="0884DE7F" w14:textId="77777777" w:rsidTr="00096FAB">
        <w:trPr>
          <w:trHeight w:val="495"/>
          <w:tblHeader/>
        </w:trPr>
        <w:tc>
          <w:tcPr>
            <w:tcW w:w="0" w:type="auto"/>
            <w:tcBorders>
              <w:top w:val="nil"/>
              <w:left w:val="nil"/>
              <w:bottom w:val="single" w:sz="8" w:space="0" w:color="DCE6F1"/>
              <w:right w:val="nil"/>
            </w:tcBorders>
            <w:shd w:val="clear" w:color="000000" w:fill="95B3D7"/>
            <w:noWrap/>
            <w:vAlign w:val="center"/>
            <w:hideMark/>
          </w:tcPr>
          <w:p w14:paraId="7A7FE4BC" w14:textId="77777777" w:rsidR="00B25D61" w:rsidRPr="00B25D61" w:rsidRDefault="00B25D61" w:rsidP="00B25D61">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 </w:t>
            </w:r>
          </w:p>
        </w:tc>
        <w:tc>
          <w:tcPr>
            <w:tcW w:w="0" w:type="auto"/>
            <w:tcBorders>
              <w:top w:val="nil"/>
              <w:left w:val="nil"/>
              <w:bottom w:val="single" w:sz="8" w:space="0" w:color="DCE6F1"/>
              <w:right w:val="nil"/>
            </w:tcBorders>
            <w:shd w:val="clear" w:color="000000" w:fill="95B3D7"/>
            <w:noWrap/>
            <w:vAlign w:val="center"/>
            <w:hideMark/>
          </w:tcPr>
          <w:p w14:paraId="1776FE67" w14:textId="77777777" w:rsidR="00B25D61" w:rsidRPr="00B25D61" w:rsidRDefault="00B25D61" w:rsidP="00B25D61">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 </w:t>
            </w:r>
          </w:p>
        </w:tc>
        <w:tc>
          <w:tcPr>
            <w:tcW w:w="0" w:type="auto"/>
            <w:tcBorders>
              <w:top w:val="nil"/>
              <w:left w:val="nil"/>
              <w:bottom w:val="single" w:sz="8" w:space="0" w:color="DCE6F1"/>
              <w:right w:val="nil"/>
            </w:tcBorders>
            <w:shd w:val="clear" w:color="000000" w:fill="D9D9D9"/>
            <w:vAlign w:val="center"/>
            <w:hideMark/>
          </w:tcPr>
          <w:p w14:paraId="4B0A83DE" w14:textId="77777777" w:rsidR="00B25D61" w:rsidRPr="00B25D61" w:rsidRDefault="00B25D61" w:rsidP="00B25D61">
            <w:pPr>
              <w:spacing w:after="0" w:line="240" w:lineRule="auto"/>
              <w:jc w:val="center"/>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Bežné príjmy</w:t>
            </w:r>
          </w:p>
        </w:tc>
        <w:tc>
          <w:tcPr>
            <w:tcW w:w="0" w:type="auto"/>
            <w:tcBorders>
              <w:top w:val="nil"/>
              <w:left w:val="nil"/>
              <w:bottom w:val="single" w:sz="8" w:space="0" w:color="DCE6F1"/>
              <w:right w:val="nil"/>
            </w:tcBorders>
            <w:shd w:val="clear" w:color="000000" w:fill="D9D9D9"/>
            <w:vAlign w:val="center"/>
            <w:hideMark/>
          </w:tcPr>
          <w:p w14:paraId="6D71BC4E" w14:textId="77777777" w:rsidR="00B25D61" w:rsidRPr="00B25D61" w:rsidRDefault="00B25D61" w:rsidP="00B25D61">
            <w:pPr>
              <w:spacing w:after="0" w:line="240" w:lineRule="auto"/>
              <w:jc w:val="center"/>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Kapitálové príjmy</w:t>
            </w:r>
          </w:p>
        </w:tc>
        <w:tc>
          <w:tcPr>
            <w:tcW w:w="0" w:type="auto"/>
            <w:tcBorders>
              <w:top w:val="nil"/>
              <w:left w:val="nil"/>
              <w:bottom w:val="single" w:sz="8" w:space="0" w:color="DCE6F1"/>
              <w:right w:val="nil"/>
            </w:tcBorders>
            <w:shd w:val="clear" w:color="000000" w:fill="D9D9D9"/>
            <w:vAlign w:val="center"/>
            <w:hideMark/>
          </w:tcPr>
          <w:p w14:paraId="3F51E250" w14:textId="77777777" w:rsidR="00B25D61" w:rsidRPr="00B25D61" w:rsidRDefault="00B25D61" w:rsidP="00B25D61">
            <w:pPr>
              <w:spacing w:after="0" w:line="240" w:lineRule="auto"/>
              <w:jc w:val="center"/>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Príjmy celkom</w:t>
            </w:r>
          </w:p>
        </w:tc>
        <w:tc>
          <w:tcPr>
            <w:tcW w:w="0" w:type="auto"/>
            <w:tcBorders>
              <w:top w:val="nil"/>
              <w:left w:val="nil"/>
              <w:bottom w:val="single" w:sz="8" w:space="0" w:color="DCE6F1"/>
              <w:right w:val="nil"/>
            </w:tcBorders>
            <w:shd w:val="clear" w:color="000000" w:fill="95B3D7"/>
            <w:vAlign w:val="center"/>
            <w:hideMark/>
          </w:tcPr>
          <w:p w14:paraId="4363F925" w14:textId="77777777" w:rsidR="00B25D61" w:rsidRPr="00B25D61" w:rsidRDefault="00B25D61" w:rsidP="00B25D61">
            <w:pPr>
              <w:spacing w:after="0" w:line="240" w:lineRule="auto"/>
              <w:jc w:val="center"/>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Bežné výdavky</w:t>
            </w:r>
          </w:p>
        </w:tc>
        <w:tc>
          <w:tcPr>
            <w:tcW w:w="0" w:type="auto"/>
            <w:tcBorders>
              <w:top w:val="nil"/>
              <w:left w:val="nil"/>
              <w:bottom w:val="single" w:sz="8" w:space="0" w:color="DCE6F1"/>
              <w:right w:val="nil"/>
            </w:tcBorders>
            <w:shd w:val="clear" w:color="000000" w:fill="95B3D7"/>
            <w:vAlign w:val="center"/>
            <w:hideMark/>
          </w:tcPr>
          <w:p w14:paraId="6D59D15D" w14:textId="77777777" w:rsidR="00B25D61" w:rsidRPr="00B25D61" w:rsidRDefault="00B25D61" w:rsidP="00B25D61">
            <w:pPr>
              <w:spacing w:after="0" w:line="240" w:lineRule="auto"/>
              <w:jc w:val="center"/>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Kapitálové výdavky</w:t>
            </w:r>
          </w:p>
        </w:tc>
        <w:tc>
          <w:tcPr>
            <w:tcW w:w="0" w:type="auto"/>
            <w:tcBorders>
              <w:top w:val="nil"/>
              <w:left w:val="nil"/>
              <w:bottom w:val="single" w:sz="8" w:space="0" w:color="DCE6F1"/>
              <w:right w:val="nil"/>
            </w:tcBorders>
            <w:shd w:val="clear" w:color="000000" w:fill="95B3D7"/>
            <w:vAlign w:val="center"/>
            <w:hideMark/>
          </w:tcPr>
          <w:p w14:paraId="29C1BD38" w14:textId="77777777" w:rsidR="00B25D61" w:rsidRPr="00B25D61" w:rsidRDefault="00B25D61" w:rsidP="00B25D61">
            <w:pPr>
              <w:spacing w:after="0" w:line="240" w:lineRule="auto"/>
              <w:jc w:val="center"/>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Výdavky celkom</w:t>
            </w:r>
          </w:p>
        </w:tc>
      </w:tr>
      <w:tr w:rsidR="00B25D61" w:rsidRPr="00B25D61" w14:paraId="485487D6" w14:textId="77777777" w:rsidTr="00B25D61">
        <w:trPr>
          <w:trHeight w:val="319"/>
        </w:trPr>
        <w:tc>
          <w:tcPr>
            <w:tcW w:w="0" w:type="auto"/>
            <w:tcBorders>
              <w:top w:val="nil"/>
              <w:left w:val="nil"/>
              <w:bottom w:val="nil"/>
              <w:right w:val="nil"/>
            </w:tcBorders>
            <w:shd w:val="clear" w:color="000000" w:fill="DAE9F8"/>
            <w:noWrap/>
            <w:vAlign w:val="bottom"/>
            <w:hideMark/>
          </w:tcPr>
          <w:p w14:paraId="6C5856BF"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w:t>
            </w:r>
          </w:p>
        </w:tc>
        <w:tc>
          <w:tcPr>
            <w:tcW w:w="0" w:type="auto"/>
            <w:tcBorders>
              <w:top w:val="nil"/>
              <w:left w:val="nil"/>
              <w:bottom w:val="nil"/>
              <w:right w:val="nil"/>
            </w:tcBorders>
            <w:shd w:val="clear" w:color="000000" w:fill="DAE9F8"/>
            <w:vAlign w:val="center"/>
            <w:hideMark/>
          </w:tcPr>
          <w:p w14:paraId="1404C876" w14:textId="77777777" w:rsidR="00B25D61" w:rsidRPr="00B25D61" w:rsidRDefault="00B25D61" w:rsidP="00B25D61">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Energetika - stredné školstvo</w:t>
            </w:r>
          </w:p>
        </w:tc>
        <w:tc>
          <w:tcPr>
            <w:tcW w:w="0" w:type="auto"/>
            <w:tcBorders>
              <w:top w:val="nil"/>
              <w:left w:val="nil"/>
              <w:bottom w:val="single" w:sz="8" w:space="0" w:color="DCE6F1"/>
              <w:right w:val="nil"/>
            </w:tcBorders>
            <w:shd w:val="clear" w:color="000000" w:fill="DAE9F8"/>
            <w:noWrap/>
            <w:vAlign w:val="center"/>
            <w:hideMark/>
          </w:tcPr>
          <w:p w14:paraId="168B2013"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725A3E22"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11 824 404</w:t>
            </w:r>
          </w:p>
        </w:tc>
        <w:tc>
          <w:tcPr>
            <w:tcW w:w="0" w:type="auto"/>
            <w:tcBorders>
              <w:top w:val="nil"/>
              <w:left w:val="nil"/>
              <w:bottom w:val="single" w:sz="8" w:space="0" w:color="DCE6F1"/>
              <w:right w:val="nil"/>
            </w:tcBorders>
            <w:shd w:val="clear" w:color="000000" w:fill="DAE9F8"/>
            <w:noWrap/>
            <w:vAlign w:val="center"/>
            <w:hideMark/>
          </w:tcPr>
          <w:p w14:paraId="0B0E9843"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11 824 404</w:t>
            </w:r>
          </w:p>
        </w:tc>
        <w:tc>
          <w:tcPr>
            <w:tcW w:w="0" w:type="auto"/>
            <w:tcBorders>
              <w:top w:val="nil"/>
              <w:left w:val="nil"/>
              <w:bottom w:val="single" w:sz="8" w:space="0" w:color="DCE6F1"/>
              <w:right w:val="nil"/>
            </w:tcBorders>
            <w:shd w:val="clear" w:color="000000" w:fill="DAE9F8"/>
            <w:noWrap/>
            <w:vAlign w:val="center"/>
            <w:hideMark/>
          </w:tcPr>
          <w:p w14:paraId="49F40A32"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3238016C"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19 129 262</w:t>
            </w:r>
          </w:p>
        </w:tc>
        <w:tc>
          <w:tcPr>
            <w:tcW w:w="0" w:type="auto"/>
            <w:tcBorders>
              <w:top w:val="nil"/>
              <w:left w:val="nil"/>
              <w:bottom w:val="single" w:sz="8" w:space="0" w:color="DCE6F1"/>
              <w:right w:val="nil"/>
            </w:tcBorders>
            <w:shd w:val="clear" w:color="000000" w:fill="DAE9F8"/>
            <w:noWrap/>
            <w:vAlign w:val="center"/>
            <w:hideMark/>
          </w:tcPr>
          <w:p w14:paraId="299B5D3C"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19 129 262</w:t>
            </w:r>
          </w:p>
        </w:tc>
      </w:tr>
      <w:tr w:rsidR="00B25D61" w:rsidRPr="00B25D61" w14:paraId="040AAB38" w14:textId="77777777" w:rsidTr="00B25D61">
        <w:trPr>
          <w:trHeight w:val="319"/>
        </w:trPr>
        <w:tc>
          <w:tcPr>
            <w:tcW w:w="0" w:type="auto"/>
            <w:tcBorders>
              <w:top w:val="nil"/>
              <w:left w:val="nil"/>
              <w:bottom w:val="nil"/>
              <w:right w:val="nil"/>
            </w:tcBorders>
            <w:shd w:val="clear" w:color="auto" w:fill="auto"/>
            <w:noWrap/>
            <w:vAlign w:val="bottom"/>
            <w:hideMark/>
          </w:tcPr>
          <w:p w14:paraId="6DEBE9B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1 014</w:t>
            </w:r>
          </w:p>
        </w:tc>
        <w:tc>
          <w:tcPr>
            <w:tcW w:w="0" w:type="auto"/>
            <w:tcBorders>
              <w:top w:val="nil"/>
              <w:left w:val="nil"/>
              <w:bottom w:val="nil"/>
              <w:right w:val="nil"/>
            </w:tcBorders>
            <w:shd w:val="clear" w:color="auto" w:fill="auto"/>
            <w:vAlign w:val="center"/>
            <w:hideMark/>
          </w:tcPr>
          <w:p w14:paraId="0E711A0C" w14:textId="6E50AD53"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Energetická obnova Gymnázium </w:t>
            </w:r>
            <w:r w:rsidR="00235990">
              <w:rPr>
                <w:rFonts w:ascii="Aptos Narrow" w:eastAsia="Times New Roman" w:hAnsi="Aptos Narrow" w:cs="Times New Roman"/>
                <w:color w:val="000000"/>
                <w:sz w:val="18"/>
                <w:szCs w:val="18"/>
                <w:lang w:eastAsia="sk-SK"/>
              </w:rPr>
              <w:t>L.</w:t>
            </w:r>
            <w:r w:rsidRPr="00B25D61">
              <w:rPr>
                <w:rFonts w:ascii="Aptos Narrow" w:eastAsia="Times New Roman" w:hAnsi="Aptos Narrow" w:cs="Times New Roman"/>
                <w:color w:val="000000"/>
                <w:sz w:val="18"/>
                <w:szCs w:val="18"/>
                <w:lang w:eastAsia="sk-SK"/>
              </w:rPr>
              <w:t xml:space="preserve"> Novomeského</w:t>
            </w:r>
          </w:p>
        </w:tc>
        <w:tc>
          <w:tcPr>
            <w:tcW w:w="0" w:type="auto"/>
            <w:tcBorders>
              <w:top w:val="nil"/>
              <w:left w:val="nil"/>
              <w:bottom w:val="single" w:sz="8" w:space="0" w:color="DCE6F1"/>
              <w:right w:val="nil"/>
            </w:tcBorders>
            <w:shd w:val="clear" w:color="000000" w:fill="D9D9D9"/>
            <w:noWrap/>
            <w:vAlign w:val="center"/>
            <w:hideMark/>
          </w:tcPr>
          <w:p w14:paraId="240103D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55FC5160"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2 898 865</w:t>
            </w:r>
          </w:p>
        </w:tc>
        <w:tc>
          <w:tcPr>
            <w:tcW w:w="0" w:type="auto"/>
            <w:tcBorders>
              <w:top w:val="nil"/>
              <w:left w:val="nil"/>
              <w:bottom w:val="single" w:sz="8" w:space="0" w:color="DCE6F1"/>
              <w:right w:val="nil"/>
            </w:tcBorders>
            <w:shd w:val="clear" w:color="000000" w:fill="D9D9D9"/>
            <w:noWrap/>
            <w:vAlign w:val="center"/>
            <w:hideMark/>
          </w:tcPr>
          <w:p w14:paraId="4BCAB1A8"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2 898 865</w:t>
            </w:r>
          </w:p>
        </w:tc>
        <w:tc>
          <w:tcPr>
            <w:tcW w:w="0" w:type="auto"/>
            <w:tcBorders>
              <w:top w:val="nil"/>
              <w:left w:val="nil"/>
              <w:bottom w:val="single" w:sz="8" w:space="0" w:color="DCE6F1"/>
              <w:right w:val="nil"/>
            </w:tcBorders>
            <w:shd w:val="clear" w:color="auto" w:fill="auto"/>
            <w:noWrap/>
            <w:vAlign w:val="center"/>
            <w:hideMark/>
          </w:tcPr>
          <w:p w14:paraId="3A0E557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52F0C0F8"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3 840 817</w:t>
            </w:r>
          </w:p>
        </w:tc>
        <w:tc>
          <w:tcPr>
            <w:tcW w:w="0" w:type="auto"/>
            <w:tcBorders>
              <w:top w:val="nil"/>
              <w:left w:val="nil"/>
              <w:bottom w:val="single" w:sz="8" w:space="0" w:color="DCE6F1"/>
              <w:right w:val="nil"/>
            </w:tcBorders>
            <w:shd w:val="clear" w:color="auto" w:fill="auto"/>
            <w:noWrap/>
            <w:vAlign w:val="center"/>
            <w:hideMark/>
          </w:tcPr>
          <w:p w14:paraId="7927B9AA"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3 840 817</w:t>
            </w:r>
          </w:p>
        </w:tc>
      </w:tr>
      <w:tr w:rsidR="00B25D61" w:rsidRPr="00B25D61" w14:paraId="19BBA8B2" w14:textId="77777777" w:rsidTr="00B25D61">
        <w:trPr>
          <w:trHeight w:val="319"/>
        </w:trPr>
        <w:tc>
          <w:tcPr>
            <w:tcW w:w="0" w:type="auto"/>
            <w:tcBorders>
              <w:top w:val="nil"/>
              <w:left w:val="nil"/>
              <w:bottom w:val="nil"/>
              <w:right w:val="nil"/>
            </w:tcBorders>
            <w:shd w:val="clear" w:color="auto" w:fill="auto"/>
            <w:noWrap/>
            <w:vAlign w:val="bottom"/>
            <w:hideMark/>
          </w:tcPr>
          <w:p w14:paraId="28572B95"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1 015</w:t>
            </w:r>
          </w:p>
        </w:tc>
        <w:tc>
          <w:tcPr>
            <w:tcW w:w="0" w:type="auto"/>
            <w:tcBorders>
              <w:top w:val="nil"/>
              <w:left w:val="nil"/>
              <w:bottom w:val="nil"/>
              <w:right w:val="nil"/>
            </w:tcBorders>
            <w:shd w:val="clear" w:color="auto" w:fill="auto"/>
            <w:vAlign w:val="center"/>
            <w:hideMark/>
          </w:tcPr>
          <w:p w14:paraId="332FBB5C" w14:textId="355A4822"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Energetická obnova Gymnázium I</w:t>
            </w:r>
            <w:r w:rsidR="00235990">
              <w:rPr>
                <w:rFonts w:ascii="Aptos Narrow" w:eastAsia="Times New Roman" w:hAnsi="Aptos Narrow" w:cs="Times New Roman"/>
                <w:color w:val="000000"/>
                <w:sz w:val="18"/>
                <w:szCs w:val="18"/>
                <w:lang w:eastAsia="sk-SK"/>
              </w:rPr>
              <w:t>.</w:t>
            </w:r>
            <w:r w:rsidRPr="00B25D61">
              <w:rPr>
                <w:rFonts w:ascii="Aptos Narrow" w:eastAsia="Times New Roman" w:hAnsi="Aptos Narrow" w:cs="Times New Roman"/>
                <w:color w:val="000000"/>
                <w:sz w:val="18"/>
                <w:szCs w:val="18"/>
                <w:lang w:eastAsia="sk-SK"/>
              </w:rPr>
              <w:t xml:space="preserve"> Horvátha SO 01</w:t>
            </w:r>
          </w:p>
        </w:tc>
        <w:tc>
          <w:tcPr>
            <w:tcW w:w="0" w:type="auto"/>
            <w:tcBorders>
              <w:top w:val="nil"/>
              <w:left w:val="nil"/>
              <w:bottom w:val="single" w:sz="8" w:space="0" w:color="DCE6F1"/>
              <w:right w:val="nil"/>
            </w:tcBorders>
            <w:shd w:val="clear" w:color="000000" w:fill="D9D9D9"/>
            <w:noWrap/>
            <w:vAlign w:val="center"/>
            <w:hideMark/>
          </w:tcPr>
          <w:p w14:paraId="49339628"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5B145F49"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1 546 019</w:t>
            </w:r>
          </w:p>
        </w:tc>
        <w:tc>
          <w:tcPr>
            <w:tcW w:w="0" w:type="auto"/>
            <w:tcBorders>
              <w:top w:val="nil"/>
              <w:left w:val="nil"/>
              <w:bottom w:val="single" w:sz="8" w:space="0" w:color="DCE6F1"/>
              <w:right w:val="nil"/>
            </w:tcBorders>
            <w:shd w:val="clear" w:color="000000" w:fill="D9D9D9"/>
            <w:noWrap/>
            <w:vAlign w:val="center"/>
            <w:hideMark/>
          </w:tcPr>
          <w:p w14:paraId="37985CC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1 546 019</w:t>
            </w:r>
          </w:p>
        </w:tc>
        <w:tc>
          <w:tcPr>
            <w:tcW w:w="0" w:type="auto"/>
            <w:tcBorders>
              <w:top w:val="nil"/>
              <w:left w:val="nil"/>
              <w:bottom w:val="single" w:sz="8" w:space="0" w:color="DCE6F1"/>
              <w:right w:val="nil"/>
            </w:tcBorders>
            <w:shd w:val="clear" w:color="auto" w:fill="auto"/>
            <w:noWrap/>
            <w:vAlign w:val="center"/>
            <w:hideMark/>
          </w:tcPr>
          <w:p w14:paraId="6B2CB973"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2DD36B96"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3 051 110</w:t>
            </w:r>
          </w:p>
        </w:tc>
        <w:tc>
          <w:tcPr>
            <w:tcW w:w="0" w:type="auto"/>
            <w:tcBorders>
              <w:top w:val="nil"/>
              <w:left w:val="nil"/>
              <w:bottom w:val="single" w:sz="8" w:space="0" w:color="DCE6F1"/>
              <w:right w:val="nil"/>
            </w:tcBorders>
            <w:shd w:val="clear" w:color="auto" w:fill="auto"/>
            <w:noWrap/>
            <w:vAlign w:val="center"/>
            <w:hideMark/>
          </w:tcPr>
          <w:p w14:paraId="22D3283E"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3 051 110</w:t>
            </w:r>
          </w:p>
        </w:tc>
      </w:tr>
      <w:tr w:rsidR="00B25D61" w:rsidRPr="00B25D61" w14:paraId="32C592CB" w14:textId="77777777" w:rsidTr="00B25D61">
        <w:trPr>
          <w:trHeight w:val="319"/>
        </w:trPr>
        <w:tc>
          <w:tcPr>
            <w:tcW w:w="0" w:type="auto"/>
            <w:tcBorders>
              <w:top w:val="nil"/>
              <w:left w:val="nil"/>
              <w:bottom w:val="nil"/>
              <w:right w:val="nil"/>
            </w:tcBorders>
            <w:shd w:val="clear" w:color="auto" w:fill="auto"/>
            <w:noWrap/>
            <w:vAlign w:val="bottom"/>
            <w:hideMark/>
          </w:tcPr>
          <w:p w14:paraId="4F4363C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1 016</w:t>
            </w:r>
          </w:p>
        </w:tc>
        <w:tc>
          <w:tcPr>
            <w:tcW w:w="0" w:type="auto"/>
            <w:tcBorders>
              <w:top w:val="nil"/>
              <w:left w:val="nil"/>
              <w:bottom w:val="nil"/>
              <w:right w:val="nil"/>
            </w:tcBorders>
            <w:shd w:val="clear" w:color="auto" w:fill="auto"/>
            <w:vAlign w:val="center"/>
            <w:hideMark/>
          </w:tcPr>
          <w:p w14:paraId="67584640" w14:textId="072793C6"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Energetická obnova Gymnázium </w:t>
            </w:r>
            <w:r w:rsidR="00235990">
              <w:rPr>
                <w:rFonts w:ascii="Aptos Narrow" w:eastAsia="Times New Roman" w:hAnsi="Aptos Narrow" w:cs="Times New Roman"/>
                <w:color w:val="000000"/>
                <w:sz w:val="18"/>
                <w:szCs w:val="18"/>
                <w:lang w:eastAsia="sk-SK"/>
              </w:rPr>
              <w:t>.</w:t>
            </w:r>
            <w:r w:rsidRPr="00B25D61">
              <w:rPr>
                <w:rFonts w:ascii="Aptos Narrow" w:eastAsia="Times New Roman" w:hAnsi="Aptos Narrow" w:cs="Times New Roman"/>
                <w:color w:val="000000"/>
                <w:sz w:val="18"/>
                <w:szCs w:val="18"/>
                <w:lang w:eastAsia="sk-SK"/>
              </w:rPr>
              <w:t xml:space="preserve"> Horvátha SO 02</w:t>
            </w:r>
          </w:p>
        </w:tc>
        <w:tc>
          <w:tcPr>
            <w:tcW w:w="0" w:type="auto"/>
            <w:tcBorders>
              <w:top w:val="nil"/>
              <w:left w:val="nil"/>
              <w:bottom w:val="single" w:sz="8" w:space="0" w:color="DCE6F1"/>
              <w:right w:val="nil"/>
            </w:tcBorders>
            <w:shd w:val="clear" w:color="000000" w:fill="D9D9D9"/>
            <w:noWrap/>
            <w:vAlign w:val="center"/>
            <w:hideMark/>
          </w:tcPr>
          <w:p w14:paraId="408BE77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523C388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906 513</w:t>
            </w:r>
          </w:p>
        </w:tc>
        <w:tc>
          <w:tcPr>
            <w:tcW w:w="0" w:type="auto"/>
            <w:tcBorders>
              <w:top w:val="nil"/>
              <w:left w:val="nil"/>
              <w:bottom w:val="single" w:sz="8" w:space="0" w:color="DCE6F1"/>
              <w:right w:val="nil"/>
            </w:tcBorders>
            <w:shd w:val="clear" w:color="000000" w:fill="D9D9D9"/>
            <w:noWrap/>
            <w:vAlign w:val="center"/>
            <w:hideMark/>
          </w:tcPr>
          <w:p w14:paraId="6B5204AF"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906 513</w:t>
            </w:r>
          </w:p>
        </w:tc>
        <w:tc>
          <w:tcPr>
            <w:tcW w:w="0" w:type="auto"/>
            <w:tcBorders>
              <w:top w:val="nil"/>
              <w:left w:val="nil"/>
              <w:bottom w:val="single" w:sz="8" w:space="0" w:color="DCE6F1"/>
              <w:right w:val="nil"/>
            </w:tcBorders>
            <w:shd w:val="clear" w:color="auto" w:fill="auto"/>
            <w:noWrap/>
            <w:vAlign w:val="center"/>
            <w:hideMark/>
          </w:tcPr>
          <w:p w14:paraId="448AA5C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605EACE"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1 168 038</w:t>
            </w:r>
          </w:p>
        </w:tc>
        <w:tc>
          <w:tcPr>
            <w:tcW w:w="0" w:type="auto"/>
            <w:tcBorders>
              <w:top w:val="nil"/>
              <w:left w:val="nil"/>
              <w:bottom w:val="single" w:sz="8" w:space="0" w:color="DCE6F1"/>
              <w:right w:val="nil"/>
            </w:tcBorders>
            <w:shd w:val="clear" w:color="auto" w:fill="auto"/>
            <w:noWrap/>
            <w:vAlign w:val="center"/>
            <w:hideMark/>
          </w:tcPr>
          <w:p w14:paraId="7C0DA6D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1 168 038</w:t>
            </w:r>
          </w:p>
        </w:tc>
      </w:tr>
      <w:tr w:rsidR="00B25D61" w:rsidRPr="00B25D61" w14:paraId="4C64D5F7" w14:textId="77777777" w:rsidTr="00B25D61">
        <w:trPr>
          <w:trHeight w:val="319"/>
        </w:trPr>
        <w:tc>
          <w:tcPr>
            <w:tcW w:w="0" w:type="auto"/>
            <w:tcBorders>
              <w:top w:val="nil"/>
              <w:left w:val="nil"/>
              <w:bottom w:val="nil"/>
              <w:right w:val="nil"/>
            </w:tcBorders>
            <w:shd w:val="clear" w:color="auto" w:fill="auto"/>
            <w:noWrap/>
            <w:vAlign w:val="bottom"/>
            <w:hideMark/>
          </w:tcPr>
          <w:p w14:paraId="609D3AC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1 017</w:t>
            </w:r>
          </w:p>
        </w:tc>
        <w:tc>
          <w:tcPr>
            <w:tcW w:w="0" w:type="auto"/>
            <w:tcBorders>
              <w:top w:val="nil"/>
              <w:left w:val="nil"/>
              <w:bottom w:val="nil"/>
              <w:right w:val="nil"/>
            </w:tcBorders>
            <w:shd w:val="clear" w:color="auto" w:fill="auto"/>
            <w:vAlign w:val="center"/>
            <w:hideMark/>
          </w:tcPr>
          <w:p w14:paraId="0AE3E31F" w14:textId="2D97470A"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Energetická obnova S</w:t>
            </w:r>
            <w:r w:rsidR="00235990">
              <w:rPr>
                <w:rFonts w:ascii="Aptos Narrow" w:eastAsia="Times New Roman" w:hAnsi="Aptos Narrow" w:cs="Times New Roman"/>
                <w:color w:val="000000"/>
                <w:sz w:val="18"/>
                <w:szCs w:val="18"/>
                <w:lang w:eastAsia="sk-SK"/>
              </w:rPr>
              <w:t>Š</w:t>
            </w:r>
            <w:r w:rsidRPr="00B25D61">
              <w:rPr>
                <w:rFonts w:ascii="Aptos Narrow" w:eastAsia="Times New Roman" w:hAnsi="Aptos Narrow" w:cs="Times New Roman"/>
                <w:color w:val="000000"/>
                <w:sz w:val="18"/>
                <w:szCs w:val="18"/>
                <w:lang w:eastAsia="sk-SK"/>
              </w:rPr>
              <w:t xml:space="preserve"> na Tokajíckej ulici SO 01</w:t>
            </w:r>
          </w:p>
        </w:tc>
        <w:tc>
          <w:tcPr>
            <w:tcW w:w="0" w:type="auto"/>
            <w:tcBorders>
              <w:top w:val="nil"/>
              <w:left w:val="nil"/>
              <w:bottom w:val="single" w:sz="8" w:space="0" w:color="DCE6F1"/>
              <w:right w:val="nil"/>
            </w:tcBorders>
            <w:shd w:val="clear" w:color="000000" w:fill="D9D9D9"/>
            <w:noWrap/>
            <w:vAlign w:val="center"/>
            <w:hideMark/>
          </w:tcPr>
          <w:p w14:paraId="638CCA0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B2FE12A"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327 568</w:t>
            </w:r>
          </w:p>
        </w:tc>
        <w:tc>
          <w:tcPr>
            <w:tcW w:w="0" w:type="auto"/>
            <w:tcBorders>
              <w:top w:val="nil"/>
              <w:left w:val="nil"/>
              <w:bottom w:val="single" w:sz="8" w:space="0" w:color="DCE6F1"/>
              <w:right w:val="nil"/>
            </w:tcBorders>
            <w:shd w:val="clear" w:color="000000" w:fill="D9D9D9"/>
            <w:noWrap/>
            <w:vAlign w:val="center"/>
            <w:hideMark/>
          </w:tcPr>
          <w:p w14:paraId="66DDC193"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327 568</w:t>
            </w:r>
          </w:p>
        </w:tc>
        <w:tc>
          <w:tcPr>
            <w:tcW w:w="0" w:type="auto"/>
            <w:tcBorders>
              <w:top w:val="nil"/>
              <w:left w:val="nil"/>
              <w:bottom w:val="single" w:sz="8" w:space="0" w:color="DCE6F1"/>
              <w:right w:val="nil"/>
            </w:tcBorders>
            <w:shd w:val="clear" w:color="auto" w:fill="auto"/>
            <w:noWrap/>
            <w:vAlign w:val="center"/>
            <w:hideMark/>
          </w:tcPr>
          <w:p w14:paraId="645822E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243F02F5"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485 438</w:t>
            </w:r>
          </w:p>
        </w:tc>
        <w:tc>
          <w:tcPr>
            <w:tcW w:w="0" w:type="auto"/>
            <w:tcBorders>
              <w:top w:val="nil"/>
              <w:left w:val="nil"/>
              <w:bottom w:val="single" w:sz="8" w:space="0" w:color="DCE6F1"/>
              <w:right w:val="nil"/>
            </w:tcBorders>
            <w:shd w:val="clear" w:color="auto" w:fill="auto"/>
            <w:noWrap/>
            <w:vAlign w:val="center"/>
            <w:hideMark/>
          </w:tcPr>
          <w:p w14:paraId="20613617"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485 438</w:t>
            </w:r>
          </w:p>
        </w:tc>
      </w:tr>
      <w:tr w:rsidR="00B25D61" w:rsidRPr="00B25D61" w14:paraId="6C46B6BA" w14:textId="77777777" w:rsidTr="00B25D61">
        <w:trPr>
          <w:trHeight w:val="319"/>
        </w:trPr>
        <w:tc>
          <w:tcPr>
            <w:tcW w:w="0" w:type="auto"/>
            <w:tcBorders>
              <w:top w:val="nil"/>
              <w:left w:val="nil"/>
              <w:bottom w:val="nil"/>
              <w:right w:val="nil"/>
            </w:tcBorders>
            <w:shd w:val="clear" w:color="auto" w:fill="auto"/>
            <w:noWrap/>
            <w:vAlign w:val="bottom"/>
            <w:hideMark/>
          </w:tcPr>
          <w:p w14:paraId="537134C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1 018</w:t>
            </w:r>
          </w:p>
        </w:tc>
        <w:tc>
          <w:tcPr>
            <w:tcW w:w="0" w:type="auto"/>
            <w:tcBorders>
              <w:top w:val="nil"/>
              <w:left w:val="nil"/>
              <w:bottom w:val="nil"/>
              <w:right w:val="nil"/>
            </w:tcBorders>
            <w:shd w:val="clear" w:color="auto" w:fill="auto"/>
            <w:vAlign w:val="center"/>
            <w:hideMark/>
          </w:tcPr>
          <w:p w14:paraId="3901A9A7" w14:textId="7D6D32A9"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Energetická obnova </w:t>
            </w:r>
            <w:r w:rsidR="00235990" w:rsidRPr="00B25D61">
              <w:rPr>
                <w:rFonts w:ascii="Aptos Narrow" w:eastAsia="Times New Roman" w:hAnsi="Aptos Narrow" w:cs="Times New Roman"/>
                <w:color w:val="000000"/>
                <w:sz w:val="18"/>
                <w:szCs w:val="18"/>
                <w:lang w:eastAsia="sk-SK"/>
              </w:rPr>
              <w:t>S</w:t>
            </w:r>
            <w:r w:rsidR="00235990">
              <w:rPr>
                <w:rFonts w:ascii="Aptos Narrow" w:eastAsia="Times New Roman" w:hAnsi="Aptos Narrow" w:cs="Times New Roman"/>
                <w:color w:val="000000"/>
                <w:sz w:val="18"/>
                <w:szCs w:val="18"/>
                <w:lang w:eastAsia="sk-SK"/>
              </w:rPr>
              <w:t>Š</w:t>
            </w:r>
            <w:r w:rsidR="00235990" w:rsidRPr="00B25D61">
              <w:rPr>
                <w:rFonts w:ascii="Aptos Narrow" w:eastAsia="Times New Roman" w:hAnsi="Aptos Narrow" w:cs="Times New Roman"/>
                <w:color w:val="000000"/>
                <w:sz w:val="18"/>
                <w:szCs w:val="18"/>
                <w:lang w:eastAsia="sk-SK"/>
              </w:rPr>
              <w:t xml:space="preserve"> </w:t>
            </w:r>
            <w:r w:rsidRPr="00B25D61">
              <w:rPr>
                <w:rFonts w:ascii="Aptos Narrow" w:eastAsia="Times New Roman" w:hAnsi="Aptos Narrow" w:cs="Times New Roman"/>
                <w:color w:val="000000"/>
                <w:sz w:val="18"/>
                <w:szCs w:val="18"/>
                <w:lang w:eastAsia="sk-SK"/>
              </w:rPr>
              <w:t>na Tokajíckej ulici SO 02</w:t>
            </w:r>
          </w:p>
        </w:tc>
        <w:tc>
          <w:tcPr>
            <w:tcW w:w="0" w:type="auto"/>
            <w:tcBorders>
              <w:top w:val="nil"/>
              <w:left w:val="nil"/>
              <w:bottom w:val="single" w:sz="8" w:space="0" w:color="DCE6F1"/>
              <w:right w:val="nil"/>
            </w:tcBorders>
            <w:shd w:val="clear" w:color="000000" w:fill="D9D9D9"/>
            <w:noWrap/>
            <w:vAlign w:val="center"/>
            <w:hideMark/>
          </w:tcPr>
          <w:p w14:paraId="0FD647D5"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A8E79E4"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499 384</w:t>
            </w:r>
          </w:p>
        </w:tc>
        <w:tc>
          <w:tcPr>
            <w:tcW w:w="0" w:type="auto"/>
            <w:tcBorders>
              <w:top w:val="nil"/>
              <w:left w:val="nil"/>
              <w:bottom w:val="single" w:sz="8" w:space="0" w:color="DCE6F1"/>
              <w:right w:val="nil"/>
            </w:tcBorders>
            <w:shd w:val="clear" w:color="000000" w:fill="D9D9D9"/>
            <w:noWrap/>
            <w:vAlign w:val="center"/>
            <w:hideMark/>
          </w:tcPr>
          <w:p w14:paraId="36E6EC8E"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499 384</w:t>
            </w:r>
          </w:p>
        </w:tc>
        <w:tc>
          <w:tcPr>
            <w:tcW w:w="0" w:type="auto"/>
            <w:tcBorders>
              <w:top w:val="nil"/>
              <w:left w:val="nil"/>
              <w:bottom w:val="single" w:sz="8" w:space="0" w:color="DCE6F1"/>
              <w:right w:val="nil"/>
            </w:tcBorders>
            <w:shd w:val="clear" w:color="auto" w:fill="auto"/>
            <w:noWrap/>
            <w:vAlign w:val="center"/>
            <w:hideMark/>
          </w:tcPr>
          <w:p w14:paraId="540DDD6D"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2F47045"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876 193</w:t>
            </w:r>
          </w:p>
        </w:tc>
        <w:tc>
          <w:tcPr>
            <w:tcW w:w="0" w:type="auto"/>
            <w:tcBorders>
              <w:top w:val="nil"/>
              <w:left w:val="nil"/>
              <w:bottom w:val="single" w:sz="8" w:space="0" w:color="DCE6F1"/>
              <w:right w:val="nil"/>
            </w:tcBorders>
            <w:shd w:val="clear" w:color="auto" w:fill="auto"/>
            <w:noWrap/>
            <w:vAlign w:val="center"/>
            <w:hideMark/>
          </w:tcPr>
          <w:p w14:paraId="6683E074"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876 193</w:t>
            </w:r>
          </w:p>
        </w:tc>
      </w:tr>
      <w:tr w:rsidR="00B25D61" w:rsidRPr="00B25D61" w14:paraId="53E71908" w14:textId="77777777" w:rsidTr="00B25D61">
        <w:trPr>
          <w:trHeight w:val="319"/>
        </w:trPr>
        <w:tc>
          <w:tcPr>
            <w:tcW w:w="0" w:type="auto"/>
            <w:tcBorders>
              <w:top w:val="nil"/>
              <w:left w:val="nil"/>
              <w:bottom w:val="nil"/>
              <w:right w:val="nil"/>
            </w:tcBorders>
            <w:shd w:val="clear" w:color="auto" w:fill="auto"/>
            <w:noWrap/>
            <w:vAlign w:val="bottom"/>
            <w:hideMark/>
          </w:tcPr>
          <w:p w14:paraId="6FDCEFAF"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1 019</w:t>
            </w:r>
          </w:p>
        </w:tc>
        <w:tc>
          <w:tcPr>
            <w:tcW w:w="0" w:type="auto"/>
            <w:tcBorders>
              <w:top w:val="nil"/>
              <w:left w:val="nil"/>
              <w:bottom w:val="nil"/>
              <w:right w:val="nil"/>
            </w:tcBorders>
            <w:shd w:val="clear" w:color="auto" w:fill="auto"/>
            <w:vAlign w:val="center"/>
            <w:hideMark/>
          </w:tcPr>
          <w:p w14:paraId="09E3FEFE" w14:textId="7E32C25E"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Energetická obnova </w:t>
            </w:r>
            <w:r w:rsidR="00235990" w:rsidRPr="00B25D61">
              <w:rPr>
                <w:rFonts w:ascii="Aptos Narrow" w:eastAsia="Times New Roman" w:hAnsi="Aptos Narrow" w:cs="Times New Roman"/>
                <w:color w:val="000000"/>
                <w:sz w:val="18"/>
                <w:szCs w:val="18"/>
                <w:lang w:eastAsia="sk-SK"/>
              </w:rPr>
              <w:t>S</w:t>
            </w:r>
            <w:r w:rsidR="00235990">
              <w:rPr>
                <w:rFonts w:ascii="Aptos Narrow" w:eastAsia="Times New Roman" w:hAnsi="Aptos Narrow" w:cs="Times New Roman"/>
                <w:color w:val="000000"/>
                <w:sz w:val="18"/>
                <w:szCs w:val="18"/>
                <w:lang w:eastAsia="sk-SK"/>
              </w:rPr>
              <w:t>Š</w:t>
            </w:r>
            <w:r w:rsidR="00235990" w:rsidRPr="00B25D61">
              <w:rPr>
                <w:rFonts w:ascii="Aptos Narrow" w:eastAsia="Times New Roman" w:hAnsi="Aptos Narrow" w:cs="Times New Roman"/>
                <w:color w:val="000000"/>
                <w:sz w:val="18"/>
                <w:szCs w:val="18"/>
                <w:lang w:eastAsia="sk-SK"/>
              </w:rPr>
              <w:t xml:space="preserve"> </w:t>
            </w:r>
            <w:r w:rsidRPr="00B25D61">
              <w:rPr>
                <w:rFonts w:ascii="Aptos Narrow" w:eastAsia="Times New Roman" w:hAnsi="Aptos Narrow" w:cs="Times New Roman"/>
                <w:color w:val="000000"/>
                <w:sz w:val="18"/>
                <w:szCs w:val="18"/>
                <w:lang w:eastAsia="sk-SK"/>
              </w:rPr>
              <w:t>Tokajíckej ulici SO 03</w:t>
            </w:r>
          </w:p>
        </w:tc>
        <w:tc>
          <w:tcPr>
            <w:tcW w:w="0" w:type="auto"/>
            <w:tcBorders>
              <w:top w:val="nil"/>
              <w:left w:val="nil"/>
              <w:bottom w:val="single" w:sz="8" w:space="0" w:color="DCE6F1"/>
              <w:right w:val="nil"/>
            </w:tcBorders>
            <w:shd w:val="clear" w:color="000000" w:fill="D9D9D9"/>
            <w:noWrap/>
            <w:vAlign w:val="center"/>
            <w:hideMark/>
          </w:tcPr>
          <w:p w14:paraId="0ABA17D7"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031441C"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501 106</w:t>
            </w:r>
          </w:p>
        </w:tc>
        <w:tc>
          <w:tcPr>
            <w:tcW w:w="0" w:type="auto"/>
            <w:tcBorders>
              <w:top w:val="nil"/>
              <w:left w:val="nil"/>
              <w:bottom w:val="single" w:sz="8" w:space="0" w:color="DCE6F1"/>
              <w:right w:val="nil"/>
            </w:tcBorders>
            <w:shd w:val="clear" w:color="000000" w:fill="D9D9D9"/>
            <w:noWrap/>
            <w:vAlign w:val="center"/>
            <w:hideMark/>
          </w:tcPr>
          <w:p w14:paraId="1D0EB81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501 106</w:t>
            </w:r>
          </w:p>
        </w:tc>
        <w:tc>
          <w:tcPr>
            <w:tcW w:w="0" w:type="auto"/>
            <w:tcBorders>
              <w:top w:val="nil"/>
              <w:left w:val="nil"/>
              <w:bottom w:val="single" w:sz="8" w:space="0" w:color="DCE6F1"/>
              <w:right w:val="nil"/>
            </w:tcBorders>
            <w:shd w:val="clear" w:color="auto" w:fill="auto"/>
            <w:noWrap/>
            <w:vAlign w:val="center"/>
            <w:hideMark/>
          </w:tcPr>
          <w:p w14:paraId="58B85278"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240ADD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850 243</w:t>
            </w:r>
          </w:p>
        </w:tc>
        <w:tc>
          <w:tcPr>
            <w:tcW w:w="0" w:type="auto"/>
            <w:tcBorders>
              <w:top w:val="nil"/>
              <w:left w:val="nil"/>
              <w:bottom w:val="single" w:sz="8" w:space="0" w:color="DCE6F1"/>
              <w:right w:val="nil"/>
            </w:tcBorders>
            <w:shd w:val="clear" w:color="auto" w:fill="auto"/>
            <w:noWrap/>
            <w:vAlign w:val="center"/>
            <w:hideMark/>
          </w:tcPr>
          <w:p w14:paraId="76591E2A"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850 243</w:t>
            </w:r>
          </w:p>
        </w:tc>
      </w:tr>
      <w:tr w:rsidR="00B25D61" w:rsidRPr="00B25D61" w14:paraId="586AEDFA" w14:textId="77777777" w:rsidTr="00B25D61">
        <w:trPr>
          <w:trHeight w:val="319"/>
        </w:trPr>
        <w:tc>
          <w:tcPr>
            <w:tcW w:w="0" w:type="auto"/>
            <w:tcBorders>
              <w:top w:val="nil"/>
              <w:left w:val="nil"/>
              <w:bottom w:val="nil"/>
              <w:right w:val="nil"/>
            </w:tcBorders>
            <w:shd w:val="clear" w:color="auto" w:fill="auto"/>
            <w:noWrap/>
            <w:vAlign w:val="bottom"/>
            <w:hideMark/>
          </w:tcPr>
          <w:p w14:paraId="63B837C6"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1 020</w:t>
            </w:r>
          </w:p>
        </w:tc>
        <w:tc>
          <w:tcPr>
            <w:tcW w:w="0" w:type="auto"/>
            <w:tcBorders>
              <w:top w:val="nil"/>
              <w:left w:val="nil"/>
              <w:bottom w:val="nil"/>
              <w:right w:val="nil"/>
            </w:tcBorders>
            <w:shd w:val="clear" w:color="auto" w:fill="auto"/>
            <w:vAlign w:val="center"/>
            <w:hideMark/>
          </w:tcPr>
          <w:p w14:paraId="2D40880A" w14:textId="3C5EF1F5"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Energetická obnova </w:t>
            </w:r>
            <w:r w:rsidR="00235990" w:rsidRPr="00B25D61">
              <w:rPr>
                <w:rFonts w:ascii="Aptos Narrow" w:eastAsia="Times New Roman" w:hAnsi="Aptos Narrow" w:cs="Times New Roman"/>
                <w:color w:val="000000"/>
                <w:sz w:val="18"/>
                <w:szCs w:val="18"/>
                <w:lang w:eastAsia="sk-SK"/>
              </w:rPr>
              <w:t>S</w:t>
            </w:r>
            <w:r w:rsidR="00235990">
              <w:rPr>
                <w:rFonts w:ascii="Aptos Narrow" w:eastAsia="Times New Roman" w:hAnsi="Aptos Narrow" w:cs="Times New Roman"/>
                <w:color w:val="000000"/>
                <w:sz w:val="18"/>
                <w:szCs w:val="18"/>
                <w:lang w:eastAsia="sk-SK"/>
              </w:rPr>
              <w:t>Š</w:t>
            </w:r>
            <w:r w:rsidR="00235990" w:rsidRPr="00B25D61">
              <w:rPr>
                <w:rFonts w:ascii="Aptos Narrow" w:eastAsia="Times New Roman" w:hAnsi="Aptos Narrow" w:cs="Times New Roman"/>
                <w:color w:val="000000"/>
                <w:sz w:val="18"/>
                <w:szCs w:val="18"/>
                <w:lang w:eastAsia="sk-SK"/>
              </w:rPr>
              <w:t xml:space="preserve"> </w:t>
            </w:r>
            <w:r w:rsidRPr="00B25D61">
              <w:rPr>
                <w:rFonts w:ascii="Aptos Narrow" w:eastAsia="Times New Roman" w:hAnsi="Aptos Narrow" w:cs="Times New Roman"/>
                <w:color w:val="000000"/>
                <w:sz w:val="18"/>
                <w:szCs w:val="18"/>
                <w:lang w:eastAsia="sk-SK"/>
              </w:rPr>
              <w:t>Tokajíckej ulici SO 04</w:t>
            </w:r>
          </w:p>
        </w:tc>
        <w:tc>
          <w:tcPr>
            <w:tcW w:w="0" w:type="auto"/>
            <w:tcBorders>
              <w:top w:val="nil"/>
              <w:left w:val="nil"/>
              <w:bottom w:val="single" w:sz="8" w:space="0" w:color="DCE6F1"/>
              <w:right w:val="nil"/>
            </w:tcBorders>
            <w:shd w:val="clear" w:color="000000" w:fill="D9D9D9"/>
            <w:noWrap/>
            <w:vAlign w:val="center"/>
            <w:hideMark/>
          </w:tcPr>
          <w:p w14:paraId="1FAFAAB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313437F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324 402</w:t>
            </w:r>
          </w:p>
        </w:tc>
        <w:tc>
          <w:tcPr>
            <w:tcW w:w="0" w:type="auto"/>
            <w:tcBorders>
              <w:top w:val="nil"/>
              <w:left w:val="nil"/>
              <w:bottom w:val="single" w:sz="8" w:space="0" w:color="DCE6F1"/>
              <w:right w:val="nil"/>
            </w:tcBorders>
            <w:shd w:val="clear" w:color="000000" w:fill="D9D9D9"/>
            <w:noWrap/>
            <w:vAlign w:val="center"/>
            <w:hideMark/>
          </w:tcPr>
          <w:p w14:paraId="3B530B1E"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324 402</w:t>
            </w:r>
          </w:p>
        </w:tc>
        <w:tc>
          <w:tcPr>
            <w:tcW w:w="0" w:type="auto"/>
            <w:tcBorders>
              <w:top w:val="nil"/>
              <w:left w:val="nil"/>
              <w:bottom w:val="single" w:sz="8" w:space="0" w:color="DCE6F1"/>
              <w:right w:val="nil"/>
            </w:tcBorders>
            <w:shd w:val="clear" w:color="auto" w:fill="auto"/>
            <w:noWrap/>
            <w:vAlign w:val="center"/>
            <w:hideMark/>
          </w:tcPr>
          <w:p w14:paraId="7BDE4D5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A493150"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472 847</w:t>
            </w:r>
          </w:p>
        </w:tc>
        <w:tc>
          <w:tcPr>
            <w:tcW w:w="0" w:type="auto"/>
            <w:tcBorders>
              <w:top w:val="nil"/>
              <w:left w:val="nil"/>
              <w:bottom w:val="single" w:sz="8" w:space="0" w:color="DCE6F1"/>
              <w:right w:val="nil"/>
            </w:tcBorders>
            <w:shd w:val="clear" w:color="auto" w:fill="auto"/>
            <w:noWrap/>
            <w:vAlign w:val="center"/>
            <w:hideMark/>
          </w:tcPr>
          <w:p w14:paraId="04F57A8C"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472 847</w:t>
            </w:r>
          </w:p>
        </w:tc>
      </w:tr>
      <w:tr w:rsidR="00B25D61" w:rsidRPr="00B25D61" w14:paraId="7B67DE30" w14:textId="77777777" w:rsidTr="00B25D61">
        <w:trPr>
          <w:trHeight w:val="319"/>
        </w:trPr>
        <w:tc>
          <w:tcPr>
            <w:tcW w:w="0" w:type="auto"/>
            <w:tcBorders>
              <w:top w:val="nil"/>
              <w:left w:val="nil"/>
              <w:bottom w:val="nil"/>
              <w:right w:val="nil"/>
            </w:tcBorders>
            <w:shd w:val="clear" w:color="auto" w:fill="auto"/>
            <w:noWrap/>
            <w:vAlign w:val="bottom"/>
            <w:hideMark/>
          </w:tcPr>
          <w:p w14:paraId="1938749A"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1 021</w:t>
            </w:r>
          </w:p>
        </w:tc>
        <w:tc>
          <w:tcPr>
            <w:tcW w:w="0" w:type="auto"/>
            <w:tcBorders>
              <w:top w:val="nil"/>
              <w:left w:val="nil"/>
              <w:bottom w:val="nil"/>
              <w:right w:val="nil"/>
            </w:tcBorders>
            <w:shd w:val="clear" w:color="auto" w:fill="auto"/>
            <w:vAlign w:val="center"/>
            <w:hideMark/>
          </w:tcPr>
          <w:p w14:paraId="25DDF730" w14:textId="7240F49C"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Energetická obnova </w:t>
            </w:r>
            <w:r w:rsidR="00235990" w:rsidRPr="00B25D61">
              <w:rPr>
                <w:rFonts w:ascii="Aptos Narrow" w:eastAsia="Times New Roman" w:hAnsi="Aptos Narrow" w:cs="Times New Roman"/>
                <w:color w:val="000000"/>
                <w:sz w:val="18"/>
                <w:szCs w:val="18"/>
                <w:lang w:eastAsia="sk-SK"/>
              </w:rPr>
              <w:t>S</w:t>
            </w:r>
            <w:r w:rsidR="00235990">
              <w:rPr>
                <w:rFonts w:ascii="Aptos Narrow" w:eastAsia="Times New Roman" w:hAnsi="Aptos Narrow" w:cs="Times New Roman"/>
                <w:color w:val="000000"/>
                <w:sz w:val="18"/>
                <w:szCs w:val="18"/>
                <w:lang w:eastAsia="sk-SK"/>
              </w:rPr>
              <w:t>Š</w:t>
            </w:r>
            <w:r w:rsidR="00235990" w:rsidRPr="00B25D61">
              <w:rPr>
                <w:rFonts w:ascii="Aptos Narrow" w:eastAsia="Times New Roman" w:hAnsi="Aptos Narrow" w:cs="Times New Roman"/>
                <w:color w:val="000000"/>
                <w:sz w:val="18"/>
                <w:szCs w:val="18"/>
                <w:lang w:eastAsia="sk-SK"/>
              </w:rPr>
              <w:t xml:space="preserve"> </w:t>
            </w:r>
            <w:r w:rsidRPr="00B25D61">
              <w:rPr>
                <w:rFonts w:ascii="Aptos Narrow" w:eastAsia="Times New Roman" w:hAnsi="Aptos Narrow" w:cs="Times New Roman"/>
                <w:color w:val="000000"/>
                <w:sz w:val="18"/>
                <w:szCs w:val="18"/>
                <w:lang w:eastAsia="sk-SK"/>
              </w:rPr>
              <w:t>Tokajíckej ulici SO 05</w:t>
            </w:r>
          </w:p>
        </w:tc>
        <w:tc>
          <w:tcPr>
            <w:tcW w:w="0" w:type="auto"/>
            <w:tcBorders>
              <w:top w:val="nil"/>
              <w:left w:val="nil"/>
              <w:bottom w:val="single" w:sz="8" w:space="0" w:color="DCE6F1"/>
              <w:right w:val="nil"/>
            </w:tcBorders>
            <w:shd w:val="clear" w:color="000000" w:fill="D9D9D9"/>
            <w:noWrap/>
            <w:vAlign w:val="center"/>
            <w:hideMark/>
          </w:tcPr>
          <w:p w14:paraId="4F60AB9A"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AA4118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358 664</w:t>
            </w:r>
          </w:p>
        </w:tc>
        <w:tc>
          <w:tcPr>
            <w:tcW w:w="0" w:type="auto"/>
            <w:tcBorders>
              <w:top w:val="nil"/>
              <w:left w:val="nil"/>
              <w:bottom w:val="single" w:sz="8" w:space="0" w:color="DCE6F1"/>
              <w:right w:val="nil"/>
            </w:tcBorders>
            <w:shd w:val="clear" w:color="000000" w:fill="D9D9D9"/>
            <w:noWrap/>
            <w:vAlign w:val="center"/>
            <w:hideMark/>
          </w:tcPr>
          <w:p w14:paraId="1340648C"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358 664</w:t>
            </w:r>
          </w:p>
        </w:tc>
        <w:tc>
          <w:tcPr>
            <w:tcW w:w="0" w:type="auto"/>
            <w:tcBorders>
              <w:top w:val="nil"/>
              <w:left w:val="nil"/>
              <w:bottom w:val="single" w:sz="8" w:space="0" w:color="DCE6F1"/>
              <w:right w:val="nil"/>
            </w:tcBorders>
            <w:shd w:val="clear" w:color="auto" w:fill="auto"/>
            <w:noWrap/>
            <w:vAlign w:val="center"/>
            <w:hideMark/>
          </w:tcPr>
          <w:p w14:paraId="285E0ACE"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AD1404D"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636 224</w:t>
            </w:r>
          </w:p>
        </w:tc>
        <w:tc>
          <w:tcPr>
            <w:tcW w:w="0" w:type="auto"/>
            <w:tcBorders>
              <w:top w:val="nil"/>
              <w:left w:val="nil"/>
              <w:bottom w:val="single" w:sz="8" w:space="0" w:color="DCE6F1"/>
              <w:right w:val="nil"/>
            </w:tcBorders>
            <w:shd w:val="clear" w:color="auto" w:fill="auto"/>
            <w:noWrap/>
            <w:vAlign w:val="center"/>
            <w:hideMark/>
          </w:tcPr>
          <w:p w14:paraId="089C9E0C"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636 224</w:t>
            </w:r>
          </w:p>
        </w:tc>
      </w:tr>
      <w:tr w:rsidR="00B25D61" w:rsidRPr="00B25D61" w14:paraId="3D6F25AD" w14:textId="77777777" w:rsidTr="00B25D61">
        <w:trPr>
          <w:trHeight w:val="319"/>
        </w:trPr>
        <w:tc>
          <w:tcPr>
            <w:tcW w:w="0" w:type="auto"/>
            <w:tcBorders>
              <w:top w:val="nil"/>
              <w:left w:val="nil"/>
              <w:bottom w:val="nil"/>
              <w:right w:val="nil"/>
            </w:tcBorders>
            <w:shd w:val="clear" w:color="auto" w:fill="auto"/>
            <w:noWrap/>
            <w:vAlign w:val="bottom"/>
            <w:hideMark/>
          </w:tcPr>
          <w:p w14:paraId="5AC3E19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1 022</w:t>
            </w:r>
          </w:p>
        </w:tc>
        <w:tc>
          <w:tcPr>
            <w:tcW w:w="0" w:type="auto"/>
            <w:tcBorders>
              <w:top w:val="nil"/>
              <w:left w:val="nil"/>
              <w:bottom w:val="nil"/>
              <w:right w:val="nil"/>
            </w:tcBorders>
            <w:shd w:val="clear" w:color="auto" w:fill="auto"/>
            <w:vAlign w:val="center"/>
            <w:hideMark/>
          </w:tcPr>
          <w:p w14:paraId="27B2CF0D" w14:textId="374682EC"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Energetická obnova SPŠ stavebná a geodetická </w:t>
            </w:r>
            <w:proofErr w:type="spellStart"/>
            <w:r w:rsidRPr="00B25D61">
              <w:rPr>
                <w:rFonts w:ascii="Aptos Narrow" w:eastAsia="Times New Roman" w:hAnsi="Aptos Narrow" w:cs="Times New Roman"/>
                <w:color w:val="000000"/>
                <w:sz w:val="18"/>
                <w:szCs w:val="18"/>
                <w:lang w:eastAsia="sk-SK"/>
              </w:rPr>
              <w:t>Drieňov</w:t>
            </w:r>
            <w:r w:rsidR="000678D5">
              <w:rPr>
                <w:rFonts w:ascii="Aptos Narrow" w:eastAsia="Times New Roman" w:hAnsi="Aptos Narrow" w:cs="Times New Roman"/>
                <w:color w:val="000000"/>
                <w:sz w:val="18"/>
                <w:szCs w:val="18"/>
                <w:lang w:eastAsia="sk-SK"/>
              </w:rPr>
              <w:t>a</w:t>
            </w:r>
            <w:proofErr w:type="spellEnd"/>
          </w:p>
        </w:tc>
        <w:tc>
          <w:tcPr>
            <w:tcW w:w="0" w:type="auto"/>
            <w:tcBorders>
              <w:top w:val="nil"/>
              <w:left w:val="nil"/>
              <w:bottom w:val="single" w:sz="8" w:space="0" w:color="DCE6F1"/>
              <w:right w:val="nil"/>
            </w:tcBorders>
            <w:shd w:val="clear" w:color="000000" w:fill="D9D9D9"/>
            <w:noWrap/>
            <w:vAlign w:val="center"/>
            <w:hideMark/>
          </w:tcPr>
          <w:p w14:paraId="11BDF41A"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3F4A3CC6"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2 638 573</w:t>
            </w:r>
          </w:p>
        </w:tc>
        <w:tc>
          <w:tcPr>
            <w:tcW w:w="0" w:type="auto"/>
            <w:tcBorders>
              <w:top w:val="nil"/>
              <w:left w:val="nil"/>
              <w:bottom w:val="single" w:sz="8" w:space="0" w:color="DCE6F1"/>
              <w:right w:val="nil"/>
            </w:tcBorders>
            <w:shd w:val="clear" w:color="000000" w:fill="D9D9D9"/>
            <w:noWrap/>
            <w:vAlign w:val="center"/>
            <w:hideMark/>
          </w:tcPr>
          <w:p w14:paraId="1E0A3BA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2 638 573</w:t>
            </w:r>
          </w:p>
        </w:tc>
        <w:tc>
          <w:tcPr>
            <w:tcW w:w="0" w:type="auto"/>
            <w:tcBorders>
              <w:top w:val="nil"/>
              <w:left w:val="nil"/>
              <w:bottom w:val="single" w:sz="8" w:space="0" w:color="DCE6F1"/>
              <w:right w:val="nil"/>
            </w:tcBorders>
            <w:shd w:val="clear" w:color="auto" w:fill="auto"/>
            <w:noWrap/>
            <w:vAlign w:val="center"/>
            <w:hideMark/>
          </w:tcPr>
          <w:p w14:paraId="099FCA65"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52242BCE"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3 233 701</w:t>
            </w:r>
          </w:p>
        </w:tc>
        <w:tc>
          <w:tcPr>
            <w:tcW w:w="0" w:type="auto"/>
            <w:tcBorders>
              <w:top w:val="nil"/>
              <w:left w:val="nil"/>
              <w:bottom w:val="single" w:sz="8" w:space="0" w:color="DCE6F1"/>
              <w:right w:val="nil"/>
            </w:tcBorders>
            <w:shd w:val="clear" w:color="auto" w:fill="auto"/>
            <w:noWrap/>
            <w:vAlign w:val="center"/>
            <w:hideMark/>
          </w:tcPr>
          <w:p w14:paraId="50B150A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3 233 701</w:t>
            </w:r>
          </w:p>
        </w:tc>
      </w:tr>
      <w:tr w:rsidR="00B25D61" w:rsidRPr="00B25D61" w14:paraId="23E1F844" w14:textId="77777777" w:rsidTr="00B25D61">
        <w:trPr>
          <w:trHeight w:val="319"/>
        </w:trPr>
        <w:tc>
          <w:tcPr>
            <w:tcW w:w="0" w:type="auto"/>
            <w:tcBorders>
              <w:top w:val="nil"/>
              <w:left w:val="nil"/>
              <w:bottom w:val="nil"/>
              <w:right w:val="nil"/>
            </w:tcBorders>
            <w:shd w:val="clear" w:color="auto" w:fill="auto"/>
            <w:noWrap/>
            <w:vAlign w:val="bottom"/>
            <w:hideMark/>
          </w:tcPr>
          <w:p w14:paraId="6C053AF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1 023</w:t>
            </w:r>
          </w:p>
        </w:tc>
        <w:tc>
          <w:tcPr>
            <w:tcW w:w="0" w:type="auto"/>
            <w:tcBorders>
              <w:top w:val="nil"/>
              <w:left w:val="nil"/>
              <w:bottom w:val="nil"/>
              <w:right w:val="nil"/>
            </w:tcBorders>
            <w:shd w:val="clear" w:color="auto" w:fill="auto"/>
            <w:vAlign w:val="center"/>
            <w:hideMark/>
          </w:tcPr>
          <w:p w14:paraId="1FB4A6EC" w14:textId="411739F3"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Energetická obnova SOŠ polygrafická Račiansk</w:t>
            </w:r>
            <w:r w:rsidR="000678D5">
              <w:rPr>
                <w:rFonts w:ascii="Aptos Narrow" w:eastAsia="Times New Roman" w:hAnsi="Aptos Narrow" w:cs="Times New Roman"/>
                <w:color w:val="000000"/>
                <w:sz w:val="18"/>
                <w:szCs w:val="18"/>
                <w:lang w:eastAsia="sk-SK"/>
              </w:rPr>
              <w:t>a</w:t>
            </w:r>
          </w:p>
        </w:tc>
        <w:tc>
          <w:tcPr>
            <w:tcW w:w="0" w:type="auto"/>
            <w:tcBorders>
              <w:top w:val="nil"/>
              <w:left w:val="nil"/>
              <w:bottom w:val="single" w:sz="8" w:space="0" w:color="DCE6F1"/>
              <w:right w:val="nil"/>
            </w:tcBorders>
            <w:shd w:val="clear" w:color="000000" w:fill="D9D9D9"/>
            <w:noWrap/>
            <w:vAlign w:val="center"/>
            <w:hideMark/>
          </w:tcPr>
          <w:p w14:paraId="70746966"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3CFC5AB4"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1 042 105</w:t>
            </w:r>
          </w:p>
        </w:tc>
        <w:tc>
          <w:tcPr>
            <w:tcW w:w="0" w:type="auto"/>
            <w:tcBorders>
              <w:top w:val="nil"/>
              <w:left w:val="nil"/>
              <w:bottom w:val="single" w:sz="8" w:space="0" w:color="DCE6F1"/>
              <w:right w:val="nil"/>
            </w:tcBorders>
            <w:shd w:val="clear" w:color="000000" w:fill="D9D9D9"/>
            <w:noWrap/>
            <w:vAlign w:val="center"/>
            <w:hideMark/>
          </w:tcPr>
          <w:p w14:paraId="38306D8E"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1 042 105</w:t>
            </w:r>
          </w:p>
        </w:tc>
        <w:tc>
          <w:tcPr>
            <w:tcW w:w="0" w:type="auto"/>
            <w:tcBorders>
              <w:top w:val="nil"/>
              <w:left w:val="nil"/>
              <w:bottom w:val="single" w:sz="8" w:space="0" w:color="DCE6F1"/>
              <w:right w:val="nil"/>
            </w:tcBorders>
            <w:shd w:val="clear" w:color="auto" w:fill="auto"/>
            <w:noWrap/>
            <w:vAlign w:val="center"/>
            <w:hideMark/>
          </w:tcPr>
          <w:p w14:paraId="34E7A2F9"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56401C0"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1 133 388</w:t>
            </w:r>
          </w:p>
        </w:tc>
        <w:tc>
          <w:tcPr>
            <w:tcW w:w="0" w:type="auto"/>
            <w:tcBorders>
              <w:top w:val="nil"/>
              <w:left w:val="nil"/>
              <w:bottom w:val="single" w:sz="8" w:space="0" w:color="DCE6F1"/>
              <w:right w:val="nil"/>
            </w:tcBorders>
            <w:shd w:val="clear" w:color="auto" w:fill="auto"/>
            <w:noWrap/>
            <w:vAlign w:val="center"/>
            <w:hideMark/>
          </w:tcPr>
          <w:p w14:paraId="58A3EDAD"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1 133 388</w:t>
            </w:r>
          </w:p>
        </w:tc>
      </w:tr>
      <w:tr w:rsidR="00B25D61" w:rsidRPr="00B25D61" w14:paraId="40AD7370" w14:textId="77777777" w:rsidTr="00B25D61">
        <w:trPr>
          <w:trHeight w:val="319"/>
        </w:trPr>
        <w:tc>
          <w:tcPr>
            <w:tcW w:w="0" w:type="auto"/>
            <w:tcBorders>
              <w:top w:val="nil"/>
              <w:left w:val="nil"/>
              <w:bottom w:val="nil"/>
              <w:right w:val="nil"/>
            </w:tcBorders>
            <w:shd w:val="clear" w:color="auto" w:fill="auto"/>
            <w:noWrap/>
            <w:vAlign w:val="bottom"/>
            <w:hideMark/>
          </w:tcPr>
          <w:p w14:paraId="2EFE0A3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1 024</w:t>
            </w:r>
          </w:p>
        </w:tc>
        <w:tc>
          <w:tcPr>
            <w:tcW w:w="0" w:type="auto"/>
            <w:tcBorders>
              <w:top w:val="nil"/>
              <w:left w:val="nil"/>
              <w:bottom w:val="nil"/>
              <w:right w:val="nil"/>
            </w:tcBorders>
            <w:shd w:val="clear" w:color="auto" w:fill="auto"/>
            <w:vAlign w:val="center"/>
            <w:hideMark/>
          </w:tcPr>
          <w:p w14:paraId="62D9CA32" w14:textId="2518B21C"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Energetická obnova Gymnázium A</w:t>
            </w:r>
            <w:r w:rsidR="000678D5">
              <w:rPr>
                <w:rFonts w:ascii="Aptos Narrow" w:eastAsia="Times New Roman" w:hAnsi="Aptos Narrow" w:cs="Times New Roman"/>
                <w:color w:val="000000"/>
                <w:sz w:val="18"/>
                <w:szCs w:val="18"/>
                <w:lang w:eastAsia="sk-SK"/>
              </w:rPr>
              <w:t>.</w:t>
            </w:r>
            <w:r w:rsidRPr="00B25D61">
              <w:rPr>
                <w:rFonts w:ascii="Aptos Narrow" w:eastAsia="Times New Roman" w:hAnsi="Aptos Narrow" w:cs="Times New Roman"/>
                <w:color w:val="000000"/>
                <w:sz w:val="18"/>
                <w:szCs w:val="18"/>
                <w:lang w:eastAsia="sk-SK"/>
              </w:rPr>
              <w:t xml:space="preserve"> Einsteina </w:t>
            </w:r>
          </w:p>
        </w:tc>
        <w:tc>
          <w:tcPr>
            <w:tcW w:w="0" w:type="auto"/>
            <w:tcBorders>
              <w:top w:val="nil"/>
              <w:left w:val="nil"/>
              <w:bottom w:val="single" w:sz="8" w:space="0" w:color="DCE6F1"/>
              <w:right w:val="nil"/>
            </w:tcBorders>
            <w:shd w:val="clear" w:color="000000" w:fill="D9D9D9"/>
            <w:noWrap/>
            <w:vAlign w:val="center"/>
            <w:hideMark/>
          </w:tcPr>
          <w:p w14:paraId="582EDC8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8CFAE6B"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463 468</w:t>
            </w:r>
          </w:p>
        </w:tc>
        <w:tc>
          <w:tcPr>
            <w:tcW w:w="0" w:type="auto"/>
            <w:tcBorders>
              <w:top w:val="nil"/>
              <w:left w:val="nil"/>
              <w:bottom w:val="single" w:sz="8" w:space="0" w:color="DCE6F1"/>
              <w:right w:val="nil"/>
            </w:tcBorders>
            <w:shd w:val="clear" w:color="000000" w:fill="D9D9D9"/>
            <w:noWrap/>
            <w:vAlign w:val="center"/>
            <w:hideMark/>
          </w:tcPr>
          <w:p w14:paraId="72630440"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463 468</w:t>
            </w:r>
          </w:p>
        </w:tc>
        <w:tc>
          <w:tcPr>
            <w:tcW w:w="0" w:type="auto"/>
            <w:tcBorders>
              <w:top w:val="nil"/>
              <w:left w:val="nil"/>
              <w:bottom w:val="single" w:sz="8" w:space="0" w:color="DCE6F1"/>
              <w:right w:val="nil"/>
            </w:tcBorders>
            <w:shd w:val="clear" w:color="auto" w:fill="auto"/>
            <w:noWrap/>
            <w:vAlign w:val="center"/>
            <w:hideMark/>
          </w:tcPr>
          <w:p w14:paraId="5BA71318"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39465B2"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1 658 083</w:t>
            </w:r>
          </w:p>
        </w:tc>
        <w:tc>
          <w:tcPr>
            <w:tcW w:w="0" w:type="auto"/>
            <w:tcBorders>
              <w:top w:val="nil"/>
              <w:left w:val="nil"/>
              <w:bottom w:val="single" w:sz="8" w:space="0" w:color="DCE6F1"/>
              <w:right w:val="nil"/>
            </w:tcBorders>
            <w:shd w:val="clear" w:color="auto" w:fill="auto"/>
            <w:noWrap/>
            <w:vAlign w:val="center"/>
            <w:hideMark/>
          </w:tcPr>
          <w:p w14:paraId="5F0E3FAB"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1 658 083</w:t>
            </w:r>
          </w:p>
        </w:tc>
      </w:tr>
      <w:tr w:rsidR="00B25D61" w:rsidRPr="00B25D61" w14:paraId="349C677E" w14:textId="77777777" w:rsidTr="00B25D61">
        <w:trPr>
          <w:trHeight w:val="319"/>
        </w:trPr>
        <w:tc>
          <w:tcPr>
            <w:tcW w:w="0" w:type="auto"/>
            <w:tcBorders>
              <w:top w:val="nil"/>
              <w:left w:val="nil"/>
              <w:bottom w:val="nil"/>
              <w:right w:val="nil"/>
            </w:tcBorders>
            <w:shd w:val="clear" w:color="auto" w:fill="auto"/>
            <w:noWrap/>
            <w:vAlign w:val="bottom"/>
            <w:hideMark/>
          </w:tcPr>
          <w:p w14:paraId="5932743D"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PZ046</w:t>
            </w:r>
          </w:p>
        </w:tc>
        <w:tc>
          <w:tcPr>
            <w:tcW w:w="0" w:type="auto"/>
            <w:tcBorders>
              <w:top w:val="nil"/>
              <w:left w:val="nil"/>
              <w:bottom w:val="nil"/>
              <w:right w:val="nil"/>
            </w:tcBorders>
            <w:shd w:val="clear" w:color="auto" w:fill="auto"/>
            <w:vAlign w:val="center"/>
            <w:hideMark/>
          </w:tcPr>
          <w:p w14:paraId="7FA23F38" w14:textId="77777777"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Energetická obnova Hotelová akadémia </w:t>
            </w:r>
            <w:proofErr w:type="spellStart"/>
            <w:r w:rsidRPr="00B25D61">
              <w:rPr>
                <w:rFonts w:ascii="Aptos Narrow" w:eastAsia="Times New Roman" w:hAnsi="Aptos Narrow" w:cs="Times New Roman"/>
                <w:color w:val="000000"/>
                <w:sz w:val="18"/>
                <w:szCs w:val="18"/>
                <w:lang w:eastAsia="sk-SK"/>
              </w:rPr>
              <w:t>Mikovíniho</w:t>
            </w:r>
            <w:proofErr w:type="spellEnd"/>
            <w:r w:rsidRPr="00B25D61">
              <w:rPr>
                <w:rFonts w:ascii="Aptos Narrow" w:eastAsia="Times New Roman" w:hAnsi="Aptos Narrow" w:cs="Times New Roman"/>
                <w:color w:val="000000"/>
                <w:sz w:val="18"/>
                <w:szCs w:val="18"/>
                <w:lang w:eastAsia="sk-SK"/>
              </w:rPr>
              <w:t xml:space="preserve"> 1</w:t>
            </w:r>
          </w:p>
        </w:tc>
        <w:tc>
          <w:tcPr>
            <w:tcW w:w="0" w:type="auto"/>
            <w:tcBorders>
              <w:top w:val="nil"/>
              <w:left w:val="nil"/>
              <w:bottom w:val="single" w:sz="8" w:space="0" w:color="DCE6F1"/>
              <w:right w:val="nil"/>
            </w:tcBorders>
            <w:shd w:val="clear" w:color="000000" w:fill="D9D9D9"/>
            <w:noWrap/>
            <w:vAlign w:val="center"/>
            <w:hideMark/>
          </w:tcPr>
          <w:p w14:paraId="0E60393D"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C80903C"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317 739</w:t>
            </w:r>
          </w:p>
        </w:tc>
        <w:tc>
          <w:tcPr>
            <w:tcW w:w="0" w:type="auto"/>
            <w:tcBorders>
              <w:top w:val="nil"/>
              <w:left w:val="nil"/>
              <w:bottom w:val="single" w:sz="8" w:space="0" w:color="DCE6F1"/>
              <w:right w:val="nil"/>
            </w:tcBorders>
            <w:shd w:val="clear" w:color="000000" w:fill="D9D9D9"/>
            <w:noWrap/>
            <w:vAlign w:val="center"/>
            <w:hideMark/>
          </w:tcPr>
          <w:p w14:paraId="0B2A14AF"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317 739</w:t>
            </w:r>
          </w:p>
        </w:tc>
        <w:tc>
          <w:tcPr>
            <w:tcW w:w="0" w:type="auto"/>
            <w:tcBorders>
              <w:top w:val="nil"/>
              <w:left w:val="nil"/>
              <w:bottom w:val="single" w:sz="8" w:space="0" w:color="DCE6F1"/>
              <w:right w:val="nil"/>
            </w:tcBorders>
            <w:shd w:val="clear" w:color="auto" w:fill="auto"/>
            <w:noWrap/>
            <w:vAlign w:val="center"/>
            <w:hideMark/>
          </w:tcPr>
          <w:p w14:paraId="68682A9B"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7F375C83"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614 654</w:t>
            </w:r>
          </w:p>
        </w:tc>
        <w:tc>
          <w:tcPr>
            <w:tcW w:w="0" w:type="auto"/>
            <w:tcBorders>
              <w:top w:val="nil"/>
              <w:left w:val="nil"/>
              <w:bottom w:val="single" w:sz="8" w:space="0" w:color="DCE6F1"/>
              <w:right w:val="nil"/>
            </w:tcBorders>
            <w:shd w:val="clear" w:color="auto" w:fill="auto"/>
            <w:noWrap/>
            <w:vAlign w:val="center"/>
            <w:hideMark/>
          </w:tcPr>
          <w:p w14:paraId="09E5167D" w14:textId="77777777" w:rsidR="00B25D61" w:rsidRPr="00B25D61" w:rsidRDefault="00B25D61" w:rsidP="00BA6535">
            <w:pPr>
              <w:spacing w:after="0" w:line="240" w:lineRule="auto"/>
              <w:jc w:val="right"/>
              <w:rPr>
                <w:rFonts w:ascii="Aptos Narrow" w:eastAsia="Times New Roman" w:hAnsi="Aptos Narrow" w:cs="Times New Roman"/>
                <w:sz w:val="18"/>
                <w:szCs w:val="18"/>
                <w:lang w:eastAsia="sk-SK"/>
              </w:rPr>
            </w:pPr>
            <w:r w:rsidRPr="00B25D61">
              <w:rPr>
                <w:rFonts w:ascii="Aptos Narrow" w:eastAsia="Times New Roman" w:hAnsi="Aptos Narrow" w:cs="Times New Roman"/>
                <w:sz w:val="18"/>
                <w:szCs w:val="18"/>
                <w:lang w:eastAsia="sk-SK"/>
              </w:rPr>
              <w:t>614 654</w:t>
            </w:r>
          </w:p>
        </w:tc>
      </w:tr>
      <w:tr w:rsidR="00B25D61" w:rsidRPr="00B25D61" w14:paraId="0AB6D5A6" w14:textId="77777777" w:rsidTr="00B25D61">
        <w:trPr>
          <w:trHeight w:val="319"/>
        </w:trPr>
        <w:tc>
          <w:tcPr>
            <w:tcW w:w="0" w:type="auto"/>
            <w:tcBorders>
              <w:top w:val="nil"/>
              <w:left w:val="nil"/>
              <w:bottom w:val="nil"/>
              <w:right w:val="nil"/>
            </w:tcBorders>
            <w:shd w:val="clear" w:color="auto" w:fill="auto"/>
            <w:noWrap/>
            <w:vAlign w:val="bottom"/>
            <w:hideMark/>
          </w:tcPr>
          <w:p w14:paraId="6F3B1B7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PZ036</w:t>
            </w:r>
          </w:p>
        </w:tc>
        <w:tc>
          <w:tcPr>
            <w:tcW w:w="0" w:type="auto"/>
            <w:tcBorders>
              <w:top w:val="nil"/>
              <w:left w:val="nil"/>
              <w:bottom w:val="nil"/>
              <w:right w:val="nil"/>
            </w:tcBorders>
            <w:shd w:val="clear" w:color="auto" w:fill="auto"/>
            <w:vAlign w:val="center"/>
            <w:hideMark/>
          </w:tcPr>
          <w:p w14:paraId="4998D9FA" w14:textId="31564E9B"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Energetická obnova Obchodná Akadémia Račians</w:t>
            </w:r>
            <w:r w:rsidR="004E0281">
              <w:rPr>
                <w:rFonts w:ascii="Aptos Narrow" w:eastAsia="Times New Roman" w:hAnsi="Aptos Narrow" w:cs="Times New Roman"/>
                <w:color w:val="000000"/>
                <w:sz w:val="18"/>
                <w:szCs w:val="18"/>
                <w:lang w:eastAsia="sk-SK"/>
              </w:rPr>
              <w:t>k</w:t>
            </w:r>
            <w:r w:rsidR="000678D5">
              <w:rPr>
                <w:rFonts w:ascii="Aptos Narrow" w:eastAsia="Times New Roman" w:hAnsi="Aptos Narrow" w:cs="Times New Roman"/>
                <w:color w:val="000000"/>
                <w:sz w:val="18"/>
                <w:szCs w:val="18"/>
                <w:lang w:eastAsia="sk-SK"/>
              </w:rPr>
              <w:t>a</w:t>
            </w:r>
            <w:r w:rsidRPr="00B25D61">
              <w:rPr>
                <w:rFonts w:ascii="Aptos Narrow" w:eastAsia="Times New Roman" w:hAnsi="Aptos Narrow" w:cs="Times New Roman"/>
                <w:color w:val="000000"/>
                <w:sz w:val="18"/>
                <w:szCs w:val="18"/>
                <w:lang w:eastAsia="sk-SK"/>
              </w:rPr>
              <w:t xml:space="preserve"> </w:t>
            </w:r>
          </w:p>
        </w:tc>
        <w:tc>
          <w:tcPr>
            <w:tcW w:w="0" w:type="auto"/>
            <w:tcBorders>
              <w:top w:val="nil"/>
              <w:left w:val="nil"/>
              <w:bottom w:val="single" w:sz="8" w:space="0" w:color="DCE6F1"/>
              <w:right w:val="nil"/>
            </w:tcBorders>
            <w:shd w:val="clear" w:color="000000" w:fill="D9D9D9"/>
            <w:noWrap/>
            <w:vAlign w:val="center"/>
            <w:hideMark/>
          </w:tcPr>
          <w:p w14:paraId="07EF2583"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7C7ED65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8F10FC9"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2F75F9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271A3DCE"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1 108 528</w:t>
            </w:r>
          </w:p>
        </w:tc>
        <w:tc>
          <w:tcPr>
            <w:tcW w:w="0" w:type="auto"/>
            <w:tcBorders>
              <w:top w:val="nil"/>
              <w:left w:val="nil"/>
              <w:bottom w:val="single" w:sz="8" w:space="0" w:color="DCE6F1"/>
              <w:right w:val="nil"/>
            </w:tcBorders>
            <w:shd w:val="clear" w:color="auto" w:fill="auto"/>
            <w:noWrap/>
            <w:vAlign w:val="center"/>
            <w:hideMark/>
          </w:tcPr>
          <w:p w14:paraId="34C1D28A"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1 108 528</w:t>
            </w:r>
          </w:p>
        </w:tc>
      </w:tr>
      <w:tr w:rsidR="00B25D61" w:rsidRPr="00B25D61" w14:paraId="4493D68E" w14:textId="77777777" w:rsidTr="00B25D61">
        <w:trPr>
          <w:trHeight w:val="319"/>
        </w:trPr>
        <w:tc>
          <w:tcPr>
            <w:tcW w:w="0" w:type="auto"/>
            <w:tcBorders>
              <w:top w:val="nil"/>
              <w:left w:val="nil"/>
              <w:bottom w:val="nil"/>
              <w:right w:val="nil"/>
            </w:tcBorders>
            <w:shd w:val="clear" w:color="000000" w:fill="DAE9F8"/>
            <w:noWrap/>
            <w:vAlign w:val="bottom"/>
            <w:hideMark/>
          </w:tcPr>
          <w:p w14:paraId="232EE8C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w:t>
            </w:r>
          </w:p>
        </w:tc>
        <w:tc>
          <w:tcPr>
            <w:tcW w:w="0" w:type="auto"/>
            <w:tcBorders>
              <w:top w:val="nil"/>
              <w:left w:val="nil"/>
              <w:bottom w:val="nil"/>
              <w:right w:val="nil"/>
            </w:tcBorders>
            <w:shd w:val="clear" w:color="000000" w:fill="DAE9F8"/>
            <w:vAlign w:val="center"/>
            <w:hideMark/>
          </w:tcPr>
          <w:p w14:paraId="59A58305" w14:textId="77777777" w:rsidR="00B25D61" w:rsidRPr="00B25D61" w:rsidRDefault="00B25D61" w:rsidP="00BA6535">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Energetika - CSS/DSS</w:t>
            </w:r>
          </w:p>
        </w:tc>
        <w:tc>
          <w:tcPr>
            <w:tcW w:w="0" w:type="auto"/>
            <w:tcBorders>
              <w:top w:val="nil"/>
              <w:left w:val="nil"/>
              <w:bottom w:val="single" w:sz="8" w:space="0" w:color="DCE6F1"/>
              <w:right w:val="nil"/>
            </w:tcBorders>
            <w:shd w:val="clear" w:color="000000" w:fill="DAE9F8"/>
            <w:noWrap/>
            <w:vAlign w:val="center"/>
            <w:hideMark/>
          </w:tcPr>
          <w:p w14:paraId="3DA03766"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467A2310"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1 063 548</w:t>
            </w:r>
          </w:p>
        </w:tc>
        <w:tc>
          <w:tcPr>
            <w:tcW w:w="0" w:type="auto"/>
            <w:tcBorders>
              <w:top w:val="nil"/>
              <w:left w:val="nil"/>
              <w:bottom w:val="single" w:sz="8" w:space="0" w:color="DCE6F1"/>
              <w:right w:val="nil"/>
            </w:tcBorders>
            <w:shd w:val="clear" w:color="000000" w:fill="DAE9F8"/>
            <w:noWrap/>
            <w:vAlign w:val="center"/>
            <w:hideMark/>
          </w:tcPr>
          <w:p w14:paraId="56A002F0"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1 063 548</w:t>
            </w:r>
          </w:p>
        </w:tc>
        <w:tc>
          <w:tcPr>
            <w:tcW w:w="0" w:type="auto"/>
            <w:tcBorders>
              <w:top w:val="nil"/>
              <w:left w:val="nil"/>
              <w:bottom w:val="single" w:sz="8" w:space="0" w:color="DCE6F1"/>
              <w:right w:val="nil"/>
            </w:tcBorders>
            <w:shd w:val="clear" w:color="000000" w:fill="DAE9F8"/>
            <w:noWrap/>
            <w:vAlign w:val="center"/>
            <w:hideMark/>
          </w:tcPr>
          <w:p w14:paraId="539DA121"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613B5710"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1 225 911</w:t>
            </w:r>
          </w:p>
        </w:tc>
        <w:tc>
          <w:tcPr>
            <w:tcW w:w="0" w:type="auto"/>
            <w:tcBorders>
              <w:top w:val="nil"/>
              <w:left w:val="nil"/>
              <w:bottom w:val="single" w:sz="8" w:space="0" w:color="DCE6F1"/>
              <w:right w:val="nil"/>
            </w:tcBorders>
            <w:shd w:val="clear" w:color="000000" w:fill="DAE9F8"/>
            <w:noWrap/>
            <w:vAlign w:val="center"/>
            <w:hideMark/>
          </w:tcPr>
          <w:p w14:paraId="3C87E61E"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1 225 911</w:t>
            </w:r>
          </w:p>
        </w:tc>
      </w:tr>
      <w:tr w:rsidR="00B25D61" w:rsidRPr="00B25D61" w14:paraId="4521C0B4" w14:textId="77777777" w:rsidTr="00B25D61">
        <w:trPr>
          <w:trHeight w:val="319"/>
        </w:trPr>
        <w:tc>
          <w:tcPr>
            <w:tcW w:w="0" w:type="auto"/>
            <w:tcBorders>
              <w:top w:val="nil"/>
              <w:left w:val="nil"/>
              <w:bottom w:val="nil"/>
              <w:right w:val="nil"/>
            </w:tcBorders>
            <w:shd w:val="clear" w:color="auto" w:fill="auto"/>
            <w:noWrap/>
            <w:vAlign w:val="bottom"/>
            <w:hideMark/>
          </w:tcPr>
          <w:p w14:paraId="769ACE43"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PZ07</w:t>
            </w:r>
          </w:p>
        </w:tc>
        <w:tc>
          <w:tcPr>
            <w:tcW w:w="0" w:type="auto"/>
            <w:tcBorders>
              <w:top w:val="nil"/>
              <w:left w:val="nil"/>
              <w:bottom w:val="nil"/>
              <w:right w:val="nil"/>
            </w:tcBorders>
            <w:shd w:val="clear" w:color="auto" w:fill="auto"/>
            <w:vAlign w:val="center"/>
            <w:hideMark/>
          </w:tcPr>
          <w:p w14:paraId="2BE7E7E3" w14:textId="77777777"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Energetická obnova CSS </w:t>
            </w:r>
            <w:proofErr w:type="spellStart"/>
            <w:r w:rsidRPr="00B25D61">
              <w:rPr>
                <w:rFonts w:ascii="Aptos Narrow" w:eastAsia="Times New Roman" w:hAnsi="Aptos Narrow" w:cs="Times New Roman"/>
                <w:color w:val="000000"/>
                <w:sz w:val="18"/>
                <w:szCs w:val="18"/>
                <w:lang w:eastAsia="sk-SK"/>
              </w:rPr>
              <w:t>Matulaya</w:t>
            </w:r>
            <w:proofErr w:type="spellEnd"/>
            <w:r w:rsidRPr="00B25D61">
              <w:rPr>
                <w:rFonts w:ascii="Aptos Narrow" w:eastAsia="Times New Roman" w:hAnsi="Aptos Narrow" w:cs="Times New Roman"/>
                <w:color w:val="000000"/>
                <w:sz w:val="18"/>
                <w:szCs w:val="18"/>
                <w:lang w:eastAsia="sk-SK"/>
              </w:rPr>
              <w:t>, Lipského 19</w:t>
            </w:r>
          </w:p>
        </w:tc>
        <w:tc>
          <w:tcPr>
            <w:tcW w:w="0" w:type="auto"/>
            <w:tcBorders>
              <w:top w:val="nil"/>
              <w:left w:val="nil"/>
              <w:bottom w:val="single" w:sz="8" w:space="0" w:color="DCE6F1"/>
              <w:right w:val="nil"/>
            </w:tcBorders>
            <w:shd w:val="clear" w:color="000000" w:fill="D9D9D9"/>
            <w:noWrap/>
            <w:vAlign w:val="center"/>
            <w:hideMark/>
          </w:tcPr>
          <w:p w14:paraId="7AB7B99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7556E22A"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199 794</w:t>
            </w:r>
          </w:p>
        </w:tc>
        <w:tc>
          <w:tcPr>
            <w:tcW w:w="0" w:type="auto"/>
            <w:tcBorders>
              <w:top w:val="nil"/>
              <w:left w:val="nil"/>
              <w:bottom w:val="single" w:sz="8" w:space="0" w:color="DCE6F1"/>
              <w:right w:val="nil"/>
            </w:tcBorders>
            <w:shd w:val="clear" w:color="000000" w:fill="D9D9D9"/>
            <w:noWrap/>
            <w:vAlign w:val="center"/>
            <w:hideMark/>
          </w:tcPr>
          <w:p w14:paraId="212F5414"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199 794</w:t>
            </w:r>
          </w:p>
        </w:tc>
        <w:tc>
          <w:tcPr>
            <w:tcW w:w="0" w:type="auto"/>
            <w:tcBorders>
              <w:top w:val="nil"/>
              <w:left w:val="nil"/>
              <w:bottom w:val="single" w:sz="8" w:space="0" w:color="DCE6F1"/>
              <w:right w:val="nil"/>
            </w:tcBorders>
            <w:shd w:val="clear" w:color="auto" w:fill="auto"/>
            <w:noWrap/>
            <w:vAlign w:val="center"/>
            <w:hideMark/>
          </w:tcPr>
          <w:p w14:paraId="2FB94F9E"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73303DC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217 202</w:t>
            </w:r>
          </w:p>
        </w:tc>
        <w:tc>
          <w:tcPr>
            <w:tcW w:w="0" w:type="auto"/>
            <w:tcBorders>
              <w:top w:val="nil"/>
              <w:left w:val="nil"/>
              <w:bottom w:val="single" w:sz="8" w:space="0" w:color="DCE6F1"/>
              <w:right w:val="nil"/>
            </w:tcBorders>
            <w:shd w:val="clear" w:color="auto" w:fill="auto"/>
            <w:noWrap/>
            <w:vAlign w:val="center"/>
            <w:hideMark/>
          </w:tcPr>
          <w:p w14:paraId="1CBE21C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217 202</w:t>
            </w:r>
          </w:p>
        </w:tc>
      </w:tr>
      <w:tr w:rsidR="00B25D61" w:rsidRPr="00B25D61" w14:paraId="33156F8E" w14:textId="77777777" w:rsidTr="00B25D61">
        <w:trPr>
          <w:trHeight w:val="319"/>
        </w:trPr>
        <w:tc>
          <w:tcPr>
            <w:tcW w:w="0" w:type="auto"/>
            <w:tcBorders>
              <w:top w:val="nil"/>
              <w:left w:val="nil"/>
              <w:bottom w:val="nil"/>
              <w:right w:val="nil"/>
            </w:tcBorders>
            <w:shd w:val="clear" w:color="auto" w:fill="auto"/>
            <w:noWrap/>
            <w:vAlign w:val="bottom"/>
            <w:hideMark/>
          </w:tcPr>
          <w:p w14:paraId="3AEAA03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PZ043</w:t>
            </w:r>
          </w:p>
        </w:tc>
        <w:tc>
          <w:tcPr>
            <w:tcW w:w="0" w:type="auto"/>
            <w:tcBorders>
              <w:top w:val="nil"/>
              <w:left w:val="nil"/>
              <w:bottom w:val="nil"/>
              <w:right w:val="nil"/>
            </w:tcBorders>
            <w:shd w:val="clear" w:color="auto" w:fill="auto"/>
            <w:vAlign w:val="center"/>
            <w:hideMark/>
          </w:tcPr>
          <w:p w14:paraId="561059BB" w14:textId="77777777"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Energetická obnova CSS </w:t>
            </w:r>
            <w:proofErr w:type="spellStart"/>
            <w:r w:rsidRPr="00B25D61">
              <w:rPr>
                <w:rFonts w:ascii="Aptos Narrow" w:eastAsia="Times New Roman" w:hAnsi="Aptos Narrow" w:cs="Times New Roman"/>
                <w:color w:val="000000"/>
                <w:sz w:val="18"/>
                <w:szCs w:val="18"/>
                <w:lang w:eastAsia="sk-SK"/>
              </w:rPr>
              <w:t>Matulaya</w:t>
            </w:r>
            <w:proofErr w:type="spellEnd"/>
            <w:r w:rsidRPr="00B25D61">
              <w:rPr>
                <w:rFonts w:ascii="Aptos Narrow" w:eastAsia="Times New Roman" w:hAnsi="Aptos Narrow" w:cs="Times New Roman"/>
                <w:color w:val="000000"/>
                <w:sz w:val="18"/>
                <w:szCs w:val="18"/>
                <w:lang w:eastAsia="sk-SK"/>
              </w:rPr>
              <w:t>, Lipského 13</w:t>
            </w:r>
          </w:p>
        </w:tc>
        <w:tc>
          <w:tcPr>
            <w:tcW w:w="0" w:type="auto"/>
            <w:tcBorders>
              <w:top w:val="nil"/>
              <w:left w:val="nil"/>
              <w:bottom w:val="single" w:sz="8" w:space="0" w:color="DCE6F1"/>
              <w:right w:val="nil"/>
            </w:tcBorders>
            <w:shd w:val="clear" w:color="000000" w:fill="D9D9D9"/>
            <w:noWrap/>
            <w:vAlign w:val="center"/>
            <w:hideMark/>
          </w:tcPr>
          <w:p w14:paraId="4C4F4448"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7FB66D5"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197 306</w:t>
            </w:r>
          </w:p>
        </w:tc>
        <w:tc>
          <w:tcPr>
            <w:tcW w:w="0" w:type="auto"/>
            <w:tcBorders>
              <w:top w:val="nil"/>
              <w:left w:val="nil"/>
              <w:bottom w:val="single" w:sz="8" w:space="0" w:color="DCE6F1"/>
              <w:right w:val="nil"/>
            </w:tcBorders>
            <w:shd w:val="clear" w:color="000000" w:fill="D9D9D9"/>
            <w:noWrap/>
            <w:vAlign w:val="center"/>
            <w:hideMark/>
          </w:tcPr>
          <w:p w14:paraId="22A4C9B4"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197 306</w:t>
            </w:r>
          </w:p>
        </w:tc>
        <w:tc>
          <w:tcPr>
            <w:tcW w:w="0" w:type="auto"/>
            <w:tcBorders>
              <w:top w:val="nil"/>
              <w:left w:val="nil"/>
              <w:bottom w:val="single" w:sz="8" w:space="0" w:color="DCE6F1"/>
              <w:right w:val="nil"/>
            </w:tcBorders>
            <w:shd w:val="clear" w:color="auto" w:fill="auto"/>
            <w:noWrap/>
            <w:vAlign w:val="center"/>
            <w:hideMark/>
          </w:tcPr>
          <w:p w14:paraId="26DACD7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30833B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216 983</w:t>
            </w:r>
          </w:p>
        </w:tc>
        <w:tc>
          <w:tcPr>
            <w:tcW w:w="0" w:type="auto"/>
            <w:tcBorders>
              <w:top w:val="nil"/>
              <w:left w:val="nil"/>
              <w:bottom w:val="single" w:sz="8" w:space="0" w:color="DCE6F1"/>
              <w:right w:val="nil"/>
            </w:tcBorders>
            <w:shd w:val="clear" w:color="auto" w:fill="auto"/>
            <w:noWrap/>
            <w:vAlign w:val="center"/>
            <w:hideMark/>
          </w:tcPr>
          <w:p w14:paraId="5CB551F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216 983</w:t>
            </w:r>
          </w:p>
        </w:tc>
      </w:tr>
      <w:tr w:rsidR="00B25D61" w:rsidRPr="00B25D61" w14:paraId="1165BC58" w14:textId="77777777" w:rsidTr="00B25D61">
        <w:trPr>
          <w:trHeight w:val="319"/>
        </w:trPr>
        <w:tc>
          <w:tcPr>
            <w:tcW w:w="0" w:type="auto"/>
            <w:tcBorders>
              <w:top w:val="nil"/>
              <w:left w:val="nil"/>
              <w:bottom w:val="nil"/>
              <w:right w:val="nil"/>
            </w:tcBorders>
            <w:shd w:val="clear" w:color="auto" w:fill="auto"/>
            <w:noWrap/>
            <w:vAlign w:val="bottom"/>
            <w:hideMark/>
          </w:tcPr>
          <w:p w14:paraId="58656EB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PZ044</w:t>
            </w:r>
          </w:p>
        </w:tc>
        <w:tc>
          <w:tcPr>
            <w:tcW w:w="0" w:type="auto"/>
            <w:tcBorders>
              <w:top w:val="nil"/>
              <w:left w:val="nil"/>
              <w:bottom w:val="nil"/>
              <w:right w:val="nil"/>
            </w:tcBorders>
            <w:shd w:val="clear" w:color="auto" w:fill="auto"/>
            <w:vAlign w:val="center"/>
            <w:hideMark/>
          </w:tcPr>
          <w:p w14:paraId="4655D519" w14:textId="77777777"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Energetická obnova CSS </w:t>
            </w:r>
            <w:proofErr w:type="spellStart"/>
            <w:r w:rsidRPr="00B25D61">
              <w:rPr>
                <w:rFonts w:ascii="Aptos Narrow" w:eastAsia="Times New Roman" w:hAnsi="Aptos Narrow" w:cs="Times New Roman"/>
                <w:color w:val="000000"/>
                <w:sz w:val="18"/>
                <w:szCs w:val="18"/>
                <w:lang w:eastAsia="sk-SK"/>
              </w:rPr>
              <w:t>Matulaya</w:t>
            </w:r>
            <w:proofErr w:type="spellEnd"/>
            <w:r w:rsidRPr="00B25D61">
              <w:rPr>
                <w:rFonts w:ascii="Aptos Narrow" w:eastAsia="Times New Roman" w:hAnsi="Aptos Narrow" w:cs="Times New Roman"/>
                <w:color w:val="000000"/>
                <w:sz w:val="18"/>
                <w:szCs w:val="18"/>
                <w:lang w:eastAsia="sk-SK"/>
              </w:rPr>
              <w:t>, Ľuda Zúbka 6</w:t>
            </w:r>
          </w:p>
        </w:tc>
        <w:tc>
          <w:tcPr>
            <w:tcW w:w="0" w:type="auto"/>
            <w:tcBorders>
              <w:top w:val="nil"/>
              <w:left w:val="nil"/>
              <w:bottom w:val="single" w:sz="8" w:space="0" w:color="DCE6F1"/>
              <w:right w:val="nil"/>
            </w:tcBorders>
            <w:shd w:val="clear" w:color="000000" w:fill="D9D9D9"/>
            <w:noWrap/>
            <w:vAlign w:val="center"/>
            <w:hideMark/>
          </w:tcPr>
          <w:p w14:paraId="65DCFFC3"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A4CDA5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242 165</w:t>
            </w:r>
          </w:p>
        </w:tc>
        <w:tc>
          <w:tcPr>
            <w:tcW w:w="0" w:type="auto"/>
            <w:tcBorders>
              <w:top w:val="nil"/>
              <w:left w:val="nil"/>
              <w:bottom w:val="single" w:sz="8" w:space="0" w:color="DCE6F1"/>
              <w:right w:val="nil"/>
            </w:tcBorders>
            <w:shd w:val="clear" w:color="000000" w:fill="D9D9D9"/>
            <w:noWrap/>
            <w:vAlign w:val="center"/>
            <w:hideMark/>
          </w:tcPr>
          <w:p w14:paraId="216046A5"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242 165</w:t>
            </w:r>
          </w:p>
        </w:tc>
        <w:tc>
          <w:tcPr>
            <w:tcW w:w="0" w:type="auto"/>
            <w:tcBorders>
              <w:top w:val="nil"/>
              <w:left w:val="nil"/>
              <w:bottom w:val="single" w:sz="8" w:space="0" w:color="DCE6F1"/>
              <w:right w:val="nil"/>
            </w:tcBorders>
            <w:shd w:val="clear" w:color="auto" w:fill="auto"/>
            <w:noWrap/>
            <w:vAlign w:val="center"/>
            <w:hideMark/>
          </w:tcPr>
          <w:p w14:paraId="0582ED07"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0ACBEB28"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271 449</w:t>
            </w:r>
          </w:p>
        </w:tc>
        <w:tc>
          <w:tcPr>
            <w:tcW w:w="0" w:type="auto"/>
            <w:tcBorders>
              <w:top w:val="nil"/>
              <w:left w:val="nil"/>
              <w:bottom w:val="single" w:sz="8" w:space="0" w:color="DCE6F1"/>
              <w:right w:val="nil"/>
            </w:tcBorders>
            <w:shd w:val="clear" w:color="auto" w:fill="auto"/>
            <w:noWrap/>
            <w:vAlign w:val="center"/>
            <w:hideMark/>
          </w:tcPr>
          <w:p w14:paraId="4C09073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271 449</w:t>
            </w:r>
          </w:p>
        </w:tc>
      </w:tr>
      <w:tr w:rsidR="00B25D61" w:rsidRPr="00B25D61" w14:paraId="26023F42" w14:textId="77777777" w:rsidTr="00B25D61">
        <w:trPr>
          <w:trHeight w:val="319"/>
        </w:trPr>
        <w:tc>
          <w:tcPr>
            <w:tcW w:w="0" w:type="auto"/>
            <w:tcBorders>
              <w:top w:val="nil"/>
              <w:left w:val="nil"/>
              <w:bottom w:val="nil"/>
              <w:right w:val="nil"/>
            </w:tcBorders>
            <w:shd w:val="clear" w:color="auto" w:fill="auto"/>
            <w:noWrap/>
            <w:vAlign w:val="bottom"/>
            <w:hideMark/>
          </w:tcPr>
          <w:p w14:paraId="06F731C5"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PZ030</w:t>
            </w:r>
          </w:p>
        </w:tc>
        <w:tc>
          <w:tcPr>
            <w:tcW w:w="0" w:type="auto"/>
            <w:tcBorders>
              <w:top w:val="nil"/>
              <w:left w:val="nil"/>
              <w:bottom w:val="nil"/>
              <w:right w:val="nil"/>
            </w:tcBorders>
            <w:shd w:val="clear" w:color="auto" w:fill="auto"/>
            <w:vAlign w:val="center"/>
            <w:hideMark/>
          </w:tcPr>
          <w:p w14:paraId="543D1613" w14:textId="77777777"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Energetická obnova DSS Báhoň</w:t>
            </w:r>
          </w:p>
        </w:tc>
        <w:tc>
          <w:tcPr>
            <w:tcW w:w="0" w:type="auto"/>
            <w:tcBorders>
              <w:top w:val="nil"/>
              <w:left w:val="nil"/>
              <w:bottom w:val="single" w:sz="8" w:space="0" w:color="DCE6F1"/>
              <w:right w:val="nil"/>
            </w:tcBorders>
            <w:shd w:val="clear" w:color="000000" w:fill="D9D9D9"/>
            <w:noWrap/>
            <w:vAlign w:val="center"/>
            <w:hideMark/>
          </w:tcPr>
          <w:p w14:paraId="4684C9FE"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F45EF1C"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8F2FD34"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CE8B3C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6464EE9"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5 138</w:t>
            </w:r>
          </w:p>
        </w:tc>
        <w:tc>
          <w:tcPr>
            <w:tcW w:w="0" w:type="auto"/>
            <w:tcBorders>
              <w:top w:val="nil"/>
              <w:left w:val="nil"/>
              <w:bottom w:val="single" w:sz="8" w:space="0" w:color="DCE6F1"/>
              <w:right w:val="nil"/>
            </w:tcBorders>
            <w:shd w:val="clear" w:color="auto" w:fill="auto"/>
            <w:noWrap/>
            <w:vAlign w:val="center"/>
            <w:hideMark/>
          </w:tcPr>
          <w:p w14:paraId="224E0428"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5 138</w:t>
            </w:r>
          </w:p>
        </w:tc>
      </w:tr>
      <w:tr w:rsidR="00B25D61" w:rsidRPr="00B25D61" w14:paraId="4DAD1FBC" w14:textId="77777777" w:rsidTr="00B25D61">
        <w:trPr>
          <w:trHeight w:val="319"/>
        </w:trPr>
        <w:tc>
          <w:tcPr>
            <w:tcW w:w="0" w:type="auto"/>
            <w:tcBorders>
              <w:top w:val="nil"/>
              <w:left w:val="nil"/>
              <w:bottom w:val="nil"/>
              <w:right w:val="nil"/>
            </w:tcBorders>
            <w:shd w:val="clear" w:color="auto" w:fill="auto"/>
            <w:noWrap/>
            <w:vAlign w:val="bottom"/>
            <w:hideMark/>
          </w:tcPr>
          <w:p w14:paraId="3F41A0D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PZ037</w:t>
            </w:r>
          </w:p>
        </w:tc>
        <w:tc>
          <w:tcPr>
            <w:tcW w:w="0" w:type="auto"/>
            <w:tcBorders>
              <w:top w:val="nil"/>
              <w:left w:val="nil"/>
              <w:bottom w:val="nil"/>
              <w:right w:val="nil"/>
            </w:tcBorders>
            <w:shd w:val="clear" w:color="auto" w:fill="auto"/>
            <w:vAlign w:val="center"/>
            <w:hideMark/>
          </w:tcPr>
          <w:p w14:paraId="53C34399" w14:textId="77777777"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Energetická obnova CSS Pezinok</w:t>
            </w:r>
          </w:p>
        </w:tc>
        <w:tc>
          <w:tcPr>
            <w:tcW w:w="0" w:type="auto"/>
            <w:tcBorders>
              <w:top w:val="nil"/>
              <w:left w:val="nil"/>
              <w:bottom w:val="single" w:sz="8" w:space="0" w:color="DCE6F1"/>
              <w:right w:val="nil"/>
            </w:tcBorders>
            <w:shd w:val="clear" w:color="000000" w:fill="D9D9D9"/>
            <w:noWrap/>
            <w:vAlign w:val="center"/>
            <w:hideMark/>
          </w:tcPr>
          <w:p w14:paraId="05051DFA"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305BA7AF"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424 283</w:t>
            </w:r>
          </w:p>
        </w:tc>
        <w:tc>
          <w:tcPr>
            <w:tcW w:w="0" w:type="auto"/>
            <w:tcBorders>
              <w:top w:val="nil"/>
              <w:left w:val="nil"/>
              <w:bottom w:val="single" w:sz="8" w:space="0" w:color="DCE6F1"/>
              <w:right w:val="nil"/>
            </w:tcBorders>
            <w:shd w:val="clear" w:color="000000" w:fill="D9D9D9"/>
            <w:noWrap/>
            <w:vAlign w:val="center"/>
            <w:hideMark/>
          </w:tcPr>
          <w:p w14:paraId="473CB054"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424 283</w:t>
            </w:r>
          </w:p>
        </w:tc>
        <w:tc>
          <w:tcPr>
            <w:tcW w:w="0" w:type="auto"/>
            <w:tcBorders>
              <w:top w:val="nil"/>
              <w:left w:val="nil"/>
              <w:bottom w:val="single" w:sz="8" w:space="0" w:color="DCE6F1"/>
              <w:right w:val="nil"/>
            </w:tcBorders>
            <w:shd w:val="clear" w:color="auto" w:fill="auto"/>
            <w:noWrap/>
            <w:vAlign w:val="center"/>
            <w:hideMark/>
          </w:tcPr>
          <w:p w14:paraId="7E45527D"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47A8CA8"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515 140</w:t>
            </w:r>
          </w:p>
        </w:tc>
        <w:tc>
          <w:tcPr>
            <w:tcW w:w="0" w:type="auto"/>
            <w:tcBorders>
              <w:top w:val="nil"/>
              <w:left w:val="nil"/>
              <w:bottom w:val="single" w:sz="8" w:space="0" w:color="DCE6F1"/>
              <w:right w:val="nil"/>
            </w:tcBorders>
            <w:shd w:val="clear" w:color="auto" w:fill="auto"/>
            <w:noWrap/>
            <w:vAlign w:val="center"/>
            <w:hideMark/>
          </w:tcPr>
          <w:p w14:paraId="2C72DDA0"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515 140</w:t>
            </w:r>
          </w:p>
        </w:tc>
      </w:tr>
      <w:tr w:rsidR="00B25D61" w:rsidRPr="00B25D61" w14:paraId="4590FA1D" w14:textId="77777777" w:rsidTr="00B25D61">
        <w:trPr>
          <w:trHeight w:val="319"/>
        </w:trPr>
        <w:tc>
          <w:tcPr>
            <w:tcW w:w="0" w:type="auto"/>
            <w:tcBorders>
              <w:top w:val="nil"/>
              <w:left w:val="nil"/>
              <w:bottom w:val="nil"/>
              <w:right w:val="nil"/>
            </w:tcBorders>
            <w:shd w:val="clear" w:color="auto" w:fill="auto"/>
            <w:noWrap/>
            <w:vAlign w:val="bottom"/>
            <w:hideMark/>
          </w:tcPr>
          <w:p w14:paraId="05A75C9F"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PZ038</w:t>
            </w:r>
          </w:p>
        </w:tc>
        <w:tc>
          <w:tcPr>
            <w:tcW w:w="0" w:type="auto"/>
            <w:tcBorders>
              <w:top w:val="nil"/>
              <w:left w:val="nil"/>
              <w:bottom w:val="nil"/>
              <w:right w:val="nil"/>
            </w:tcBorders>
            <w:shd w:val="clear" w:color="auto" w:fill="auto"/>
            <w:vAlign w:val="center"/>
            <w:hideMark/>
          </w:tcPr>
          <w:p w14:paraId="0098F3C4" w14:textId="77777777"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Energetická obnova DSS Kampino</w:t>
            </w:r>
          </w:p>
        </w:tc>
        <w:tc>
          <w:tcPr>
            <w:tcW w:w="0" w:type="auto"/>
            <w:tcBorders>
              <w:top w:val="nil"/>
              <w:left w:val="nil"/>
              <w:bottom w:val="single" w:sz="8" w:space="0" w:color="DCE6F1"/>
              <w:right w:val="nil"/>
            </w:tcBorders>
            <w:shd w:val="clear" w:color="000000" w:fill="D9D9D9"/>
            <w:noWrap/>
            <w:vAlign w:val="center"/>
            <w:hideMark/>
          </w:tcPr>
          <w:p w14:paraId="06CC5BEE"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8EF760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58EE0B6"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54F8E45"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2811B2FA"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A0BE65A"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r>
      <w:tr w:rsidR="00B25D61" w:rsidRPr="00B25D61" w14:paraId="3E784C90" w14:textId="77777777" w:rsidTr="00B25D61">
        <w:trPr>
          <w:trHeight w:val="319"/>
        </w:trPr>
        <w:tc>
          <w:tcPr>
            <w:tcW w:w="0" w:type="auto"/>
            <w:tcBorders>
              <w:top w:val="nil"/>
              <w:left w:val="nil"/>
              <w:bottom w:val="nil"/>
              <w:right w:val="nil"/>
            </w:tcBorders>
            <w:shd w:val="clear" w:color="000000" w:fill="DAE9F8"/>
            <w:noWrap/>
            <w:vAlign w:val="bottom"/>
            <w:hideMark/>
          </w:tcPr>
          <w:p w14:paraId="65D80832"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w:t>
            </w:r>
          </w:p>
        </w:tc>
        <w:tc>
          <w:tcPr>
            <w:tcW w:w="0" w:type="auto"/>
            <w:tcBorders>
              <w:top w:val="nil"/>
              <w:left w:val="nil"/>
              <w:bottom w:val="nil"/>
              <w:right w:val="nil"/>
            </w:tcBorders>
            <w:shd w:val="clear" w:color="000000" w:fill="DAE9F8"/>
            <w:vAlign w:val="center"/>
            <w:hideMark/>
          </w:tcPr>
          <w:p w14:paraId="2BBF41F4" w14:textId="77777777" w:rsidR="00B25D61" w:rsidRPr="00B25D61" w:rsidRDefault="00B25D61" w:rsidP="00BA6535">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Energetika – nízkoenergetické zóny</w:t>
            </w:r>
          </w:p>
        </w:tc>
        <w:tc>
          <w:tcPr>
            <w:tcW w:w="0" w:type="auto"/>
            <w:tcBorders>
              <w:top w:val="nil"/>
              <w:left w:val="nil"/>
              <w:bottom w:val="single" w:sz="8" w:space="0" w:color="DCE6F1"/>
              <w:right w:val="nil"/>
            </w:tcBorders>
            <w:shd w:val="clear" w:color="000000" w:fill="DAE9F8"/>
            <w:noWrap/>
            <w:vAlign w:val="center"/>
            <w:hideMark/>
          </w:tcPr>
          <w:p w14:paraId="6351F4AC"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5A244BD1"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3D7D68E4"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0F2DD61D"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6C7BBD7F"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277 400</w:t>
            </w:r>
          </w:p>
        </w:tc>
        <w:tc>
          <w:tcPr>
            <w:tcW w:w="0" w:type="auto"/>
            <w:tcBorders>
              <w:top w:val="nil"/>
              <w:left w:val="nil"/>
              <w:bottom w:val="single" w:sz="8" w:space="0" w:color="DCE6F1"/>
              <w:right w:val="nil"/>
            </w:tcBorders>
            <w:shd w:val="clear" w:color="000000" w:fill="DAE9F8"/>
            <w:noWrap/>
            <w:vAlign w:val="center"/>
            <w:hideMark/>
          </w:tcPr>
          <w:p w14:paraId="62219C5B" w14:textId="77777777" w:rsidR="00B25D61" w:rsidRPr="00B25D61" w:rsidRDefault="00B25D61" w:rsidP="00BA6535">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277 400</w:t>
            </w:r>
          </w:p>
        </w:tc>
      </w:tr>
      <w:tr w:rsidR="00B25D61" w:rsidRPr="00B25D61" w14:paraId="5EBDAFAE" w14:textId="77777777" w:rsidTr="00B25D61">
        <w:trPr>
          <w:trHeight w:val="319"/>
        </w:trPr>
        <w:tc>
          <w:tcPr>
            <w:tcW w:w="0" w:type="auto"/>
            <w:tcBorders>
              <w:top w:val="nil"/>
              <w:left w:val="nil"/>
              <w:bottom w:val="nil"/>
              <w:right w:val="nil"/>
            </w:tcBorders>
            <w:shd w:val="clear" w:color="auto" w:fill="auto"/>
            <w:noWrap/>
            <w:vAlign w:val="bottom"/>
            <w:hideMark/>
          </w:tcPr>
          <w:p w14:paraId="281E13A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PZ041</w:t>
            </w:r>
          </w:p>
        </w:tc>
        <w:tc>
          <w:tcPr>
            <w:tcW w:w="0" w:type="auto"/>
            <w:tcBorders>
              <w:top w:val="nil"/>
              <w:left w:val="nil"/>
              <w:bottom w:val="nil"/>
              <w:right w:val="nil"/>
            </w:tcBorders>
            <w:shd w:val="clear" w:color="auto" w:fill="auto"/>
            <w:vAlign w:val="center"/>
            <w:hideMark/>
          </w:tcPr>
          <w:p w14:paraId="24E55B6B" w14:textId="77777777"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Nízkoenergetická zóna Pankúchova v Petržalke + nadstavba </w:t>
            </w:r>
          </w:p>
        </w:tc>
        <w:tc>
          <w:tcPr>
            <w:tcW w:w="0" w:type="auto"/>
            <w:tcBorders>
              <w:top w:val="nil"/>
              <w:left w:val="nil"/>
              <w:bottom w:val="single" w:sz="8" w:space="0" w:color="DCE6F1"/>
              <w:right w:val="nil"/>
            </w:tcBorders>
            <w:shd w:val="clear" w:color="000000" w:fill="D9D9D9"/>
            <w:noWrap/>
            <w:vAlign w:val="center"/>
            <w:hideMark/>
          </w:tcPr>
          <w:p w14:paraId="0DF0D89D"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BB2B01C"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11B2166"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8DD3061"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6895C969"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250 000</w:t>
            </w:r>
          </w:p>
        </w:tc>
        <w:tc>
          <w:tcPr>
            <w:tcW w:w="0" w:type="auto"/>
            <w:tcBorders>
              <w:top w:val="nil"/>
              <w:left w:val="nil"/>
              <w:bottom w:val="single" w:sz="8" w:space="0" w:color="DCE6F1"/>
              <w:right w:val="nil"/>
            </w:tcBorders>
            <w:shd w:val="clear" w:color="auto" w:fill="auto"/>
            <w:noWrap/>
            <w:vAlign w:val="center"/>
            <w:hideMark/>
          </w:tcPr>
          <w:p w14:paraId="555CA89F"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250 000</w:t>
            </w:r>
          </w:p>
        </w:tc>
      </w:tr>
      <w:tr w:rsidR="00B25D61" w:rsidRPr="00B25D61" w14:paraId="4EDD5750" w14:textId="77777777" w:rsidTr="00B25D61">
        <w:trPr>
          <w:trHeight w:val="319"/>
        </w:trPr>
        <w:tc>
          <w:tcPr>
            <w:tcW w:w="0" w:type="auto"/>
            <w:tcBorders>
              <w:top w:val="nil"/>
              <w:left w:val="nil"/>
              <w:bottom w:val="nil"/>
              <w:right w:val="nil"/>
            </w:tcBorders>
            <w:shd w:val="clear" w:color="auto" w:fill="auto"/>
            <w:noWrap/>
            <w:vAlign w:val="bottom"/>
            <w:hideMark/>
          </w:tcPr>
          <w:p w14:paraId="2E0990D6"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PZ014</w:t>
            </w:r>
          </w:p>
        </w:tc>
        <w:tc>
          <w:tcPr>
            <w:tcW w:w="0" w:type="auto"/>
            <w:tcBorders>
              <w:top w:val="nil"/>
              <w:left w:val="nil"/>
              <w:bottom w:val="nil"/>
              <w:right w:val="nil"/>
            </w:tcBorders>
            <w:shd w:val="clear" w:color="auto" w:fill="auto"/>
            <w:vAlign w:val="center"/>
            <w:hideMark/>
          </w:tcPr>
          <w:p w14:paraId="4006276D" w14:textId="77777777"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Nadstavba </w:t>
            </w:r>
            <w:proofErr w:type="spellStart"/>
            <w:r w:rsidRPr="00B25D61">
              <w:rPr>
                <w:rFonts w:ascii="Aptos Narrow" w:eastAsia="Times New Roman" w:hAnsi="Aptos Narrow" w:cs="Times New Roman"/>
                <w:color w:val="000000"/>
                <w:sz w:val="18"/>
                <w:szCs w:val="18"/>
                <w:lang w:eastAsia="sk-SK"/>
              </w:rPr>
              <w:t>Pankúchová</w:t>
            </w:r>
            <w:proofErr w:type="spellEnd"/>
            <w:r w:rsidRPr="00B25D61">
              <w:rPr>
                <w:rFonts w:ascii="Aptos Narrow" w:eastAsia="Times New Roman" w:hAnsi="Aptos Narrow" w:cs="Times New Roman"/>
                <w:color w:val="000000"/>
                <w:sz w:val="18"/>
                <w:szCs w:val="18"/>
                <w:lang w:eastAsia="sk-SK"/>
              </w:rPr>
              <w:t xml:space="preserve"> v Petržalke</w:t>
            </w:r>
          </w:p>
        </w:tc>
        <w:tc>
          <w:tcPr>
            <w:tcW w:w="0" w:type="auto"/>
            <w:tcBorders>
              <w:top w:val="nil"/>
              <w:left w:val="nil"/>
              <w:bottom w:val="single" w:sz="8" w:space="0" w:color="DCE6F1"/>
              <w:right w:val="nil"/>
            </w:tcBorders>
            <w:shd w:val="clear" w:color="000000" w:fill="D9D9D9"/>
            <w:noWrap/>
            <w:vAlign w:val="center"/>
            <w:hideMark/>
          </w:tcPr>
          <w:p w14:paraId="47235797"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31E41146"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57786F8"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25819816"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77B43C1C"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27 400</w:t>
            </w:r>
          </w:p>
        </w:tc>
        <w:tc>
          <w:tcPr>
            <w:tcW w:w="0" w:type="auto"/>
            <w:tcBorders>
              <w:top w:val="nil"/>
              <w:left w:val="nil"/>
              <w:bottom w:val="single" w:sz="8" w:space="0" w:color="DCE6F1"/>
              <w:right w:val="nil"/>
            </w:tcBorders>
            <w:shd w:val="clear" w:color="auto" w:fill="auto"/>
            <w:noWrap/>
            <w:vAlign w:val="center"/>
            <w:hideMark/>
          </w:tcPr>
          <w:p w14:paraId="5873003F"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27 400</w:t>
            </w:r>
          </w:p>
        </w:tc>
      </w:tr>
      <w:tr w:rsidR="00B25D61" w:rsidRPr="00B25D61" w14:paraId="4846715D" w14:textId="77777777" w:rsidTr="00B25D61">
        <w:trPr>
          <w:trHeight w:val="319"/>
        </w:trPr>
        <w:tc>
          <w:tcPr>
            <w:tcW w:w="0" w:type="auto"/>
            <w:tcBorders>
              <w:top w:val="nil"/>
              <w:left w:val="nil"/>
              <w:bottom w:val="nil"/>
              <w:right w:val="nil"/>
            </w:tcBorders>
            <w:shd w:val="clear" w:color="auto" w:fill="auto"/>
            <w:noWrap/>
            <w:vAlign w:val="bottom"/>
            <w:hideMark/>
          </w:tcPr>
          <w:p w14:paraId="1C6B7D85"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PZ042</w:t>
            </w:r>
          </w:p>
        </w:tc>
        <w:tc>
          <w:tcPr>
            <w:tcW w:w="0" w:type="auto"/>
            <w:tcBorders>
              <w:top w:val="nil"/>
              <w:left w:val="nil"/>
              <w:bottom w:val="nil"/>
              <w:right w:val="nil"/>
            </w:tcBorders>
            <w:shd w:val="clear" w:color="auto" w:fill="auto"/>
            <w:vAlign w:val="center"/>
            <w:hideMark/>
          </w:tcPr>
          <w:p w14:paraId="62BB088B" w14:textId="77777777" w:rsidR="00B25D61" w:rsidRPr="00B25D61" w:rsidRDefault="00B25D61" w:rsidP="00BA6535">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Nízkoenergetická zóna Ružová dolina v Ružinove</w:t>
            </w:r>
          </w:p>
        </w:tc>
        <w:tc>
          <w:tcPr>
            <w:tcW w:w="0" w:type="auto"/>
            <w:tcBorders>
              <w:top w:val="nil"/>
              <w:left w:val="nil"/>
              <w:bottom w:val="single" w:sz="8" w:space="0" w:color="DCE6F1"/>
              <w:right w:val="nil"/>
            </w:tcBorders>
            <w:shd w:val="clear" w:color="000000" w:fill="D9D9D9"/>
            <w:noWrap/>
            <w:vAlign w:val="center"/>
            <w:hideMark/>
          </w:tcPr>
          <w:p w14:paraId="3C43A34C"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09DC7C8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AA2A37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7C668E5B"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05702FC0"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BE48170" w14:textId="77777777" w:rsidR="00B25D61" w:rsidRPr="00B25D61" w:rsidRDefault="00B25D61" w:rsidP="00BA6535">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r>
      <w:tr w:rsidR="00B25D61" w:rsidRPr="00B25D61" w14:paraId="43B4F8D8" w14:textId="77777777" w:rsidTr="00B25D61">
        <w:trPr>
          <w:trHeight w:val="319"/>
        </w:trPr>
        <w:tc>
          <w:tcPr>
            <w:tcW w:w="0" w:type="auto"/>
            <w:tcBorders>
              <w:top w:val="nil"/>
              <w:left w:val="nil"/>
              <w:bottom w:val="nil"/>
              <w:right w:val="nil"/>
            </w:tcBorders>
            <w:shd w:val="clear" w:color="000000" w:fill="DAE9F8"/>
            <w:noWrap/>
            <w:vAlign w:val="bottom"/>
            <w:hideMark/>
          </w:tcPr>
          <w:p w14:paraId="5177E828"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lastRenderedPageBreak/>
              <w:t> </w:t>
            </w:r>
          </w:p>
        </w:tc>
        <w:tc>
          <w:tcPr>
            <w:tcW w:w="0" w:type="auto"/>
            <w:tcBorders>
              <w:top w:val="nil"/>
              <w:left w:val="nil"/>
              <w:bottom w:val="nil"/>
              <w:right w:val="nil"/>
            </w:tcBorders>
            <w:shd w:val="clear" w:color="000000" w:fill="DAE9F8"/>
            <w:vAlign w:val="center"/>
            <w:hideMark/>
          </w:tcPr>
          <w:p w14:paraId="00122B8A" w14:textId="77777777" w:rsidR="00B25D61" w:rsidRPr="00B25D61" w:rsidRDefault="00B25D61" w:rsidP="00B25D61">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Cezhraničná spolupráca</w:t>
            </w:r>
          </w:p>
        </w:tc>
        <w:tc>
          <w:tcPr>
            <w:tcW w:w="0" w:type="auto"/>
            <w:tcBorders>
              <w:top w:val="nil"/>
              <w:left w:val="nil"/>
              <w:bottom w:val="single" w:sz="8" w:space="0" w:color="DCE6F1"/>
              <w:right w:val="nil"/>
            </w:tcBorders>
            <w:shd w:val="clear" w:color="000000" w:fill="DAE9F8"/>
            <w:noWrap/>
            <w:vAlign w:val="center"/>
            <w:hideMark/>
          </w:tcPr>
          <w:p w14:paraId="541CFAEA"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79 778</w:t>
            </w:r>
          </w:p>
        </w:tc>
        <w:tc>
          <w:tcPr>
            <w:tcW w:w="0" w:type="auto"/>
            <w:tcBorders>
              <w:top w:val="nil"/>
              <w:left w:val="nil"/>
              <w:bottom w:val="single" w:sz="8" w:space="0" w:color="DCE6F1"/>
              <w:right w:val="nil"/>
            </w:tcBorders>
            <w:shd w:val="clear" w:color="000000" w:fill="DAE9F8"/>
            <w:noWrap/>
            <w:vAlign w:val="center"/>
            <w:hideMark/>
          </w:tcPr>
          <w:p w14:paraId="76D2BC2C"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0D89D14F"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79 778</w:t>
            </w:r>
          </w:p>
        </w:tc>
        <w:tc>
          <w:tcPr>
            <w:tcW w:w="0" w:type="auto"/>
            <w:tcBorders>
              <w:top w:val="nil"/>
              <w:left w:val="nil"/>
              <w:bottom w:val="single" w:sz="8" w:space="0" w:color="DCE6F1"/>
              <w:right w:val="nil"/>
            </w:tcBorders>
            <w:shd w:val="clear" w:color="000000" w:fill="DAE9F8"/>
            <w:noWrap/>
            <w:vAlign w:val="center"/>
            <w:hideMark/>
          </w:tcPr>
          <w:p w14:paraId="7B2F77C5"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546 594</w:t>
            </w:r>
          </w:p>
        </w:tc>
        <w:tc>
          <w:tcPr>
            <w:tcW w:w="0" w:type="auto"/>
            <w:tcBorders>
              <w:top w:val="nil"/>
              <w:left w:val="nil"/>
              <w:bottom w:val="single" w:sz="8" w:space="0" w:color="DCE6F1"/>
              <w:right w:val="nil"/>
            </w:tcBorders>
            <w:shd w:val="clear" w:color="000000" w:fill="DAE9F8"/>
            <w:noWrap/>
            <w:vAlign w:val="center"/>
            <w:hideMark/>
          </w:tcPr>
          <w:p w14:paraId="6712C9FC"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3 577 977</w:t>
            </w:r>
          </w:p>
        </w:tc>
        <w:tc>
          <w:tcPr>
            <w:tcW w:w="0" w:type="auto"/>
            <w:tcBorders>
              <w:top w:val="nil"/>
              <w:left w:val="nil"/>
              <w:bottom w:val="single" w:sz="8" w:space="0" w:color="DCE6F1"/>
              <w:right w:val="nil"/>
            </w:tcBorders>
            <w:shd w:val="clear" w:color="000000" w:fill="DAE9F8"/>
            <w:noWrap/>
            <w:vAlign w:val="center"/>
            <w:hideMark/>
          </w:tcPr>
          <w:p w14:paraId="56DBA77B"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4 124 571</w:t>
            </w:r>
          </w:p>
        </w:tc>
      </w:tr>
      <w:tr w:rsidR="00B25D61" w:rsidRPr="00B25D61" w14:paraId="604F9D22" w14:textId="77777777" w:rsidTr="00B25D61">
        <w:trPr>
          <w:trHeight w:val="319"/>
        </w:trPr>
        <w:tc>
          <w:tcPr>
            <w:tcW w:w="0" w:type="auto"/>
            <w:tcBorders>
              <w:top w:val="nil"/>
              <w:left w:val="nil"/>
              <w:bottom w:val="nil"/>
              <w:right w:val="nil"/>
            </w:tcBorders>
            <w:shd w:val="clear" w:color="auto" w:fill="auto"/>
            <w:noWrap/>
            <w:vAlign w:val="bottom"/>
            <w:hideMark/>
          </w:tcPr>
          <w:p w14:paraId="10BB442C"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1 012</w:t>
            </w:r>
          </w:p>
        </w:tc>
        <w:tc>
          <w:tcPr>
            <w:tcW w:w="0" w:type="auto"/>
            <w:tcBorders>
              <w:top w:val="nil"/>
              <w:left w:val="nil"/>
              <w:bottom w:val="nil"/>
              <w:right w:val="nil"/>
            </w:tcBorders>
            <w:shd w:val="clear" w:color="auto" w:fill="auto"/>
            <w:vAlign w:val="center"/>
            <w:hideMark/>
          </w:tcPr>
          <w:p w14:paraId="7B330D52"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ParksFit4Future – Revitalizácia parku v Stupave</w:t>
            </w:r>
          </w:p>
        </w:tc>
        <w:tc>
          <w:tcPr>
            <w:tcW w:w="0" w:type="auto"/>
            <w:tcBorders>
              <w:top w:val="nil"/>
              <w:left w:val="nil"/>
              <w:bottom w:val="single" w:sz="8" w:space="0" w:color="DCE6F1"/>
              <w:right w:val="nil"/>
            </w:tcBorders>
            <w:shd w:val="clear" w:color="000000" w:fill="D9D9D9"/>
            <w:noWrap/>
            <w:vAlign w:val="center"/>
            <w:hideMark/>
          </w:tcPr>
          <w:p w14:paraId="7092EB9C"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79 778</w:t>
            </w:r>
          </w:p>
        </w:tc>
        <w:tc>
          <w:tcPr>
            <w:tcW w:w="0" w:type="auto"/>
            <w:tcBorders>
              <w:top w:val="nil"/>
              <w:left w:val="nil"/>
              <w:bottom w:val="single" w:sz="8" w:space="0" w:color="DCE6F1"/>
              <w:right w:val="nil"/>
            </w:tcBorders>
            <w:shd w:val="clear" w:color="000000" w:fill="D9D9D9"/>
            <w:noWrap/>
            <w:vAlign w:val="center"/>
            <w:hideMark/>
          </w:tcPr>
          <w:p w14:paraId="4F65C45F"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0E2B3E5E"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79 778</w:t>
            </w:r>
          </w:p>
        </w:tc>
        <w:tc>
          <w:tcPr>
            <w:tcW w:w="0" w:type="auto"/>
            <w:tcBorders>
              <w:top w:val="nil"/>
              <w:left w:val="nil"/>
              <w:bottom w:val="single" w:sz="8" w:space="0" w:color="DCE6F1"/>
              <w:right w:val="nil"/>
            </w:tcBorders>
            <w:shd w:val="clear" w:color="auto" w:fill="auto"/>
            <w:noWrap/>
            <w:vAlign w:val="center"/>
            <w:hideMark/>
          </w:tcPr>
          <w:p w14:paraId="2C04451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380 960</w:t>
            </w:r>
          </w:p>
        </w:tc>
        <w:tc>
          <w:tcPr>
            <w:tcW w:w="0" w:type="auto"/>
            <w:tcBorders>
              <w:top w:val="nil"/>
              <w:left w:val="nil"/>
              <w:bottom w:val="single" w:sz="8" w:space="0" w:color="DCE6F1"/>
              <w:right w:val="nil"/>
            </w:tcBorders>
            <w:shd w:val="clear" w:color="auto" w:fill="auto"/>
            <w:noWrap/>
            <w:vAlign w:val="center"/>
            <w:hideMark/>
          </w:tcPr>
          <w:p w14:paraId="3ADA3108"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1 136 550</w:t>
            </w:r>
          </w:p>
        </w:tc>
        <w:tc>
          <w:tcPr>
            <w:tcW w:w="0" w:type="auto"/>
            <w:tcBorders>
              <w:top w:val="nil"/>
              <w:left w:val="nil"/>
              <w:bottom w:val="single" w:sz="8" w:space="0" w:color="DCE6F1"/>
              <w:right w:val="nil"/>
            </w:tcBorders>
            <w:shd w:val="clear" w:color="auto" w:fill="auto"/>
            <w:noWrap/>
            <w:vAlign w:val="center"/>
            <w:hideMark/>
          </w:tcPr>
          <w:p w14:paraId="5F97DEEA"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1 517 510</w:t>
            </w:r>
          </w:p>
        </w:tc>
      </w:tr>
      <w:tr w:rsidR="00B25D61" w:rsidRPr="00B25D61" w14:paraId="18DAE49A" w14:textId="77777777" w:rsidTr="00B25D61">
        <w:trPr>
          <w:trHeight w:val="319"/>
        </w:trPr>
        <w:tc>
          <w:tcPr>
            <w:tcW w:w="0" w:type="auto"/>
            <w:tcBorders>
              <w:top w:val="nil"/>
              <w:left w:val="nil"/>
              <w:bottom w:val="nil"/>
              <w:right w:val="nil"/>
            </w:tcBorders>
            <w:shd w:val="clear" w:color="auto" w:fill="auto"/>
            <w:noWrap/>
            <w:vAlign w:val="bottom"/>
            <w:hideMark/>
          </w:tcPr>
          <w:p w14:paraId="694C114B"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1 013</w:t>
            </w:r>
          </w:p>
        </w:tc>
        <w:tc>
          <w:tcPr>
            <w:tcW w:w="0" w:type="auto"/>
            <w:tcBorders>
              <w:top w:val="nil"/>
              <w:left w:val="nil"/>
              <w:bottom w:val="nil"/>
              <w:right w:val="nil"/>
            </w:tcBorders>
            <w:shd w:val="clear" w:color="auto" w:fill="auto"/>
            <w:vAlign w:val="center"/>
            <w:hideMark/>
          </w:tcPr>
          <w:p w14:paraId="26405253"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proofErr w:type="spellStart"/>
            <w:r w:rsidRPr="00B25D61">
              <w:rPr>
                <w:rFonts w:ascii="Aptos Narrow" w:eastAsia="Times New Roman" w:hAnsi="Aptos Narrow" w:cs="Times New Roman"/>
                <w:color w:val="000000"/>
                <w:sz w:val="18"/>
                <w:szCs w:val="18"/>
                <w:lang w:eastAsia="sk-SK"/>
              </w:rPr>
              <w:t>RegioCap</w:t>
            </w:r>
            <w:proofErr w:type="spellEnd"/>
            <w:r w:rsidRPr="00B25D61">
              <w:rPr>
                <w:rFonts w:ascii="Aptos Narrow" w:eastAsia="Times New Roman" w:hAnsi="Aptos Narrow" w:cs="Times New Roman"/>
                <w:color w:val="000000"/>
                <w:sz w:val="18"/>
                <w:szCs w:val="18"/>
                <w:lang w:eastAsia="sk-SK"/>
              </w:rPr>
              <w:t xml:space="preserve"> SK-AT</w:t>
            </w:r>
          </w:p>
        </w:tc>
        <w:tc>
          <w:tcPr>
            <w:tcW w:w="0" w:type="auto"/>
            <w:tcBorders>
              <w:top w:val="nil"/>
              <w:left w:val="nil"/>
              <w:bottom w:val="single" w:sz="8" w:space="0" w:color="DCE6F1"/>
              <w:right w:val="nil"/>
            </w:tcBorders>
            <w:shd w:val="clear" w:color="000000" w:fill="D9D9D9"/>
            <w:noWrap/>
            <w:vAlign w:val="center"/>
            <w:hideMark/>
          </w:tcPr>
          <w:p w14:paraId="0CA2F918"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33AD75F"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365468E"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F5096C5"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35 599</w:t>
            </w:r>
          </w:p>
        </w:tc>
        <w:tc>
          <w:tcPr>
            <w:tcW w:w="0" w:type="auto"/>
            <w:tcBorders>
              <w:top w:val="nil"/>
              <w:left w:val="nil"/>
              <w:bottom w:val="single" w:sz="8" w:space="0" w:color="DCE6F1"/>
              <w:right w:val="nil"/>
            </w:tcBorders>
            <w:shd w:val="clear" w:color="auto" w:fill="auto"/>
            <w:noWrap/>
            <w:vAlign w:val="center"/>
            <w:hideMark/>
          </w:tcPr>
          <w:p w14:paraId="11B4CD99"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60402BBD"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35 599</w:t>
            </w:r>
          </w:p>
        </w:tc>
      </w:tr>
      <w:tr w:rsidR="00B25D61" w:rsidRPr="00B25D61" w14:paraId="04E84571" w14:textId="77777777" w:rsidTr="00B25D61">
        <w:trPr>
          <w:trHeight w:val="319"/>
        </w:trPr>
        <w:tc>
          <w:tcPr>
            <w:tcW w:w="0" w:type="auto"/>
            <w:tcBorders>
              <w:top w:val="nil"/>
              <w:left w:val="nil"/>
              <w:bottom w:val="nil"/>
              <w:right w:val="nil"/>
            </w:tcBorders>
            <w:shd w:val="clear" w:color="auto" w:fill="auto"/>
            <w:noWrap/>
            <w:vAlign w:val="bottom"/>
            <w:hideMark/>
          </w:tcPr>
          <w:p w14:paraId="2080B3DA"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PZ03</w:t>
            </w:r>
          </w:p>
        </w:tc>
        <w:tc>
          <w:tcPr>
            <w:tcW w:w="0" w:type="auto"/>
            <w:tcBorders>
              <w:top w:val="nil"/>
              <w:left w:val="nil"/>
              <w:bottom w:val="nil"/>
              <w:right w:val="nil"/>
            </w:tcBorders>
            <w:shd w:val="clear" w:color="auto" w:fill="auto"/>
            <w:vAlign w:val="center"/>
            <w:hideMark/>
          </w:tcPr>
          <w:p w14:paraId="048065C0"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Danube Bike and </w:t>
            </w:r>
            <w:proofErr w:type="spellStart"/>
            <w:r w:rsidRPr="00B25D61">
              <w:rPr>
                <w:rFonts w:ascii="Aptos Narrow" w:eastAsia="Times New Roman" w:hAnsi="Aptos Narrow" w:cs="Times New Roman"/>
                <w:color w:val="000000"/>
                <w:sz w:val="18"/>
                <w:szCs w:val="18"/>
                <w:lang w:eastAsia="sk-SK"/>
              </w:rPr>
              <w:t>Boat</w:t>
            </w:r>
            <w:proofErr w:type="spellEnd"/>
            <w:r w:rsidRPr="00B25D61">
              <w:rPr>
                <w:rFonts w:ascii="Aptos Narrow" w:eastAsia="Times New Roman" w:hAnsi="Aptos Narrow" w:cs="Times New Roman"/>
                <w:color w:val="000000"/>
                <w:sz w:val="18"/>
                <w:szCs w:val="18"/>
                <w:lang w:eastAsia="sk-SK"/>
              </w:rPr>
              <w:t xml:space="preserve"> II</w:t>
            </w:r>
          </w:p>
        </w:tc>
        <w:tc>
          <w:tcPr>
            <w:tcW w:w="0" w:type="auto"/>
            <w:tcBorders>
              <w:top w:val="nil"/>
              <w:left w:val="nil"/>
              <w:bottom w:val="single" w:sz="8" w:space="0" w:color="DCE6F1"/>
              <w:right w:val="nil"/>
            </w:tcBorders>
            <w:shd w:val="clear" w:color="000000" w:fill="D9D9D9"/>
            <w:noWrap/>
            <w:vAlign w:val="center"/>
            <w:hideMark/>
          </w:tcPr>
          <w:p w14:paraId="4CCC2907"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F4EC6D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C2DE82A"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28305B7E"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6232A825"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10 000</w:t>
            </w:r>
          </w:p>
        </w:tc>
        <w:tc>
          <w:tcPr>
            <w:tcW w:w="0" w:type="auto"/>
            <w:tcBorders>
              <w:top w:val="nil"/>
              <w:left w:val="nil"/>
              <w:bottom w:val="single" w:sz="8" w:space="0" w:color="DCE6F1"/>
              <w:right w:val="nil"/>
            </w:tcBorders>
            <w:shd w:val="clear" w:color="auto" w:fill="auto"/>
            <w:noWrap/>
            <w:vAlign w:val="center"/>
            <w:hideMark/>
          </w:tcPr>
          <w:p w14:paraId="4C697632"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10 000</w:t>
            </w:r>
          </w:p>
        </w:tc>
      </w:tr>
      <w:tr w:rsidR="00B25D61" w:rsidRPr="00B25D61" w14:paraId="5A3AD52C" w14:textId="77777777" w:rsidTr="00B25D61">
        <w:trPr>
          <w:trHeight w:val="319"/>
        </w:trPr>
        <w:tc>
          <w:tcPr>
            <w:tcW w:w="0" w:type="auto"/>
            <w:tcBorders>
              <w:top w:val="nil"/>
              <w:left w:val="nil"/>
              <w:bottom w:val="nil"/>
              <w:right w:val="nil"/>
            </w:tcBorders>
            <w:shd w:val="clear" w:color="auto" w:fill="auto"/>
            <w:noWrap/>
            <w:vAlign w:val="bottom"/>
            <w:hideMark/>
          </w:tcPr>
          <w:p w14:paraId="5DBCBB64"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1 025</w:t>
            </w:r>
          </w:p>
        </w:tc>
        <w:tc>
          <w:tcPr>
            <w:tcW w:w="0" w:type="auto"/>
            <w:tcBorders>
              <w:top w:val="nil"/>
              <w:left w:val="nil"/>
              <w:bottom w:val="nil"/>
              <w:right w:val="nil"/>
            </w:tcBorders>
            <w:shd w:val="clear" w:color="auto" w:fill="auto"/>
            <w:vAlign w:val="center"/>
            <w:hideMark/>
          </w:tcPr>
          <w:p w14:paraId="2C6DE623"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GREEN CITIES - Revitalizácia parku v </w:t>
            </w:r>
            <w:proofErr w:type="spellStart"/>
            <w:r w:rsidRPr="00B25D61">
              <w:rPr>
                <w:rFonts w:ascii="Aptos Narrow" w:eastAsia="Times New Roman" w:hAnsi="Aptos Narrow" w:cs="Times New Roman"/>
                <w:color w:val="000000"/>
                <w:sz w:val="18"/>
                <w:szCs w:val="18"/>
                <w:lang w:eastAsia="sk-SK"/>
              </w:rPr>
              <w:t>Malinove</w:t>
            </w:r>
            <w:proofErr w:type="spellEnd"/>
          </w:p>
        </w:tc>
        <w:tc>
          <w:tcPr>
            <w:tcW w:w="0" w:type="auto"/>
            <w:tcBorders>
              <w:top w:val="nil"/>
              <w:left w:val="nil"/>
              <w:bottom w:val="single" w:sz="8" w:space="0" w:color="DCE6F1"/>
              <w:right w:val="nil"/>
            </w:tcBorders>
            <w:shd w:val="clear" w:color="000000" w:fill="D9D9D9"/>
            <w:noWrap/>
            <w:vAlign w:val="center"/>
            <w:hideMark/>
          </w:tcPr>
          <w:p w14:paraId="0F229B65"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3DB01A87"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7F686A9"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798BE2A"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72 715</w:t>
            </w:r>
          </w:p>
        </w:tc>
        <w:tc>
          <w:tcPr>
            <w:tcW w:w="0" w:type="auto"/>
            <w:tcBorders>
              <w:top w:val="nil"/>
              <w:left w:val="nil"/>
              <w:bottom w:val="single" w:sz="8" w:space="0" w:color="DCE6F1"/>
              <w:right w:val="nil"/>
            </w:tcBorders>
            <w:shd w:val="clear" w:color="auto" w:fill="auto"/>
            <w:noWrap/>
            <w:vAlign w:val="center"/>
            <w:hideMark/>
          </w:tcPr>
          <w:p w14:paraId="79C410A5"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2 431 427</w:t>
            </w:r>
          </w:p>
        </w:tc>
        <w:tc>
          <w:tcPr>
            <w:tcW w:w="0" w:type="auto"/>
            <w:tcBorders>
              <w:top w:val="nil"/>
              <w:left w:val="nil"/>
              <w:bottom w:val="single" w:sz="8" w:space="0" w:color="DCE6F1"/>
              <w:right w:val="nil"/>
            </w:tcBorders>
            <w:shd w:val="clear" w:color="auto" w:fill="auto"/>
            <w:noWrap/>
            <w:vAlign w:val="center"/>
            <w:hideMark/>
          </w:tcPr>
          <w:p w14:paraId="71BF7D67"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2 504 142</w:t>
            </w:r>
          </w:p>
        </w:tc>
      </w:tr>
      <w:tr w:rsidR="00B25D61" w:rsidRPr="00B25D61" w14:paraId="016BAA3F" w14:textId="77777777" w:rsidTr="00B25D61">
        <w:trPr>
          <w:trHeight w:val="319"/>
        </w:trPr>
        <w:tc>
          <w:tcPr>
            <w:tcW w:w="0" w:type="auto"/>
            <w:tcBorders>
              <w:top w:val="nil"/>
              <w:left w:val="nil"/>
              <w:bottom w:val="nil"/>
              <w:right w:val="nil"/>
            </w:tcBorders>
            <w:shd w:val="clear" w:color="auto" w:fill="auto"/>
            <w:noWrap/>
            <w:vAlign w:val="bottom"/>
            <w:hideMark/>
          </w:tcPr>
          <w:p w14:paraId="1E10E376"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PZ045</w:t>
            </w:r>
          </w:p>
        </w:tc>
        <w:tc>
          <w:tcPr>
            <w:tcW w:w="0" w:type="auto"/>
            <w:tcBorders>
              <w:top w:val="nil"/>
              <w:left w:val="nil"/>
              <w:bottom w:val="nil"/>
              <w:right w:val="nil"/>
            </w:tcBorders>
            <w:shd w:val="clear" w:color="auto" w:fill="auto"/>
            <w:vAlign w:val="center"/>
            <w:hideMark/>
          </w:tcPr>
          <w:p w14:paraId="08F2DD9E"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Royal </w:t>
            </w:r>
            <w:proofErr w:type="spellStart"/>
            <w:r w:rsidRPr="00B25D61">
              <w:rPr>
                <w:rFonts w:ascii="Aptos Narrow" w:eastAsia="Times New Roman" w:hAnsi="Aptos Narrow" w:cs="Times New Roman"/>
                <w:color w:val="000000"/>
                <w:sz w:val="18"/>
                <w:szCs w:val="18"/>
                <w:lang w:eastAsia="sk-SK"/>
              </w:rPr>
              <w:t>Traces</w:t>
            </w:r>
            <w:proofErr w:type="spellEnd"/>
          </w:p>
        </w:tc>
        <w:tc>
          <w:tcPr>
            <w:tcW w:w="0" w:type="auto"/>
            <w:tcBorders>
              <w:top w:val="nil"/>
              <w:left w:val="nil"/>
              <w:bottom w:val="single" w:sz="8" w:space="0" w:color="DCE6F1"/>
              <w:right w:val="nil"/>
            </w:tcBorders>
            <w:shd w:val="clear" w:color="000000" w:fill="D9D9D9"/>
            <w:noWrap/>
            <w:vAlign w:val="center"/>
            <w:hideMark/>
          </w:tcPr>
          <w:p w14:paraId="682CAF44"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54CBEBD"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3C3E15E1"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4DA1B93"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57 320</w:t>
            </w:r>
          </w:p>
        </w:tc>
        <w:tc>
          <w:tcPr>
            <w:tcW w:w="0" w:type="auto"/>
            <w:tcBorders>
              <w:top w:val="nil"/>
              <w:left w:val="nil"/>
              <w:bottom w:val="single" w:sz="8" w:space="0" w:color="DCE6F1"/>
              <w:right w:val="nil"/>
            </w:tcBorders>
            <w:shd w:val="clear" w:color="auto" w:fill="auto"/>
            <w:noWrap/>
            <w:vAlign w:val="center"/>
            <w:hideMark/>
          </w:tcPr>
          <w:p w14:paraId="2E60B124"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E788AA5"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57 320</w:t>
            </w:r>
          </w:p>
        </w:tc>
      </w:tr>
      <w:tr w:rsidR="00B25D61" w:rsidRPr="00B25D61" w14:paraId="5E7C87CB" w14:textId="77777777" w:rsidTr="00B25D61">
        <w:trPr>
          <w:trHeight w:val="319"/>
        </w:trPr>
        <w:tc>
          <w:tcPr>
            <w:tcW w:w="0" w:type="auto"/>
            <w:tcBorders>
              <w:top w:val="nil"/>
              <w:left w:val="nil"/>
              <w:bottom w:val="nil"/>
              <w:right w:val="nil"/>
            </w:tcBorders>
            <w:shd w:val="clear" w:color="000000" w:fill="DAE9F8"/>
            <w:noWrap/>
            <w:vAlign w:val="bottom"/>
            <w:hideMark/>
          </w:tcPr>
          <w:p w14:paraId="1A6EDF3F"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w:t>
            </w:r>
          </w:p>
        </w:tc>
        <w:tc>
          <w:tcPr>
            <w:tcW w:w="0" w:type="auto"/>
            <w:tcBorders>
              <w:top w:val="nil"/>
              <w:left w:val="nil"/>
              <w:bottom w:val="nil"/>
              <w:right w:val="nil"/>
            </w:tcBorders>
            <w:shd w:val="clear" w:color="000000" w:fill="DAE9F8"/>
            <w:vAlign w:val="center"/>
            <w:hideMark/>
          </w:tcPr>
          <w:p w14:paraId="2A773BBF" w14:textId="77777777" w:rsidR="00B25D61" w:rsidRPr="00B25D61" w:rsidRDefault="00B25D61" w:rsidP="00B25D61">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Životné prostredie</w:t>
            </w:r>
          </w:p>
        </w:tc>
        <w:tc>
          <w:tcPr>
            <w:tcW w:w="0" w:type="auto"/>
            <w:tcBorders>
              <w:top w:val="nil"/>
              <w:left w:val="nil"/>
              <w:bottom w:val="single" w:sz="8" w:space="0" w:color="DCE6F1"/>
              <w:right w:val="nil"/>
            </w:tcBorders>
            <w:shd w:val="clear" w:color="000000" w:fill="DAE9F8"/>
            <w:noWrap/>
            <w:vAlign w:val="center"/>
            <w:hideMark/>
          </w:tcPr>
          <w:p w14:paraId="3B3BD4C8"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140 562</w:t>
            </w:r>
          </w:p>
        </w:tc>
        <w:tc>
          <w:tcPr>
            <w:tcW w:w="0" w:type="auto"/>
            <w:tcBorders>
              <w:top w:val="nil"/>
              <w:left w:val="nil"/>
              <w:bottom w:val="single" w:sz="8" w:space="0" w:color="DCE6F1"/>
              <w:right w:val="nil"/>
            </w:tcBorders>
            <w:shd w:val="clear" w:color="000000" w:fill="DAE9F8"/>
            <w:noWrap/>
            <w:vAlign w:val="center"/>
            <w:hideMark/>
          </w:tcPr>
          <w:p w14:paraId="015EDC4E"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2F365DD3"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140 562</w:t>
            </w:r>
          </w:p>
        </w:tc>
        <w:tc>
          <w:tcPr>
            <w:tcW w:w="0" w:type="auto"/>
            <w:tcBorders>
              <w:top w:val="nil"/>
              <w:left w:val="nil"/>
              <w:bottom w:val="single" w:sz="8" w:space="0" w:color="DCE6F1"/>
              <w:right w:val="nil"/>
            </w:tcBorders>
            <w:shd w:val="clear" w:color="000000" w:fill="DAE9F8"/>
            <w:noWrap/>
            <w:vAlign w:val="center"/>
            <w:hideMark/>
          </w:tcPr>
          <w:p w14:paraId="53BA380D"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156 180</w:t>
            </w:r>
          </w:p>
        </w:tc>
        <w:tc>
          <w:tcPr>
            <w:tcW w:w="0" w:type="auto"/>
            <w:tcBorders>
              <w:top w:val="nil"/>
              <w:left w:val="nil"/>
              <w:bottom w:val="single" w:sz="8" w:space="0" w:color="DCE6F1"/>
              <w:right w:val="nil"/>
            </w:tcBorders>
            <w:shd w:val="clear" w:color="000000" w:fill="DAE9F8"/>
            <w:noWrap/>
            <w:vAlign w:val="center"/>
            <w:hideMark/>
          </w:tcPr>
          <w:p w14:paraId="2A052C3E"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237F1CB1"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156 180</w:t>
            </w:r>
          </w:p>
        </w:tc>
      </w:tr>
      <w:tr w:rsidR="00B25D61" w:rsidRPr="00B25D61" w14:paraId="4F84A60C" w14:textId="77777777" w:rsidTr="00B25D61">
        <w:trPr>
          <w:trHeight w:val="319"/>
        </w:trPr>
        <w:tc>
          <w:tcPr>
            <w:tcW w:w="0" w:type="auto"/>
            <w:tcBorders>
              <w:top w:val="nil"/>
              <w:left w:val="nil"/>
              <w:bottom w:val="nil"/>
              <w:right w:val="nil"/>
            </w:tcBorders>
            <w:shd w:val="clear" w:color="auto" w:fill="auto"/>
            <w:noWrap/>
            <w:vAlign w:val="bottom"/>
            <w:hideMark/>
          </w:tcPr>
          <w:p w14:paraId="6A725A4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1 010</w:t>
            </w:r>
          </w:p>
        </w:tc>
        <w:tc>
          <w:tcPr>
            <w:tcW w:w="0" w:type="auto"/>
            <w:tcBorders>
              <w:top w:val="nil"/>
              <w:left w:val="nil"/>
              <w:bottom w:val="nil"/>
              <w:right w:val="nil"/>
            </w:tcBorders>
            <w:shd w:val="clear" w:color="auto" w:fill="auto"/>
            <w:vAlign w:val="center"/>
            <w:hideMark/>
          </w:tcPr>
          <w:p w14:paraId="3FFD2B7B"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LIFE IP (OŠ 1010)  – Zlepšenie kvality ovzdušia</w:t>
            </w:r>
          </w:p>
        </w:tc>
        <w:tc>
          <w:tcPr>
            <w:tcW w:w="0" w:type="auto"/>
            <w:tcBorders>
              <w:top w:val="nil"/>
              <w:left w:val="nil"/>
              <w:bottom w:val="single" w:sz="8" w:space="0" w:color="DCE6F1"/>
              <w:right w:val="nil"/>
            </w:tcBorders>
            <w:shd w:val="clear" w:color="000000" w:fill="D9D9D9"/>
            <w:noWrap/>
            <w:vAlign w:val="center"/>
            <w:hideMark/>
          </w:tcPr>
          <w:p w14:paraId="6E79EC8A"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140 562</w:t>
            </w:r>
          </w:p>
        </w:tc>
        <w:tc>
          <w:tcPr>
            <w:tcW w:w="0" w:type="auto"/>
            <w:tcBorders>
              <w:top w:val="nil"/>
              <w:left w:val="nil"/>
              <w:bottom w:val="single" w:sz="8" w:space="0" w:color="DCE6F1"/>
              <w:right w:val="nil"/>
            </w:tcBorders>
            <w:shd w:val="clear" w:color="000000" w:fill="D9D9D9"/>
            <w:noWrap/>
            <w:vAlign w:val="center"/>
            <w:hideMark/>
          </w:tcPr>
          <w:p w14:paraId="567468B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AE0F9D5"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140 562</w:t>
            </w:r>
          </w:p>
        </w:tc>
        <w:tc>
          <w:tcPr>
            <w:tcW w:w="0" w:type="auto"/>
            <w:tcBorders>
              <w:top w:val="nil"/>
              <w:left w:val="nil"/>
              <w:bottom w:val="single" w:sz="8" w:space="0" w:color="DCE6F1"/>
              <w:right w:val="nil"/>
            </w:tcBorders>
            <w:shd w:val="clear" w:color="auto" w:fill="auto"/>
            <w:noWrap/>
            <w:vAlign w:val="center"/>
            <w:hideMark/>
          </w:tcPr>
          <w:p w14:paraId="33DD4EAD"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156 180</w:t>
            </w:r>
          </w:p>
        </w:tc>
        <w:tc>
          <w:tcPr>
            <w:tcW w:w="0" w:type="auto"/>
            <w:tcBorders>
              <w:top w:val="nil"/>
              <w:left w:val="nil"/>
              <w:bottom w:val="single" w:sz="8" w:space="0" w:color="DCE6F1"/>
              <w:right w:val="nil"/>
            </w:tcBorders>
            <w:shd w:val="clear" w:color="auto" w:fill="auto"/>
            <w:noWrap/>
            <w:vAlign w:val="center"/>
            <w:hideMark/>
          </w:tcPr>
          <w:p w14:paraId="4C2004B6"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036186FF"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156 180</w:t>
            </w:r>
          </w:p>
        </w:tc>
      </w:tr>
      <w:tr w:rsidR="00B25D61" w:rsidRPr="00B25D61" w14:paraId="5DDF6343" w14:textId="77777777" w:rsidTr="00B25D61">
        <w:trPr>
          <w:trHeight w:val="319"/>
        </w:trPr>
        <w:tc>
          <w:tcPr>
            <w:tcW w:w="0" w:type="auto"/>
            <w:tcBorders>
              <w:top w:val="nil"/>
              <w:left w:val="nil"/>
              <w:bottom w:val="nil"/>
              <w:right w:val="nil"/>
            </w:tcBorders>
            <w:shd w:val="clear" w:color="000000" w:fill="DAE9F8"/>
            <w:noWrap/>
            <w:vAlign w:val="bottom"/>
            <w:hideMark/>
          </w:tcPr>
          <w:p w14:paraId="2EE30A27"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w:t>
            </w:r>
          </w:p>
        </w:tc>
        <w:tc>
          <w:tcPr>
            <w:tcW w:w="0" w:type="auto"/>
            <w:tcBorders>
              <w:top w:val="nil"/>
              <w:left w:val="nil"/>
              <w:bottom w:val="nil"/>
              <w:right w:val="nil"/>
            </w:tcBorders>
            <w:shd w:val="clear" w:color="000000" w:fill="DAE9F8"/>
            <w:vAlign w:val="center"/>
            <w:hideMark/>
          </w:tcPr>
          <w:p w14:paraId="5709544E" w14:textId="77777777" w:rsidR="00B25D61" w:rsidRPr="00B25D61" w:rsidRDefault="00B25D61" w:rsidP="00B25D61">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Sociálne služby</w:t>
            </w:r>
          </w:p>
        </w:tc>
        <w:tc>
          <w:tcPr>
            <w:tcW w:w="0" w:type="auto"/>
            <w:tcBorders>
              <w:top w:val="nil"/>
              <w:left w:val="nil"/>
              <w:bottom w:val="single" w:sz="8" w:space="0" w:color="DCE6F1"/>
              <w:right w:val="nil"/>
            </w:tcBorders>
            <w:shd w:val="clear" w:color="000000" w:fill="DAE9F8"/>
            <w:noWrap/>
            <w:vAlign w:val="center"/>
            <w:hideMark/>
          </w:tcPr>
          <w:p w14:paraId="1BF421E2"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7FC4A401"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127 500</w:t>
            </w:r>
          </w:p>
        </w:tc>
        <w:tc>
          <w:tcPr>
            <w:tcW w:w="0" w:type="auto"/>
            <w:tcBorders>
              <w:top w:val="nil"/>
              <w:left w:val="nil"/>
              <w:bottom w:val="single" w:sz="8" w:space="0" w:color="DCE6F1"/>
              <w:right w:val="nil"/>
            </w:tcBorders>
            <w:shd w:val="clear" w:color="000000" w:fill="DAE9F8"/>
            <w:noWrap/>
            <w:vAlign w:val="center"/>
            <w:hideMark/>
          </w:tcPr>
          <w:p w14:paraId="35D4B074"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127 500</w:t>
            </w:r>
          </w:p>
        </w:tc>
        <w:tc>
          <w:tcPr>
            <w:tcW w:w="0" w:type="auto"/>
            <w:tcBorders>
              <w:top w:val="nil"/>
              <w:left w:val="nil"/>
              <w:bottom w:val="single" w:sz="8" w:space="0" w:color="DCE6F1"/>
              <w:right w:val="nil"/>
            </w:tcBorders>
            <w:shd w:val="clear" w:color="000000" w:fill="DAE9F8"/>
            <w:noWrap/>
            <w:vAlign w:val="center"/>
            <w:hideMark/>
          </w:tcPr>
          <w:p w14:paraId="3B820FCF"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07A53E7C"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185 550</w:t>
            </w:r>
          </w:p>
        </w:tc>
        <w:tc>
          <w:tcPr>
            <w:tcW w:w="0" w:type="auto"/>
            <w:tcBorders>
              <w:top w:val="nil"/>
              <w:left w:val="nil"/>
              <w:bottom w:val="single" w:sz="8" w:space="0" w:color="DCE6F1"/>
              <w:right w:val="nil"/>
            </w:tcBorders>
            <w:shd w:val="clear" w:color="000000" w:fill="DAE9F8"/>
            <w:noWrap/>
            <w:vAlign w:val="center"/>
            <w:hideMark/>
          </w:tcPr>
          <w:p w14:paraId="695ADD0E"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185 550</w:t>
            </w:r>
          </w:p>
        </w:tc>
      </w:tr>
      <w:tr w:rsidR="00B25D61" w:rsidRPr="00B25D61" w14:paraId="6364A4FD" w14:textId="77777777" w:rsidTr="00B25D61">
        <w:trPr>
          <w:trHeight w:val="319"/>
        </w:trPr>
        <w:tc>
          <w:tcPr>
            <w:tcW w:w="0" w:type="auto"/>
            <w:tcBorders>
              <w:top w:val="nil"/>
              <w:left w:val="nil"/>
              <w:bottom w:val="nil"/>
              <w:right w:val="nil"/>
            </w:tcBorders>
            <w:shd w:val="clear" w:color="auto" w:fill="auto"/>
            <w:noWrap/>
            <w:vAlign w:val="bottom"/>
            <w:hideMark/>
          </w:tcPr>
          <w:p w14:paraId="5DEFE0DF"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PZ05</w:t>
            </w:r>
          </w:p>
        </w:tc>
        <w:tc>
          <w:tcPr>
            <w:tcW w:w="0" w:type="auto"/>
            <w:tcBorders>
              <w:top w:val="nil"/>
              <w:left w:val="nil"/>
              <w:bottom w:val="nil"/>
              <w:right w:val="nil"/>
            </w:tcBorders>
            <w:shd w:val="clear" w:color="auto" w:fill="auto"/>
            <w:vAlign w:val="center"/>
            <w:hideMark/>
          </w:tcPr>
          <w:p w14:paraId="5692BB8E"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Autistické centrum; </w:t>
            </w:r>
            <w:proofErr w:type="spellStart"/>
            <w:r w:rsidRPr="00B25D61">
              <w:rPr>
                <w:rFonts w:ascii="Aptos Narrow" w:eastAsia="Times New Roman" w:hAnsi="Aptos Narrow" w:cs="Times New Roman"/>
                <w:color w:val="000000"/>
                <w:sz w:val="18"/>
                <w:szCs w:val="18"/>
                <w:lang w:eastAsia="sk-SK"/>
              </w:rPr>
              <w:t>Znievska</w:t>
            </w:r>
            <w:proofErr w:type="spellEnd"/>
            <w:r w:rsidRPr="00B25D61">
              <w:rPr>
                <w:rFonts w:ascii="Aptos Narrow" w:eastAsia="Times New Roman" w:hAnsi="Aptos Narrow" w:cs="Times New Roman"/>
                <w:color w:val="000000"/>
                <w:sz w:val="18"/>
                <w:szCs w:val="18"/>
                <w:lang w:eastAsia="sk-SK"/>
              </w:rPr>
              <w:t xml:space="preserve"> 4</w:t>
            </w:r>
          </w:p>
        </w:tc>
        <w:tc>
          <w:tcPr>
            <w:tcW w:w="0" w:type="auto"/>
            <w:tcBorders>
              <w:top w:val="nil"/>
              <w:left w:val="nil"/>
              <w:bottom w:val="single" w:sz="8" w:space="0" w:color="DCE6F1"/>
              <w:right w:val="nil"/>
            </w:tcBorders>
            <w:shd w:val="clear" w:color="000000" w:fill="D9D9D9"/>
            <w:noWrap/>
            <w:vAlign w:val="center"/>
            <w:hideMark/>
          </w:tcPr>
          <w:p w14:paraId="563209AE"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58AA42E8"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6D5B14D"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EFF837B"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B63DB7A"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50E7B056"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r>
      <w:tr w:rsidR="00B25D61" w:rsidRPr="00B25D61" w14:paraId="48F80C96" w14:textId="77777777" w:rsidTr="00B25D61">
        <w:trPr>
          <w:trHeight w:val="319"/>
        </w:trPr>
        <w:tc>
          <w:tcPr>
            <w:tcW w:w="0" w:type="auto"/>
            <w:tcBorders>
              <w:top w:val="nil"/>
              <w:left w:val="nil"/>
              <w:bottom w:val="nil"/>
              <w:right w:val="nil"/>
            </w:tcBorders>
            <w:shd w:val="clear" w:color="auto" w:fill="auto"/>
            <w:noWrap/>
            <w:vAlign w:val="bottom"/>
            <w:hideMark/>
          </w:tcPr>
          <w:p w14:paraId="271A5E45"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PZ057</w:t>
            </w:r>
          </w:p>
        </w:tc>
        <w:tc>
          <w:tcPr>
            <w:tcW w:w="0" w:type="auto"/>
            <w:tcBorders>
              <w:top w:val="nil"/>
              <w:left w:val="nil"/>
              <w:bottom w:val="nil"/>
              <w:right w:val="nil"/>
            </w:tcBorders>
            <w:shd w:val="clear" w:color="auto" w:fill="auto"/>
            <w:vAlign w:val="center"/>
            <w:hideMark/>
          </w:tcPr>
          <w:p w14:paraId="399F472C"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Hontianska, DSS Karola </w:t>
            </w:r>
            <w:proofErr w:type="spellStart"/>
            <w:r w:rsidRPr="00B25D61">
              <w:rPr>
                <w:rFonts w:ascii="Aptos Narrow" w:eastAsia="Times New Roman" w:hAnsi="Aptos Narrow" w:cs="Times New Roman"/>
                <w:color w:val="000000"/>
                <w:sz w:val="18"/>
                <w:szCs w:val="18"/>
                <w:lang w:eastAsia="sk-SK"/>
              </w:rPr>
              <w:t>Matulaya,Bratislava</w:t>
            </w:r>
            <w:proofErr w:type="spellEnd"/>
            <w:r w:rsidRPr="00B25D61">
              <w:rPr>
                <w:rFonts w:ascii="Aptos Narrow" w:eastAsia="Times New Roman" w:hAnsi="Aptos Narrow" w:cs="Times New Roman"/>
                <w:color w:val="000000"/>
                <w:sz w:val="18"/>
                <w:szCs w:val="18"/>
                <w:lang w:eastAsia="sk-SK"/>
              </w:rPr>
              <w:t xml:space="preserve"> </w:t>
            </w:r>
          </w:p>
        </w:tc>
        <w:tc>
          <w:tcPr>
            <w:tcW w:w="0" w:type="auto"/>
            <w:tcBorders>
              <w:top w:val="nil"/>
              <w:left w:val="nil"/>
              <w:bottom w:val="single" w:sz="8" w:space="0" w:color="DCE6F1"/>
              <w:right w:val="nil"/>
            </w:tcBorders>
            <w:shd w:val="clear" w:color="000000" w:fill="D9D9D9"/>
            <w:noWrap/>
            <w:vAlign w:val="center"/>
            <w:hideMark/>
          </w:tcPr>
          <w:p w14:paraId="2E7A2F1D"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06E33FE"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127 500</w:t>
            </w:r>
          </w:p>
        </w:tc>
        <w:tc>
          <w:tcPr>
            <w:tcW w:w="0" w:type="auto"/>
            <w:tcBorders>
              <w:top w:val="nil"/>
              <w:left w:val="nil"/>
              <w:bottom w:val="single" w:sz="8" w:space="0" w:color="DCE6F1"/>
              <w:right w:val="nil"/>
            </w:tcBorders>
            <w:shd w:val="clear" w:color="000000" w:fill="D9D9D9"/>
            <w:noWrap/>
            <w:vAlign w:val="center"/>
            <w:hideMark/>
          </w:tcPr>
          <w:p w14:paraId="3ECD638D"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127 500</w:t>
            </w:r>
          </w:p>
        </w:tc>
        <w:tc>
          <w:tcPr>
            <w:tcW w:w="0" w:type="auto"/>
            <w:tcBorders>
              <w:top w:val="nil"/>
              <w:left w:val="nil"/>
              <w:bottom w:val="single" w:sz="8" w:space="0" w:color="DCE6F1"/>
              <w:right w:val="nil"/>
            </w:tcBorders>
            <w:shd w:val="clear" w:color="auto" w:fill="auto"/>
            <w:noWrap/>
            <w:vAlign w:val="center"/>
            <w:hideMark/>
          </w:tcPr>
          <w:p w14:paraId="6870EE9D"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F7EE76F"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179 500</w:t>
            </w:r>
          </w:p>
        </w:tc>
        <w:tc>
          <w:tcPr>
            <w:tcW w:w="0" w:type="auto"/>
            <w:tcBorders>
              <w:top w:val="nil"/>
              <w:left w:val="nil"/>
              <w:bottom w:val="single" w:sz="8" w:space="0" w:color="DCE6F1"/>
              <w:right w:val="nil"/>
            </w:tcBorders>
            <w:shd w:val="clear" w:color="auto" w:fill="auto"/>
            <w:noWrap/>
            <w:vAlign w:val="center"/>
            <w:hideMark/>
          </w:tcPr>
          <w:p w14:paraId="52816477"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179 500</w:t>
            </w:r>
          </w:p>
        </w:tc>
      </w:tr>
      <w:tr w:rsidR="00B25D61" w:rsidRPr="00B25D61" w14:paraId="4C5AF4D7" w14:textId="77777777" w:rsidTr="00B25D61">
        <w:trPr>
          <w:trHeight w:val="319"/>
        </w:trPr>
        <w:tc>
          <w:tcPr>
            <w:tcW w:w="0" w:type="auto"/>
            <w:tcBorders>
              <w:top w:val="nil"/>
              <w:left w:val="nil"/>
              <w:bottom w:val="nil"/>
              <w:right w:val="nil"/>
            </w:tcBorders>
            <w:shd w:val="clear" w:color="auto" w:fill="auto"/>
            <w:noWrap/>
            <w:vAlign w:val="bottom"/>
            <w:hideMark/>
          </w:tcPr>
          <w:p w14:paraId="6F07AAC9"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PZ06</w:t>
            </w:r>
          </w:p>
        </w:tc>
        <w:tc>
          <w:tcPr>
            <w:tcW w:w="0" w:type="auto"/>
            <w:tcBorders>
              <w:top w:val="nil"/>
              <w:left w:val="nil"/>
              <w:bottom w:val="nil"/>
              <w:right w:val="nil"/>
            </w:tcBorders>
            <w:shd w:val="clear" w:color="auto" w:fill="auto"/>
            <w:vAlign w:val="center"/>
            <w:hideMark/>
          </w:tcPr>
          <w:p w14:paraId="142FC820"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Špecializované zariadenie Záhorská Bystrica</w:t>
            </w:r>
          </w:p>
        </w:tc>
        <w:tc>
          <w:tcPr>
            <w:tcW w:w="0" w:type="auto"/>
            <w:tcBorders>
              <w:top w:val="nil"/>
              <w:left w:val="nil"/>
              <w:bottom w:val="single" w:sz="8" w:space="0" w:color="DCE6F1"/>
              <w:right w:val="nil"/>
            </w:tcBorders>
            <w:shd w:val="clear" w:color="000000" w:fill="D9D9D9"/>
            <w:noWrap/>
            <w:vAlign w:val="center"/>
            <w:hideMark/>
          </w:tcPr>
          <w:p w14:paraId="081D24B5"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115E641"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02F35CA"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E2F489E"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0701C51F"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6 050</w:t>
            </w:r>
          </w:p>
        </w:tc>
        <w:tc>
          <w:tcPr>
            <w:tcW w:w="0" w:type="auto"/>
            <w:tcBorders>
              <w:top w:val="nil"/>
              <w:left w:val="nil"/>
              <w:bottom w:val="single" w:sz="8" w:space="0" w:color="DCE6F1"/>
              <w:right w:val="nil"/>
            </w:tcBorders>
            <w:shd w:val="clear" w:color="auto" w:fill="auto"/>
            <w:noWrap/>
            <w:vAlign w:val="center"/>
            <w:hideMark/>
          </w:tcPr>
          <w:p w14:paraId="69F3E311"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6 050</w:t>
            </w:r>
          </w:p>
        </w:tc>
      </w:tr>
      <w:tr w:rsidR="00B25D61" w:rsidRPr="00B25D61" w14:paraId="093108B4" w14:textId="77777777" w:rsidTr="00B25D61">
        <w:trPr>
          <w:trHeight w:val="319"/>
        </w:trPr>
        <w:tc>
          <w:tcPr>
            <w:tcW w:w="0" w:type="auto"/>
            <w:tcBorders>
              <w:top w:val="nil"/>
              <w:left w:val="nil"/>
              <w:bottom w:val="nil"/>
              <w:right w:val="nil"/>
            </w:tcBorders>
            <w:shd w:val="clear" w:color="000000" w:fill="DAE9F8"/>
            <w:noWrap/>
            <w:vAlign w:val="bottom"/>
            <w:hideMark/>
          </w:tcPr>
          <w:p w14:paraId="586FCB0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w:t>
            </w:r>
          </w:p>
        </w:tc>
        <w:tc>
          <w:tcPr>
            <w:tcW w:w="0" w:type="auto"/>
            <w:tcBorders>
              <w:top w:val="nil"/>
              <w:left w:val="nil"/>
              <w:bottom w:val="nil"/>
              <w:right w:val="nil"/>
            </w:tcBorders>
            <w:shd w:val="clear" w:color="000000" w:fill="DAE9F8"/>
            <w:vAlign w:val="center"/>
            <w:hideMark/>
          </w:tcPr>
          <w:p w14:paraId="53CB923F" w14:textId="77777777" w:rsidR="00B25D61" w:rsidRPr="00B25D61" w:rsidRDefault="00B25D61" w:rsidP="00B25D61">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Stredné školstvo – kampusy</w:t>
            </w:r>
          </w:p>
        </w:tc>
        <w:tc>
          <w:tcPr>
            <w:tcW w:w="0" w:type="auto"/>
            <w:tcBorders>
              <w:top w:val="nil"/>
              <w:left w:val="nil"/>
              <w:bottom w:val="single" w:sz="8" w:space="0" w:color="DCE6F1"/>
              <w:right w:val="nil"/>
            </w:tcBorders>
            <w:shd w:val="clear" w:color="000000" w:fill="DAE9F8"/>
            <w:noWrap/>
            <w:vAlign w:val="center"/>
            <w:hideMark/>
          </w:tcPr>
          <w:p w14:paraId="43B64D28"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43BAE24E"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846 400</w:t>
            </w:r>
          </w:p>
        </w:tc>
        <w:tc>
          <w:tcPr>
            <w:tcW w:w="0" w:type="auto"/>
            <w:tcBorders>
              <w:top w:val="nil"/>
              <w:left w:val="nil"/>
              <w:bottom w:val="single" w:sz="8" w:space="0" w:color="DCE6F1"/>
              <w:right w:val="nil"/>
            </w:tcBorders>
            <w:shd w:val="clear" w:color="000000" w:fill="DAE9F8"/>
            <w:noWrap/>
            <w:vAlign w:val="center"/>
            <w:hideMark/>
          </w:tcPr>
          <w:p w14:paraId="73889DF4"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846 400</w:t>
            </w:r>
          </w:p>
        </w:tc>
        <w:tc>
          <w:tcPr>
            <w:tcW w:w="0" w:type="auto"/>
            <w:tcBorders>
              <w:top w:val="nil"/>
              <w:left w:val="nil"/>
              <w:bottom w:val="single" w:sz="8" w:space="0" w:color="DCE6F1"/>
              <w:right w:val="nil"/>
            </w:tcBorders>
            <w:shd w:val="clear" w:color="000000" w:fill="DAE9F8"/>
            <w:noWrap/>
            <w:vAlign w:val="center"/>
            <w:hideMark/>
          </w:tcPr>
          <w:p w14:paraId="5B208EC1"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0B11585C"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3 129 313</w:t>
            </w:r>
          </w:p>
        </w:tc>
        <w:tc>
          <w:tcPr>
            <w:tcW w:w="0" w:type="auto"/>
            <w:tcBorders>
              <w:top w:val="nil"/>
              <w:left w:val="nil"/>
              <w:bottom w:val="single" w:sz="8" w:space="0" w:color="DCE6F1"/>
              <w:right w:val="nil"/>
            </w:tcBorders>
            <w:shd w:val="clear" w:color="000000" w:fill="DAE9F8"/>
            <w:noWrap/>
            <w:vAlign w:val="center"/>
            <w:hideMark/>
          </w:tcPr>
          <w:p w14:paraId="33777785"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3 129 313</w:t>
            </w:r>
          </w:p>
        </w:tc>
      </w:tr>
      <w:tr w:rsidR="00B25D61" w:rsidRPr="00B25D61" w14:paraId="0B337A22" w14:textId="77777777" w:rsidTr="00B25D61">
        <w:trPr>
          <w:trHeight w:val="319"/>
        </w:trPr>
        <w:tc>
          <w:tcPr>
            <w:tcW w:w="0" w:type="auto"/>
            <w:tcBorders>
              <w:top w:val="nil"/>
              <w:left w:val="nil"/>
              <w:bottom w:val="nil"/>
              <w:right w:val="nil"/>
            </w:tcBorders>
            <w:shd w:val="clear" w:color="auto" w:fill="auto"/>
            <w:noWrap/>
            <w:vAlign w:val="bottom"/>
            <w:hideMark/>
          </w:tcPr>
          <w:p w14:paraId="39279DA2"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PZ012</w:t>
            </w:r>
          </w:p>
        </w:tc>
        <w:tc>
          <w:tcPr>
            <w:tcW w:w="0" w:type="auto"/>
            <w:tcBorders>
              <w:top w:val="nil"/>
              <w:left w:val="nil"/>
              <w:bottom w:val="nil"/>
              <w:right w:val="nil"/>
            </w:tcBorders>
            <w:shd w:val="clear" w:color="auto" w:fill="auto"/>
            <w:vAlign w:val="center"/>
            <w:hideMark/>
          </w:tcPr>
          <w:p w14:paraId="3FD72B31"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Športový Kampus zdravia športu v Petržalke</w:t>
            </w:r>
          </w:p>
        </w:tc>
        <w:tc>
          <w:tcPr>
            <w:tcW w:w="0" w:type="auto"/>
            <w:tcBorders>
              <w:top w:val="nil"/>
              <w:left w:val="nil"/>
              <w:bottom w:val="single" w:sz="8" w:space="0" w:color="DCE6F1"/>
              <w:right w:val="nil"/>
            </w:tcBorders>
            <w:shd w:val="clear" w:color="000000" w:fill="D9D9D9"/>
            <w:noWrap/>
            <w:vAlign w:val="center"/>
            <w:hideMark/>
          </w:tcPr>
          <w:p w14:paraId="3CA0BA63"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7D1B3BA8"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8CC981D"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7BF46294"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6976C3FF"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1 398 413</w:t>
            </w:r>
          </w:p>
        </w:tc>
        <w:tc>
          <w:tcPr>
            <w:tcW w:w="0" w:type="auto"/>
            <w:tcBorders>
              <w:top w:val="nil"/>
              <w:left w:val="nil"/>
              <w:bottom w:val="single" w:sz="8" w:space="0" w:color="DCE6F1"/>
              <w:right w:val="nil"/>
            </w:tcBorders>
            <w:shd w:val="clear" w:color="auto" w:fill="auto"/>
            <w:noWrap/>
            <w:vAlign w:val="center"/>
            <w:hideMark/>
          </w:tcPr>
          <w:p w14:paraId="0C49EDC6"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1 398 413</w:t>
            </w:r>
          </w:p>
        </w:tc>
      </w:tr>
      <w:tr w:rsidR="00B25D61" w:rsidRPr="00B25D61" w14:paraId="10F53E65" w14:textId="77777777" w:rsidTr="00B25D61">
        <w:trPr>
          <w:trHeight w:val="319"/>
        </w:trPr>
        <w:tc>
          <w:tcPr>
            <w:tcW w:w="0" w:type="auto"/>
            <w:tcBorders>
              <w:top w:val="nil"/>
              <w:left w:val="nil"/>
              <w:bottom w:val="nil"/>
              <w:right w:val="nil"/>
            </w:tcBorders>
            <w:shd w:val="clear" w:color="auto" w:fill="auto"/>
            <w:noWrap/>
            <w:vAlign w:val="bottom"/>
            <w:hideMark/>
          </w:tcPr>
          <w:p w14:paraId="50E11C7A"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PZ016</w:t>
            </w:r>
          </w:p>
        </w:tc>
        <w:tc>
          <w:tcPr>
            <w:tcW w:w="0" w:type="auto"/>
            <w:tcBorders>
              <w:top w:val="nil"/>
              <w:left w:val="nil"/>
              <w:bottom w:val="nil"/>
              <w:right w:val="nil"/>
            </w:tcBorders>
            <w:shd w:val="clear" w:color="auto" w:fill="auto"/>
            <w:vAlign w:val="center"/>
            <w:hideMark/>
          </w:tcPr>
          <w:p w14:paraId="670E6203"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Kampus </w:t>
            </w:r>
            <w:proofErr w:type="spellStart"/>
            <w:r w:rsidRPr="00B25D61">
              <w:rPr>
                <w:rFonts w:ascii="Aptos Narrow" w:eastAsia="Times New Roman" w:hAnsi="Aptos Narrow" w:cs="Times New Roman"/>
                <w:color w:val="000000"/>
                <w:sz w:val="18"/>
                <w:szCs w:val="18"/>
                <w:lang w:eastAsia="sk-SK"/>
              </w:rPr>
              <w:t>bioenergetiky</w:t>
            </w:r>
            <w:proofErr w:type="spellEnd"/>
            <w:r w:rsidRPr="00B25D61">
              <w:rPr>
                <w:rFonts w:ascii="Aptos Narrow" w:eastAsia="Times New Roman" w:hAnsi="Aptos Narrow" w:cs="Times New Roman"/>
                <w:color w:val="000000"/>
                <w:sz w:val="18"/>
                <w:szCs w:val="18"/>
                <w:lang w:eastAsia="sk-SK"/>
              </w:rPr>
              <w:t xml:space="preserve"> v SOŠ Bernolákovo</w:t>
            </w:r>
          </w:p>
        </w:tc>
        <w:tc>
          <w:tcPr>
            <w:tcW w:w="0" w:type="auto"/>
            <w:tcBorders>
              <w:top w:val="nil"/>
              <w:left w:val="nil"/>
              <w:bottom w:val="single" w:sz="8" w:space="0" w:color="DCE6F1"/>
              <w:right w:val="nil"/>
            </w:tcBorders>
            <w:shd w:val="clear" w:color="000000" w:fill="D9D9D9"/>
            <w:noWrap/>
            <w:vAlign w:val="center"/>
            <w:hideMark/>
          </w:tcPr>
          <w:p w14:paraId="2DD30A4C"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43ECD18"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846 400</w:t>
            </w:r>
          </w:p>
        </w:tc>
        <w:tc>
          <w:tcPr>
            <w:tcW w:w="0" w:type="auto"/>
            <w:tcBorders>
              <w:top w:val="nil"/>
              <w:left w:val="nil"/>
              <w:bottom w:val="single" w:sz="8" w:space="0" w:color="DCE6F1"/>
              <w:right w:val="nil"/>
            </w:tcBorders>
            <w:shd w:val="clear" w:color="000000" w:fill="D9D9D9"/>
            <w:noWrap/>
            <w:vAlign w:val="center"/>
            <w:hideMark/>
          </w:tcPr>
          <w:p w14:paraId="484ED022"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846 400</w:t>
            </w:r>
          </w:p>
        </w:tc>
        <w:tc>
          <w:tcPr>
            <w:tcW w:w="0" w:type="auto"/>
            <w:tcBorders>
              <w:top w:val="nil"/>
              <w:left w:val="nil"/>
              <w:bottom w:val="single" w:sz="8" w:space="0" w:color="DCE6F1"/>
              <w:right w:val="nil"/>
            </w:tcBorders>
            <w:shd w:val="clear" w:color="auto" w:fill="auto"/>
            <w:noWrap/>
            <w:vAlign w:val="center"/>
            <w:hideMark/>
          </w:tcPr>
          <w:p w14:paraId="12938DF5"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1B9AF2B"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1 430 900</w:t>
            </w:r>
          </w:p>
        </w:tc>
        <w:tc>
          <w:tcPr>
            <w:tcW w:w="0" w:type="auto"/>
            <w:tcBorders>
              <w:top w:val="nil"/>
              <w:left w:val="nil"/>
              <w:bottom w:val="single" w:sz="8" w:space="0" w:color="DCE6F1"/>
              <w:right w:val="nil"/>
            </w:tcBorders>
            <w:shd w:val="clear" w:color="auto" w:fill="auto"/>
            <w:noWrap/>
            <w:vAlign w:val="center"/>
            <w:hideMark/>
          </w:tcPr>
          <w:p w14:paraId="0B81E32F"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1 430 900</w:t>
            </w:r>
          </w:p>
        </w:tc>
      </w:tr>
      <w:tr w:rsidR="00B25D61" w:rsidRPr="00B25D61" w14:paraId="69634183" w14:textId="77777777" w:rsidTr="00B25D61">
        <w:trPr>
          <w:trHeight w:val="319"/>
        </w:trPr>
        <w:tc>
          <w:tcPr>
            <w:tcW w:w="0" w:type="auto"/>
            <w:tcBorders>
              <w:top w:val="nil"/>
              <w:left w:val="nil"/>
              <w:bottom w:val="nil"/>
              <w:right w:val="nil"/>
            </w:tcBorders>
            <w:shd w:val="clear" w:color="auto" w:fill="auto"/>
            <w:noWrap/>
            <w:vAlign w:val="bottom"/>
            <w:hideMark/>
          </w:tcPr>
          <w:p w14:paraId="2B6764A3"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PZ017</w:t>
            </w:r>
          </w:p>
        </w:tc>
        <w:tc>
          <w:tcPr>
            <w:tcW w:w="0" w:type="auto"/>
            <w:tcBorders>
              <w:top w:val="nil"/>
              <w:left w:val="nil"/>
              <w:bottom w:val="nil"/>
              <w:right w:val="nil"/>
            </w:tcBorders>
            <w:shd w:val="clear" w:color="auto" w:fill="auto"/>
            <w:vAlign w:val="center"/>
            <w:hideMark/>
          </w:tcPr>
          <w:p w14:paraId="388C80AE"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Vinársko-ovocinársky Kampus v Modre</w:t>
            </w:r>
          </w:p>
        </w:tc>
        <w:tc>
          <w:tcPr>
            <w:tcW w:w="0" w:type="auto"/>
            <w:tcBorders>
              <w:top w:val="nil"/>
              <w:left w:val="nil"/>
              <w:bottom w:val="single" w:sz="8" w:space="0" w:color="DCE6F1"/>
              <w:right w:val="nil"/>
            </w:tcBorders>
            <w:shd w:val="clear" w:color="000000" w:fill="D9D9D9"/>
            <w:noWrap/>
            <w:vAlign w:val="center"/>
            <w:hideMark/>
          </w:tcPr>
          <w:p w14:paraId="01316749"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5F54075A"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35AAEB80"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791970B4"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6005961C"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300 000</w:t>
            </w:r>
          </w:p>
        </w:tc>
        <w:tc>
          <w:tcPr>
            <w:tcW w:w="0" w:type="auto"/>
            <w:tcBorders>
              <w:top w:val="nil"/>
              <w:left w:val="nil"/>
              <w:bottom w:val="single" w:sz="8" w:space="0" w:color="DCE6F1"/>
              <w:right w:val="nil"/>
            </w:tcBorders>
            <w:shd w:val="clear" w:color="auto" w:fill="auto"/>
            <w:noWrap/>
            <w:vAlign w:val="center"/>
            <w:hideMark/>
          </w:tcPr>
          <w:p w14:paraId="515C9F97"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300 000</w:t>
            </w:r>
          </w:p>
        </w:tc>
      </w:tr>
      <w:tr w:rsidR="00B25D61" w:rsidRPr="00B25D61" w14:paraId="4324F7EA" w14:textId="77777777" w:rsidTr="00B25D61">
        <w:trPr>
          <w:trHeight w:val="319"/>
        </w:trPr>
        <w:tc>
          <w:tcPr>
            <w:tcW w:w="0" w:type="auto"/>
            <w:tcBorders>
              <w:top w:val="nil"/>
              <w:left w:val="nil"/>
              <w:bottom w:val="nil"/>
              <w:right w:val="nil"/>
            </w:tcBorders>
            <w:shd w:val="clear" w:color="000000" w:fill="DAE9F8"/>
            <w:noWrap/>
            <w:vAlign w:val="bottom"/>
            <w:hideMark/>
          </w:tcPr>
          <w:p w14:paraId="1FD540BE"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w:t>
            </w:r>
          </w:p>
        </w:tc>
        <w:tc>
          <w:tcPr>
            <w:tcW w:w="0" w:type="auto"/>
            <w:tcBorders>
              <w:top w:val="nil"/>
              <w:left w:val="nil"/>
              <w:bottom w:val="nil"/>
              <w:right w:val="nil"/>
            </w:tcBorders>
            <w:shd w:val="clear" w:color="000000" w:fill="DAE9F8"/>
            <w:vAlign w:val="center"/>
            <w:hideMark/>
          </w:tcPr>
          <w:p w14:paraId="5321800E" w14:textId="77777777" w:rsidR="00B25D61" w:rsidRPr="00B25D61" w:rsidRDefault="00B25D61" w:rsidP="00B25D61">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Stredné školstvo – COVP</w:t>
            </w:r>
          </w:p>
        </w:tc>
        <w:tc>
          <w:tcPr>
            <w:tcW w:w="0" w:type="auto"/>
            <w:tcBorders>
              <w:top w:val="nil"/>
              <w:left w:val="nil"/>
              <w:bottom w:val="single" w:sz="8" w:space="0" w:color="DCE6F1"/>
              <w:right w:val="nil"/>
            </w:tcBorders>
            <w:shd w:val="clear" w:color="000000" w:fill="DAE9F8"/>
            <w:noWrap/>
            <w:vAlign w:val="center"/>
            <w:hideMark/>
          </w:tcPr>
          <w:p w14:paraId="473A7A6B"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297732D7"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5CE61F05"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0340F682"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6E3D9E15"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38 800</w:t>
            </w:r>
          </w:p>
        </w:tc>
        <w:tc>
          <w:tcPr>
            <w:tcW w:w="0" w:type="auto"/>
            <w:tcBorders>
              <w:top w:val="nil"/>
              <w:left w:val="nil"/>
              <w:bottom w:val="single" w:sz="8" w:space="0" w:color="DCE6F1"/>
              <w:right w:val="nil"/>
            </w:tcBorders>
            <w:shd w:val="clear" w:color="000000" w:fill="DAE9F8"/>
            <w:noWrap/>
            <w:vAlign w:val="center"/>
            <w:hideMark/>
          </w:tcPr>
          <w:p w14:paraId="4CE68910"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38 800</w:t>
            </w:r>
          </w:p>
        </w:tc>
      </w:tr>
      <w:tr w:rsidR="00B25D61" w:rsidRPr="00B25D61" w14:paraId="3F1CD570" w14:textId="77777777" w:rsidTr="00B25D61">
        <w:trPr>
          <w:trHeight w:val="319"/>
        </w:trPr>
        <w:tc>
          <w:tcPr>
            <w:tcW w:w="0" w:type="auto"/>
            <w:tcBorders>
              <w:top w:val="nil"/>
              <w:left w:val="nil"/>
              <w:bottom w:val="nil"/>
              <w:right w:val="nil"/>
            </w:tcBorders>
            <w:shd w:val="clear" w:color="auto" w:fill="auto"/>
            <w:noWrap/>
            <w:vAlign w:val="bottom"/>
            <w:hideMark/>
          </w:tcPr>
          <w:p w14:paraId="7C47A252"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PZ019</w:t>
            </w:r>
          </w:p>
        </w:tc>
        <w:tc>
          <w:tcPr>
            <w:tcW w:w="0" w:type="auto"/>
            <w:tcBorders>
              <w:top w:val="nil"/>
              <w:left w:val="nil"/>
              <w:bottom w:val="nil"/>
              <w:right w:val="nil"/>
            </w:tcBorders>
            <w:shd w:val="clear" w:color="auto" w:fill="auto"/>
            <w:vAlign w:val="center"/>
            <w:hideMark/>
          </w:tcPr>
          <w:p w14:paraId="632B2D95"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COVP </w:t>
            </w:r>
            <w:proofErr w:type="spellStart"/>
            <w:r w:rsidRPr="00B25D61">
              <w:rPr>
                <w:rFonts w:ascii="Aptos Narrow" w:eastAsia="Times New Roman" w:hAnsi="Aptos Narrow" w:cs="Times New Roman"/>
                <w:color w:val="000000"/>
                <w:sz w:val="18"/>
                <w:szCs w:val="18"/>
                <w:lang w:eastAsia="sk-SK"/>
              </w:rPr>
              <w:t>Mikovíniho</w:t>
            </w:r>
            <w:proofErr w:type="spellEnd"/>
          </w:p>
        </w:tc>
        <w:tc>
          <w:tcPr>
            <w:tcW w:w="0" w:type="auto"/>
            <w:tcBorders>
              <w:top w:val="nil"/>
              <w:left w:val="nil"/>
              <w:bottom w:val="single" w:sz="8" w:space="0" w:color="DCE6F1"/>
              <w:right w:val="nil"/>
            </w:tcBorders>
            <w:shd w:val="clear" w:color="000000" w:fill="D9D9D9"/>
            <w:noWrap/>
            <w:vAlign w:val="center"/>
            <w:hideMark/>
          </w:tcPr>
          <w:p w14:paraId="0A808878"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0000272F"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0EBE368"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47FE281"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09212856"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32 800</w:t>
            </w:r>
          </w:p>
        </w:tc>
        <w:tc>
          <w:tcPr>
            <w:tcW w:w="0" w:type="auto"/>
            <w:tcBorders>
              <w:top w:val="nil"/>
              <w:left w:val="nil"/>
              <w:bottom w:val="single" w:sz="8" w:space="0" w:color="DCE6F1"/>
              <w:right w:val="nil"/>
            </w:tcBorders>
            <w:shd w:val="clear" w:color="auto" w:fill="auto"/>
            <w:noWrap/>
            <w:vAlign w:val="center"/>
            <w:hideMark/>
          </w:tcPr>
          <w:p w14:paraId="58152AEE"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32 800</w:t>
            </w:r>
          </w:p>
        </w:tc>
      </w:tr>
      <w:tr w:rsidR="00B25D61" w:rsidRPr="00B25D61" w14:paraId="4467384E" w14:textId="77777777" w:rsidTr="00B25D61">
        <w:trPr>
          <w:trHeight w:val="319"/>
        </w:trPr>
        <w:tc>
          <w:tcPr>
            <w:tcW w:w="0" w:type="auto"/>
            <w:tcBorders>
              <w:top w:val="nil"/>
              <w:left w:val="nil"/>
              <w:bottom w:val="nil"/>
              <w:right w:val="nil"/>
            </w:tcBorders>
            <w:shd w:val="clear" w:color="auto" w:fill="auto"/>
            <w:noWrap/>
            <w:vAlign w:val="bottom"/>
            <w:hideMark/>
          </w:tcPr>
          <w:p w14:paraId="5034EF85"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PZ020</w:t>
            </w:r>
          </w:p>
        </w:tc>
        <w:tc>
          <w:tcPr>
            <w:tcW w:w="0" w:type="auto"/>
            <w:tcBorders>
              <w:top w:val="nil"/>
              <w:left w:val="nil"/>
              <w:bottom w:val="nil"/>
              <w:right w:val="nil"/>
            </w:tcBorders>
            <w:shd w:val="clear" w:color="auto" w:fill="auto"/>
            <w:vAlign w:val="center"/>
            <w:hideMark/>
          </w:tcPr>
          <w:p w14:paraId="19D5A63F"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COVP </w:t>
            </w:r>
            <w:proofErr w:type="spellStart"/>
            <w:r w:rsidRPr="00B25D61">
              <w:rPr>
                <w:rFonts w:ascii="Aptos Narrow" w:eastAsia="Times New Roman" w:hAnsi="Aptos Narrow" w:cs="Times New Roman"/>
                <w:color w:val="000000"/>
                <w:sz w:val="18"/>
                <w:szCs w:val="18"/>
                <w:lang w:eastAsia="sk-SK"/>
              </w:rPr>
              <w:t>Hálova</w:t>
            </w:r>
            <w:proofErr w:type="spellEnd"/>
          </w:p>
        </w:tc>
        <w:tc>
          <w:tcPr>
            <w:tcW w:w="0" w:type="auto"/>
            <w:tcBorders>
              <w:top w:val="nil"/>
              <w:left w:val="nil"/>
              <w:bottom w:val="single" w:sz="8" w:space="0" w:color="DCE6F1"/>
              <w:right w:val="nil"/>
            </w:tcBorders>
            <w:shd w:val="clear" w:color="000000" w:fill="D9D9D9"/>
            <w:noWrap/>
            <w:vAlign w:val="center"/>
            <w:hideMark/>
          </w:tcPr>
          <w:p w14:paraId="34578C1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DA51F1A"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2A6E164"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72194F7"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E5CA731"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6 000</w:t>
            </w:r>
          </w:p>
        </w:tc>
        <w:tc>
          <w:tcPr>
            <w:tcW w:w="0" w:type="auto"/>
            <w:tcBorders>
              <w:top w:val="nil"/>
              <w:left w:val="nil"/>
              <w:bottom w:val="single" w:sz="8" w:space="0" w:color="DCE6F1"/>
              <w:right w:val="nil"/>
            </w:tcBorders>
            <w:shd w:val="clear" w:color="auto" w:fill="auto"/>
            <w:noWrap/>
            <w:vAlign w:val="center"/>
            <w:hideMark/>
          </w:tcPr>
          <w:p w14:paraId="6386C602"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6 000</w:t>
            </w:r>
          </w:p>
        </w:tc>
      </w:tr>
      <w:tr w:rsidR="00B25D61" w:rsidRPr="00B25D61" w14:paraId="31307640" w14:textId="77777777" w:rsidTr="00B25D61">
        <w:trPr>
          <w:trHeight w:val="319"/>
        </w:trPr>
        <w:tc>
          <w:tcPr>
            <w:tcW w:w="0" w:type="auto"/>
            <w:tcBorders>
              <w:top w:val="nil"/>
              <w:left w:val="nil"/>
              <w:bottom w:val="nil"/>
              <w:right w:val="nil"/>
            </w:tcBorders>
            <w:shd w:val="clear" w:color="000000" w:fill="DAE9F8"/>
            <w:noWrap/>
            <w:vAlign w:val="bottom"/>
            <w:hideMark/>
          </w:tcPr>
          <w:p w14:paraId="46E7F2A9"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w:t>
            </w:r>
          </w:p>
        </w:tc>
        <w:tc>
          <w:tcPr>
            <w:tcW w:w="0" w:type="auto"/>
            <w:tcBorders>
              <w:top w:val="nil"/>
              <w:left w:val="nil"/>
              <w:bottom w:val="nil"/>
              <w:right w:val="nil"/>
            </w:tcBorders>
            <w:shd w:val="clear" w:color="000000" w:fill="DAE9F8"/>
            <w:vAlign w:val="center"/>
            <w:hideMark/>
          </w:tcPr>
          <w:p w14:paraId="4B550D91" w14:textId="77777777" w:rsidR="00B25D61" w:rsidRPr="00B25D61" w:rsidRDefault="00B25D61" w:rsidP="00B25D61">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Doprava</w:t>
            </w:r>
          </w:p>
        </w:tc>
        <w:tc>
          <w:tcPr>
            <w:tcW w:w="0" w:type="auto"/>
            <w:tcBorders>
              <w:top w:val="nil"/>
              <w:left w:val="nil"/>
              <w:bottom w:val="single" w:sz="8" w:space="0" w:color="DCE6F1"/>
              <w:right w:val="nil"/>
            </w:tcBorders>
            <w:shd w:val="clear" w:color="000000" w:fill="DAE9F8"/>
            <w:noWrap/>
            <w:vAlign w:val="center"/>
            <w:hideMark/>
          </w:tcPr>
          <w:p w14:paraId="18F65B28"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3E13BB17"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15FD259E"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2B98E415"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2372D09F"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1 260 358</w:t>
            </w:r>
          </w:p>
        </w:tc>
        <w:tc>
          <w:tcPr>
            <w:tcW w:w="0" w:type="auto"/>
            <w:tcBorders>
              <w:top w:val="nil"/>
              <w:left w:val="nil"/>
              <w:bottom w:val="single" w:sz="8" w:space="0" w:color="DCE6F1"/>
              <w:right w:val="nil"/>
            </w:tcBorders>
            <w:shd w:val="clear" w:color="000000" w:fill="DAE9F8"/>
            <w:noWrap/>
            <w:vAlign w:val="center"/>
            <w:hideMark/>
          </w:tcPr>
          <w:p w14:paraId="06BA392F"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1 260 358</w:t>
            </w:r>
          </w:p>
        </w:tc>
      </w:tr>
      <w:tr w:rsidR="00B25D61" w:rsidRPr="00B25D61" w14:paraId="10744D29" w14:textId="77777777" w:rsidTr="00B25D61">
        <w:trPr>
          <w:trHeight w:val="319"/>
        </w:trPr>
        <w:tc>
          <w:tcPr>
            <w:tcW w:w="0" w:type="auto"/>
            <w:tcBorders>
              <w:top w:val="nil"/>
              <w:left w:val="nil"/>
              <w:bottom w:val="nil"/>
              <w:right w:val="nil"/>
            </w:tcBorders>
            <w:shd w:val="clear" w:color="auto" w:fill="auto"/>
            <w:noWrap/>
            <w:vAlign w:val="bottom"/>
            <w:hideMark/>
          </w:tcPr>
          <w:p w14:paraId="2B35353E"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PZ021</w:t>
            </w:r>
          </w:p>
        </w:tc>
        <w:tc>
          <w:tcPr>
            <w:tcW w:w="0" w:type="auto"/>
            <w:tcBorders>
              <w:top w:val="nil"/>
              <w:left w:val="nil"/>
              <w:bottom w:val="nil"/>
              <w:right w:val="nil"/>
            </w:tcBorders>
            <w:shd w:val="clear" w:color="auto" w:fill="auto"/>
            <w:vAlign w:val="center"/>
            <w:hideMark/>
          </w:tcPr>
          <w:p w14:paraId="334843A5"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Obchvat Malokarpatského regiónu Sv. Jur-PK-Modra-Dubová</w:t>
            </w:r>
          </w:p>
        </w:tc>
        <w:tc>
          <w:tcPr>
            <w:tcW w:w="0" w:type="auto"/>
            <w:tcBorders>
              <w:top w:val="nil"/>
              <w:left w:val="nil"/>
              <w:bottom w:val="single" w:sz="8" w:space="0" w:color="DCE6F1"/>
              <w:right w:val="nil"/>
            </w:tcBorders>
            <w:shd w:val="clear" w:color="000000" w:fill="D9D9D9"/>
            <w:noWrap/>
            <w:vAlign w:val="center"/>
            <w:hideMark/>
          </w:tcPr>
          <w:p w14:paraId="7657ECA7"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61EA919"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0149E340"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0A9FC673"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2E8CE619"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104 958</w:t>
            </w:r>
          </w:p>
        </w:tc>
        <w:tc>
          <w:tcPr>
            <w:tcW w:w="0" w:type="auto"/>
            <w:tcBorders>
              <w:top w:val="nil"/>
              <w:left w:val="nil"/>
              <w:bottom w:val="single" w:sz="8" w:space="0" w:color="DCE6F1"/>
              <w:right w:val="nil"/>
            </w:tcBorders>
            <w:shd w:val="clear" w:color="auto" w:fill="auto"/>
            <w:noWrap/>
            <w:vAlign w:val="center"/>
            <w:hideMark/>
          </w:tcPr>
          <w:p w14:paraId="6E641486"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104 958</w:t>
            </w:r>
          </w:p>
        </w:tc>
      </w:tr>
      <w:tr w:rsidR="00B25D61" w:rsidRPr="00B25D61" w14:paraId="59FD063A" w14:textId="77777777" w:rsidTr="00B25D61">
        <w:trPr>
          <w:trHeight w:val="319"/>
        </w:trPr>
        <w:tc>
          <w:tcPr>
            <w:tcW w:w="0" w:type="auto"/>
            <w:tcBorders>
              <w:top w:val="nil"/>
              <w:left w:val="nil"/>
              <w:bottom w:val="nil"/>
              <w:right w:val="nil"/>
            </w:tcBorders>
            <w:shd w:val="clear" w:color="auto" w:fill="auto"/>
            <w:noWrap/>
            <w:vAlign w:val="bottom"/>
            <w:hideMark/>
          </w:tcPr>
          <w:p w14:paraId="58C0CC2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PZ022</w:t>
            </w:r>
          </w:p>
        </w:tc>
        <w:tc>
          <w:tcPr>
            <w:tcW w:w="0" w:type="auto"/>
            <w:tcBorders>
              <w:top w:val="nil"/>
              <w:left w:val="nil"/>
              <w:bottom w:val="nil"/>
              <w:right w:val="nil"/>
            </w:tcBorders>
            <w:shd w:val="clear" w:color="auto" w:fill="auto"/>
            <w:vAlign w:val="center"/>
            <w:hideMark/>
          </w:tcPr>
          <w:p w14:paraId="7763C43C"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Obchvat  Modry - preložka II/502</w:t>
            </w:r>
          </w:p>
        </w:tc>
        <w:tc>
          <w:tcPr>
            <w:tcW w:w="0" w:type="auto"/>
            <w:tcBorders>
              <w:top w:val="nil"/>
              <w:left w:val="nil"/>
              <w:bottom w:val="single" w:sz="8" w:space="0" w:color="DCE6F1"/>
              <w:right w:val="nil"/>
            </w:tcBorders>
            <w:shd w:val="clear" w:color="000000" w:fill="D9D9D9"/>
            <w:noWrap/>
            <w:vAlign w:val="center"/>
            <w:hideMark/>
          </w:tcPr>
          <w:p w14:paraId="496C1F1E"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53F29C56"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D64724D"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181AC65"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56BF6FEA"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1 155 400</w:t>
            </w:r>
          </w:p>
        </w:tc>
        <w:tc>
          <w:tcPr>
            <w:tcW w:w="0" w:type="auto"/>
            <w:tcBorders>
              <w:top w:val="nil"/>
              <w:left w:val="nil"/>
              <w:bottom w:val="single" w:sz="8" w:space="0" w:color="DCE6F1"/>
              <w:right w:val="nil"/>
            </w:tcBorders>
            <w:shd w:val="clear" w:color="auto" w:fill="auto"/>
            <w:noWrap/>
            <w:vAlign w:val="center"/>
            <w:hideMark/>
          </w:tcPr>
          <w:p w14:paraId="093539F4"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1 155 400</w:t>
            </w:r>
          </w:p>
        </w:tc>
      </w:tr>
      <w:tr w:rsidR="00B25D61" w:rsidRPr="00B25D61" w14:paraId="11E4DFCD" w14:textId="77777777" w:rsidTr="00B25D61">
        <w:trPr>
          <w:trHeight w:val="319"/>
        </w:trPr>
        <w:tc>
          <w:tcPr>
            <w:tcW w:w="0" w:type="auto"/>
            <w:tcBorders>
              <w:top w:val="nil"/>
              <w:left w:val="nil"/>
              <w:bottom w:val="nil"/>
              <w:right w:val="nil"/>
            </w:tcBorders>
            <w:shd w:val="clear" w:color="000000" w:fill="DAE9F8"/>
            <w:noWrap/>
            <w:vAlign w:val="bottom"/>
            <w:hideMark/>
          </w:tcPr>
          <w:p w14:paraId="5AE4CEF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w:t>
            </w:r>
          </w:p>
        </w:tc>
        <w:tc>
          <w:tcPr>
            <w:tcW w:w="0" w:type="auto"/>
            <w:tcBorders>
              <w:top w:val="nil"/>
              <w:left w:val="nil"/>
              <w:bottom w:val="nil"/>
              <w:right w:val="nil"/>
            </w:tcBorders>
            <w:shd w:val="clear" w:color="000000" w:fill="DAE9F8"/>
            <w:vAlign w:val="center"/>
            <w:hideMark/>
          </w:tcPr>
          <w:p w14:paraId="16E3AE4C" w14:textId="77777777" w:rsidR="00B25D61" w:rsidRPr="00B25D61" w:rsidRDefault="00B25D61" w:rsidP="00B25D61">
            <w:pPr>
              <w:spacing w:after="0" w:line="240" w:lineRule="auto"/>
              <w:rPr>
                <w:rFonts w:ascii="Aptos Narrow" w:eastAsia="Times New Roman" w:hAnsi="Aptos Narrow" w:cs="Times New Roman"/>
                <w:b/>
                <w:bCs/>
                <w:color w:val="000000"/>
                <w:sz w:val="18"/>
                <w:szCs w:val="18"/>
                <w:lang w:eastAsia="sk-SK"/>
              </w:rPr>
            </w:pPr>
            <w:proofErr w:type="spellStart"/>
            <w:r w:rsidRPr="00B25D61">
              <w:rPr>
                <w:rFonts w:ascii="Aptos Narrow" w:eastAsia="Times New Roman" w:hAnsi="Aptos Narrow" w:cs="Times New Roman"/>
                <w:b/>
                <w:bCs/>
                <w:color w:val="000000"/>
                <w:sz w:val="18"/>
                <w:szCs w:val="18"/>
                <w:lang w:eastAsia="sk-SK"/>
              </w:rPr>
              <w:t>Cyklodoprava</w:t>
            </w:r>
            <w:proofErr w:type="spellEnd"/>
          </w:p>
        </w:tc>
        <w:tc>
          <w:tcPr>
            <w:tcW w:w="0" w:type="auto"/>
            <w:tcBorders>
              <w:top w:val="nil"/>
              <w:left w:val="nil"/>
              <w:bottom w:val="single" w:sz="8" w:space="0" w:color="DCE6F1"/>
              <w:right w:val="nil"/>
            </w:tcBorders>
            <w:shd w:val="clear" w:color="000000" w:fill="DAE9F8"/>
            <w:noWrap/>
            <w:vAlign w:val="center"/>
            <w:hideMark/>
          </w:tcPr>
          <w:p w14:paraId="37A25CAC"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6AC9FBC3"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61CC5A67"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0</w:t>
            </w:r>
          </w:p>
        </w:tc>
        <w:tc>
          <w:tcPr>
            <w:tcW w:w="0" w:type="auto"/>
            <w:tcBorders>
              <w:top w:val="nil"/>
              <w:left w:val="nil"/>
              <w:bottom w:val="single" w:sz="8" w:space="0" w:color="DCE6F1"/>
              <w:right w:val="nil"/>
            </w:tcBorders>
            <w:shd w:val="clear" w:color="000000" w:fill="DAE9F8"/>
            <w:noWrap/>
            <w:vAlign w:val="center"/>
            <w:hideMark/>
          </w:tcPr>
          <w:p w14:paraId="77B51747"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106</w:t>
            </w:r>
          </w:p>
        </w:tc>
        <w:tc>
          <w:tcPr>
            <w:tcW w:w="0" w:type="auto"/>
            <w:tcBorders>
              <w:top w:val="nil"/>
              <w:left w:val="nil"/>
              <w:bottom w:val="single" w:sz="8" w:space="0" w:color="DCE6F1"/>
              <w:right w:val="nil"/>
            </w:tcBorders>
            <w:shd w:val="clear" w:color="000000" w:fill="DAE9F8"/>
            <w:noWrap/>
            <w:vAlign w:val="center"/>
            <w:hideMark/>
          </w:tcPr>
          <w:p w14:paraId="794AF447"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529 760</w:t>
            </w:r>
          </w:p>
        </w:tc>
        <w:tc>
          <w:tcPr>
            <w:tcW w:w="0" w:type="auto"/>
            <w:tcBorders>
              <w:top w:val="nil"/>
              <w:left w:val="nil"/>
              <w:bottom w:val="single" w:sz="8" w:space="0" w:color="DCE6F1"/>
              <w:right w:val="nil"/>
            </w:tcBorders>
            <w:shd w:val="clear" w:color="000000" w:fill="DAE9F8"/>
            <w:noWrap/>
            <w:vAlign w:val="center"/>
            <w:hideMark/>
          </w:tcPr>
          <w:p w14:paraId="4B8A40CD"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529 866</w:t>
            </w:r>
          </w:p>
        </w:tc>
      </w:tr>
      <w:tr w:rsidR="00B25D61" w:rsidRPr="00B25D61" w14:paraId="13B44B51" w14:textId="77777777" w:rsidTr="00B25D61">
        <w:trPr>
          <w:trHeight w:val="319"/>
        </w:trPr>
        <w:tc>
          <w:tcPr>
            <w:tcW w:w="0" w:type="auto"/>
            <w:tcBorders>
              <w:top w:val="nil"/>
              <w:left w:val="nil"/>
              <w:bottom w:val="nil"/>
              <w:right w:val="nil"/>
            </w:tcBorders>
            <w:shd w:val="clear" w:color="auto" w:fill="auto"/>
            <w:noWrap/>
            <w:vAlign w:val="bottom"/>
            <w:hideMark/>
          </w:tcPr>
          <w:p w14:paraId="146A8175"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PZ024</w:t>
            </w:r>
          </w:p>
        </w:tc>
        <w:tc>
          <w:tcPr>
            <w:tcW w:w="0" w:type="auto"/>
            <w:tcBorders>
              <w:top w:val="nil"/>
              <w:left w:val="nil"/>
              <w:bottom w:val="nil"/>
              <w:right w:val="nil"/>
            </w:tcBorders>
            <w:shd w:val="clear" w:color="auto" w:fill="auto"/>
            <w:vAlign w:val="center"/>
            <w:hideMark/>
          </w:tcPr>
          <w:p w14:paraId="54F53201"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Vinohradnícka cyklotrasa I. etapa - Sv. Jur – PK</w:t>
            </w:r>
          </w:p>
        </w:tc>
        <w:tc>
          <w:tcPr>
            <w:tcW w:w="0" w:type="auto"/>
            <w:tcBorders>
              <w:top w:val="nil"/>
              <w:left w:val="nil"/>
              <w:bottom w:val="single" w:sz="8" w:space="0" w:color="DCE6F1"/>
              <w:right w:val="nil"/>
            </w:tcBorders>
            <w:shd w:val="clear" w:color="000000" w:fill="D9D9D9"/>
            <w:noWrap/>
            <w:vAlign w:val="center"/>
            <w:hideMark/>
          </w:tcPr>
          <w:p w14:paraId="5D8C3BA9"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7D9A06D"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2EC743B"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6433ADDC"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2DA1B421"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41 200</w:t>
            </w:r>
          </w:p>
        </w:tc>
        <w:tc>
          <w:tcPr>
            <w:tcW w:w="0" w:type="auto"/>
            <w:tcBorders>
              <w:top w:val="nil"/>
              <w:left w:val="nil"/>
              <w:bottom w:val="single" w:sz="8" w:space="0" w:color="DCE6F1"/>
              <w:right w:val="nil"/>
            </w:tcBorders>
            <w:shd w:val="clear" w:color="auto" w:fill="auto"/>
            <w:noWrap/>
            <w:vAlign w:val="center"/>
            <w:hideMark/>
          </w:tcPr>
          <w:p w14:paraId="2F881C59"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41 200</w:t>
            </w:r>
          </w:p>
        </w:tc>
      </w:tr>
      <w:tr w:rsidR="00B25D61" w:rsidRPr="00B25D61" w14:paraId="429EBF31" w14:textId="77777777" w:rsidTr="00B25D61">
        <w:trPr>
          <w:trHeight w:val="319"/>
        </w:trPr>
        <w:tc>
          <w:tcPr>
            <w:tcW w:w="0" w:type="auto"/>
            <w:tcBorders>
              <w:top w:val="nil"/>
              <w:left w:val="nil"/>
              <w:bottom w:val="nil"/>
              <w:right w:val="nil"/>
            </w:tcBorders>
            <w:shd w:val="clear" w:color="auto" w:fill="auto"/>
            <w:noWrap/>
            <w:vAlign w:val="bottom"/>
            <w:hideMark/>
          </w:tcPr>
          <w:p w14:paraId="06BA12C2"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PZ025</w:t>
            </w:r>
          </w:p>
        </w:tc>
        <w:tc>
          <w:tcPr>
            <w:tcW w:w="0" w:type="auto"/>
            <w:tcBorders>
              <w:top w:val="nil"/>
              <w:left w:val="nil"/>
              <w:bottom w:val="nil"/>
              <w:right w:val="nil"/>
            </w:tcBorders>
            <w:shd w:val="clear" w:color="auto" w:fill="auto"/>
            <w:vAlign w:val="center"/>
            <w:hideMark/>
          </w:tcPr>
          <w:p w14:paraId="2B6E5606"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Vinohradnícka cyklotrasa II. etapa - PK – </w:t>
            </w:r>
            <w:proofErr w:type="spellStart"/>
            <w:r w:rsidRPr="00B25D61">
              <w:rPr>
                <w:rFonts w:ascii="Aptos Narrow" w:eastAsia="Times New Roman" w:hAnsi="Aptos Narrow" w:cs="Times New Roman"/>
                <w:color w:val="000000"/>
                <w:sz w:val="18"/>
                <w:szCs w:val="18"/>
                <w:lang w:eastAsia="sk-SK"/>
              </w:rPr>
              <w:t>Dolany</w:t>
            </w:r>
            <w:proofErr w:type="spellEnd"/>
          </w:p>
        </w:tc>
        <w:tc>
          <w:tcPr>
            <w:tcW w:w="0" w:type="auto"/>
            <w:tcBorders>
              <w:top w:val="nil"/>
              <w:left w:val="nil"/>
              <w:bottom w:val="single" w:sz="8" w:space="0" w:color="DCE6F1"/>
              <w:right w:val="nil"/>
            </w:tcBorders>
            <w:shd w:val="clear" w:color="000000" w:fill="D9D9D9"/>
            <w:noWrap/>
            <w:vAlign w:val="center"/>
            <w:hideMark/>
          </w:tcPr>
          <w:p w14:paraId="42E6EAD6"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FCBF899"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3F0CCBCA"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68F2E5CA"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9665551"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40 000</w:t>
            </w:r>
          </w:p>
        </w:tc>
        <w:tc>
          <w:tcPr>
            <w:tcW w:w="0" w:type="auto"/>
            <w:tcBorders>
              <w:top w:val="nil"/>
              <w:left w:val="nil"/>
              <w:bottom w:val="single" w:sz="8" w:space="0" w:color="DCE6F1"/>
              <w:right w:val="nil"/>
            </w:tcBorders>
            <w:shd w:val="clear" w:color="auto" w:fill="auto"/>
            <w:noWrap/>
            <w:vAlign w:val="center"/>
            <w:hideMark/>
          </w:tcPr>
          <w:p w14:paraId="75E3E395"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40 000</w:t>
            </w:r>
          </w:p>
        </w:tc>
      </w:tr>
      <w:tr w:rsidR="00B25D61" w:rsidRPr="00B25D61" w14:paraId="5774D8DE" w14:textId="77777777" w:rsidTr="00B25D61">
        <w:trPr>
          <w:trHeight w:val="319"/>
        </w:trPr>
        <w:tc>
          <w:tcPr>
            <w:tcW w:w="0" w:type="auto"/>
            <w:tcBorders>
              <w:top w:val="nil"/>
              <w:left w:val="nil"/>
              <w:bottom w:val="nil"/>
              <w:right w:val="nil"/>
            </w:tcBorders>
            <w:shd w:val="clear" w:color="auto" w:fill="auto"/>
            <w:noWrap/>
            <w:vAlign w:val="bottom"/>
            <w:hideMark/>
          </w:tcPr>
          <w:p w14:paraId="5F19A293"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PZ027</w:t>
            </w:r>
          </w:p>
        </w:tc>
        <w:tc>
          <w:tcPr>
            <w:tcW w:w="0" w:type="auto"/>
            <w:tcBorders>
              <w:top w:val="nil"/>
              <w:left w:val="nil"/>
              <w:bottom w:val="nil"/>
              <w:right w:val="nil"/>
            </w:tcBorders>
            <w:shd w:val="clear" w:color="auto" w:fill="auto"/>
            <w:vAlign w:val="center"/>
            <w:hideMark/>
          </w:tcPr>
          <w:p w14:paraId="757ED131"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Cyklotrasa Zálesie - Most pri Bratislave (potenciálne Vrakuňa)</w:t>
            </w:r>
          </w:p>
        </w:tc>
        <w:tc>
          <w:tcPr>
            <w:tcW w:w="0" w:type="auto"/>
            <w:tcBorders>
              <w:top w:val="nil"/>
              <w:left w:val="nil"/>
              <w:bottom w:val="single" w:sz="8" w:space="0" w:color="DCE6F1"/>
              <w:right w:val="nil"/>
            </w:tcBorders>
            <w:shd w:val="clear" w:color="000000" w:fill="D9D9D9"/>
            <w:noWrap/>
            <w:vAlign w:val="center"/>
            <w:hideMark/>
          </w:tcPr>
          <w:p w14:paraId="1D2C454E"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66B8898"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663FF18"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653E0752"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7ABB932"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436 160</w:t>
            </w:r>
          </w:p>
        </w:tc>
        <w:tc>
          <w:tcPr>
            <w:tcW w:w="0" w:type="auto"/>
            <w:tcBorders>
              <w:top w:val="nil"/>
              <w:left w:val="nil"/>
              <w:bottom w:val="single" w:sz="8" w:space="0" w:color="DCE6F1"/>
              <w:right w:val="nil"/>
            </w:tcBorders>
            <w:shd w:val="clear" w:color="auto" w:fill="auto"/>
            <w:noWrap/>
            <w:vAlign w:val="center"/>
            <w:hideMark/>
          </w:tcPr>
          <w:p w14:paraId="31EC75ED"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436 160</w:t>
            </w:r>
          </w:p>
        </w:tc>
      </w:tr>
      <w:tr w:rsidR="00B25D61" w:rsidRPr="00B25D61" w14:paraId="2651FD5B" w14:textId="77777777" w:rsidTr="00B25D61">
        <w:trPr>
          <w:trHeight w:val="319"/>
        </w:trPr>
        <w:tc>
          <w:tcPr>
            <w:tcW w:w="0" w:type="auto"/>
            <w:tcBorders>
              <w:top w:val="nil"/>
              <w:left w:val="nil"/>
              <w:bottom w:val="nil"/>
              <w:right w:val="nil"/>
            </w:tcBorders>
            <w:shd w:val="clear" w:color="auto" w:fill="auto"/>
            <w:noWrap/>
            <w:vAlign w:val="bottom"/>
            <w:hideMark/>
          </w:tcPr>
          <w:p w14:paraId="38B09956"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PZ031</w:t>
            </w:r>
          </w:p>
        </w:tc>
        <w:tc>
          <w:tcPr>
            <w:tcW w:w="0" w:type="auto"/>
            <w:tcBorders>
              <w:top w:val="nil"/>
              <w:left w:val="nil"/>
              <w:bottom w:val="nil"/>
              <w:right w:val="nil"/>
            </w:tcBorders>
            <w:shd w:val="clear" w:color="auto" w:fill="auto"/>
            <w:vAlign w:val="center"/>
            <w:hideMark/>
          </w:tcPr>
          <w:p w14:paraId="69F7462A"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Cyklotrasa Sv. Jur - Malý Raj (Slovenský Grob)</w:t>
            </w:r>
          </w:p>
        </w:tc>
        <w:tc>
          <w:tcPr>
            <w:tcW w:w="0" w:type="auto"/>
            <w:tcBorders>
              <w:top w:val="nil"/>
              <w:left w:val="nil"/>
              <w:bottom w:val="single" w:sz="8" w:space="0" w:color="DCE6F1"/>
              <w:right w:val="nil"/>
            </w:tcBorders>
            <w:shd w:val="clear" w:color="000000" w:fill="D9D9D9"/>
            <w:noWrap/>
            <w:vAlign w:val="center"/>
            <w:hideMark/>
          </w:tcPr>
          <w:p w14:paraId="4E4BB5DD"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98CBBBF"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370B6DC5"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C7F012C"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F5CD053"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12 400</w:t>
            </w:r>
          </w:p>
        </w:tc>
        <w:tc>
          <w:tcPr>
            <w:tcW w:w="0" w:type="auto"/>
            <w:tcBorders>
              <w:top w:val="nil"/>
              <w:left w:val="nil"/>
              <w:bottom w:val="single" w:sz="8" w:space="0" w:color="DCE6F1"/>
              <w:right w:val="nil"/>
            </w:tcBorders>
            <w:shd w:val="clear" w:color="auto" w:fill="auto"/>
            <w:noWrap/>
            <w:vAlign w:val="center"/>
            <w:hideMark/>
          </w:tcPr>
          <w:p w14:paraId="66B0C3BC"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12 400</w:t>
            </w:r>
          </w:p>
        </w:tc>
      </w:tr>
      <w:tr w:rsidR="00B25D61" w:rsidRPr="00B25D61" w14:paraId="6A43B2D6" w14:textId="77777777" w:rsidTr="00B25D61">
        <w:trPr>
          <w:trHeight w:val="319"/>
        </w:trPr>
        <w:tc>
          <w:tcPr>
            <w:tcW w:w="0" w:type="auto"/>
            <w:tcBorders>
              <w:top w:val="nil"/>
              <w:left w:val="nil"/>
              <w:bottom w:val="nil"/>
              <w:right w:val="nil"/>
            </w:tcBorders>
            <w:shd w:val="clear" w:color="auto" w:fill="auto"/>
            <w:noWrap/>
            <w:vAlign w:val="bottom"/>
            <w:hideMark/>
          </w:tcPr>
          <w:p w14:paraId="327161C7"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PZ048</w:t>
            </w:r>
          </w:p>
        </w:tc>
        <w:tc>
          <w:tcPr>
            <w:tcW w:w="0" w:type="auto"/>
            <w:tcBorders>
              <w:top w:val="nil"/>
              <w:left w:val="nil"/>
              <w:bottom w:val="nil"/>
              <w:right w:val="nil"/>
            </w:tcBorders>
            <w:shd w:val="clear" w:color="auto" w:fill="auto"/>
            <w:vAlign w:val="center"/>
            <w:hideMark/>
          </w:tcPr>
          <w:p w14:paraId="42C0E157"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proofErr w:type="spellStart"/>
            <w:r w:rsidRPr="00B25D61">
              <w:rPr>
                <w:rFonts w:ascii="Aptos Narrow" w:eastAsia="Times New Roman" w:hAnsi="Aptos Narrow" w:cs="Times New Roman"/>
                <w:color w:val="000000"/>
                <w:sz w:val="18"/>
                <w:szCs w:val="18"/>
                <w:lang w:eastAsia="sk-SK"/>
              </w:rPr>
              <w:t>Cyklolávka</w:t>
            </w:r>
            <w:proofErr w:type="spellEnd"/>
            <w:r w:rsidRPr="00B25D61">
              <w:rPr>
                <w:rFonts w:ascii="Aptos Narrow" w:eastAsia="Times New Roman" w:hAnsi="Aptos Narrow" w:cs="Times New Roman"/>
                <w:color w:val="000000"/>
                <w:sz w:val="18"/>
                <w:szCs w:val="18"/>
                <w:lang w:eastAsia="sk-SK"/>
              </w:rPr>
              <w:t xml:space="preserve"> Dúbravka – Lamač</w:t>
            </w:r>
          </w:p>
        </w:tc>
        <w:tc>
          <w:tcPr>
            <w:tcW w:w="0" w:type="auto"/>
            <w:tcBorders>
              <w:top w:val="nil"/>
              <w:left w:val="nil"/>
              <w:bottom w:val="single" w:sz="8" w:space="0" w:color="DCE6F1"/>
              <w:right w:val="nil"/>
            </w:tcBorders>
            <w:shd w:val="clear" w:color="000000" w:fill="D9D9D9"/>
            <w:noWrap/>
            <w:vAlign w:val="center"/>
            <w:hideMark/>
          </w:tcPr>
          <w:p w14:paraId="7C919C78"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792CADF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219C440"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718AB306"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106</w:t>
            </w:r>
          </w:p>
        </w:tc>
        <w:tc>
          <w:tcPr>
            <w:tcW w:w="0" w:type="auto"/>
            <w:tcBorders>
              <w:top w:val="nil"/>
              <w:left w:val="nil"/>
              <w:bottom w:val="single" w:sz="8" w:space="0" w:color="DCE6F1"/>
              <w:right w:val="nil"/>
            </w:tcBorders>
            <w:shd w:val="clear" w:color="auto" w:fill="auto"/>
            <w:noWrap/>
            <w:vAlign w:val="center"/>
            <w:hideMark/>
          </w:tcPr>
          <w:p w14:paraId="7102DCF8"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5E41699"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106</w:t>
            </w:r>
          </w:p>
        </w:tc>
      </w:tr>
      <w:tr w:rsidR="00B25D61" w:rsidRPr="00B25D61" w14:paraId="0D5186AA" w14:textId="77777777" w:rsidTr="00B25D61">
        <w:trPr>
          <w:trHeight w:val="319"/>
        </w:trPr>
        <w:tc>
          <w:tcPr>
            <w:tcW w:w="0" w:type="auto"/>
            <w:tcBorders>
              <w:top w:val="nil"/>
              <w:left w:val="nil"/>
              <w:bottom w:val="nil"/>
              <w:right w:val="nil"/>
            </w:tcBorders>
            <w:shd w:val="clear" w:color="000000" w:fill="DAE9F8"/>
            <w:noWrap/>
            <w:vAlign w:val="bottom"/>
            <w:hideMark/>
          </w:tcPr>
          <w:p w14:paraId="4230B1FB"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w:t>
            </w:r>
          </w:p>
        </w:tc>
        <w:tc>
          <w:tcPr>
            <w:tcW w:w="0" w:type="auto"/>
            <w:tcBorders>
              <w:top w:val="nil"/>
              <w:left w:val="nil"/>
              <w:bottom w:val="nil"/>
              <w:right w:val="nil"/>
            </w:tcBorders>
            <w:shd w:val="clear" w:color="000000" w:fill="DAE9F8"/>
            <w:vAlign w:val="center"/>
            <w:hideMark/>
          </w:tcPr>
          <w:p w14:paraId="6128B5C9" w14:textId="77777777" w:rsidR="00B25D61" w:rsidRPr="00B25D61" w:rsidRDefault="00B25D61" w:rsidP="00B25D61">
            <w:pPr>
              <w:spacing w:after="0" w:line="240" w:lineRule="auto"/>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Ostatné</w:t>
            </w:r>
          </w:p>
        </w:tc>
        <w:tc>
          <w:tcPr>
            <w:tcW w:w="0" w:type="auto"/>
            <w:tcBorders>
              <w:top w:val="nil"/>
              <w:left w:val="nil"/>
              <w:bottom w:val="single" w:sz="8" w:space="0" w:color="DCE6F1"/>
              <w:right w:val="nil"/>
            </w:tcBorders>
            <w:shd w:val="clear" w:color="000000" w:fill="DAE9F8"/>
            <w:noWrap/>
            <w:vAlign w:val="center"/>
            <w:hideMark/>
          </w:tcPr>
          <w:p w14:paraId="71D2C46C"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433 798</w:t>
            </w:r>
          </w:p>
        </w:tc>
        <w:tc>
          <w:tcPr>
            <w:tcW w:w="0" w:type="auto"/>
            <w:tcBorders>
              <w:top w:val="nil"/>
              <w:left w:val="nil"/>
              <w:bottom w:val="single" w:sz="8" w:space="0" w:color="DCE6F1"/>
              <w:right w:val="nil"/>
            </w:tcBorders>
            <w:shd w:val="clear" w:color="000000" w:fill="DAE9F8"/>
            <w:noWrap/>
            <w:vAlign w:val="center"/>
            <w:hideMark/>
          </w:tcPr>
          <w:p w14:paraId="3DC64C5C"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127 500</w:t>
            </w:r>
          </w:p>
        </w:tc>
        <w:tc>
          <w:tcPr>
            <w:tcW w:w="0" w:type="auto"/>
            <w:tcBorders>
              <w:top w:val="nil"/>
              <w:left w:val="nil"/>
              <w:bottom w:val="single" w:sz="8" w:space="0" w:color="DCE6F1"/>
              <w:right w:val="nil"/>
            </w:tcBorders>
            <w:shd w:val="clear" w:color="000000" w:fill="DAE9F8"/>
            <w:noWrap/>
            <w:vAlign w:val="center"/>
            <w:hideMark/>
          </w:tcPr>
          <w:p w14:paraId="7B6C3943"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561 298</w:t>
            </w:r>
          </w:p>
        </w:tc>
        <w:tc>
          <w:tcPr>
            <w:tcW w:w="0" w:type="auto"/>
            <w:tcBorders>
              <w:top w:val="nil"/>
              <w:left w:val="nil"/>
              <w:bottom w:val="single" w:sz="8" w:space="0" w:color="DCE6F1"/>
              <w:right w:val="nil"/>
            </w:tcBorders>
            <w:shd w:val="clear" w:color="000000" w:fill="DAE9F8"/>
            <w:noWrap/>
            <w:vAlign w:val="center"/>
            <w:hideMark/>
          </w:tcPr>
          <w:p w14:paraId="01DDC95D"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499 018</w:t>
            </w:r>
          </w:p>
        </w:tc>
        <w:tc>
          <w:tcPr>
            <w:tcW w:w="0" w:type="auto"/>
            <w:tcBorders>
              <w:top w:val="nil"/>
              <w:left w:val="nil"/>
              <w:bottom w:val="single" w:sz="8" w:space="0" w:color="DCE6F1"/>
              <w:right w:val="nil"/>
            </w:tcBorders>
            <w:shd w:val="clear" w:color="000000" w:fill="DAE9F8"/>
            <w:noWrap/>
            <w:vAlign w:val="center"/>
            <w:hideMark/>
          </w:tcPr>
          <w:p w14:paraId="34829861"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1 235 000</w:t>
            </w:r>
          </w:p>
        </w:tc>
        <w:tc>
          <w:tcPr>
            <w:tcW w:w="0" w:type="auto"/>
            <w:tcBorders>
              <w:top w:val="nil"/>
              <w:left w:val="nil"/>
              <w:bottom w:val="single" w:sz="8" w:space="0" w:color="DCE6F1"/>
              <w:right w:val="nil"/>
            </w:tcBorders>
            <w:shd w:val="clear" w:color="000000" w:fill="DAE9F8"/>
            <w:noWrap/>
            <w:vAlign w:val="center"/>
            <w:hideMark/>
          </w:tcPr>
          <w:p w14:paraId="111C7F6F"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1 734 018</w:t>
            </w:r>
          </w:p>
        </w:tc>
      </w:tr>
      <w:tr w:rsidR="00B25D61" w:rsidRPr="00B25D61" w14:paraId="69BD98EF" w14:textId="77777777" w:rsidTr="00B25D61">
        <w:trPr>
          <w:trHeight w:val="319"/>
        </w:trPr>
        <w:tc>
          <w:tcPr>
            <w:tcW w:w="0" w:type="auto"/>
            <w:tcBorders>
              <w:top w:val="nil"/>
              <w:left w:val="nil"/>
              <w:bottom w:val="nil"/>
              <w:right w:val="nil"/>
            </w:tcBorders>
            <w:shd w:val="clear" w:color="auto" w:fill="auto"/>
            <w:noWrap/>
            <w:vAlign w:val="bottom"/>
            <w:hideMark/>
          </w:tcPr>
          <w:p w14:paraId="0BA7EA39"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PZ010</w:t>
            </w:r>
          </w:p>
        </w:tc>
        <w:tc>
          <w:tcPr>
            <w:tcW w:w="0" w:type="auto"/>
            <w:tcBorders>
              <w:top w:val="nil"/>
              <w:left w:val="nil"/>
              <w:bottom w:val="nil"/>
              <w:right w:val="nil"/>
            </w:tcBorders>
            <w:shd w:val="clear" w:color="auto" w:fill="auto"/>
            <w:vAlign w:val="center"/>
            <w:hideMark/>
          </w:tcPr>
          <w:p w14:paraId="43D1449B"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Implementácia dátového riešenia na Úrade BSK</w:t>
            </w:r>
          </w:p>
        </w:tc>
        <w:tc>
          <w:tcPr>
            <w:tcW w:w="0" w:type="auto"/>
            <w:tcBorders>
              <w:top w:val="nil"/>
              <w:left w:val="nil"/>
              <w:bottom w:val="single" w:sz="8" w:space="0" w:color="DCE6F1"/>
              <w:right w:val="nil"/>
            </w:tcBorders>
            <w:shd w:val="clear" w:color="000000" w:fill="D9D9D9"/>
            <w:noWrap/>
            <w:vAlign w:val="center"/>
            <w:hideMark/>
          </w:tcPr>
          <w:p w14:paraId="4E41B51E"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127 500</w:t>
            </w:r>
          </w:p>
        </w:tc>
        <w:tc>
          <w:tcPr>
            <w:tcW w:w="0" w:type="auto"/>
            <w:tcBorders>
              <w:top w:val="nil"/>
              <w:left w:val="nil"/>
              <w:bottom w:val="single" w:sz="8" w:space="0" w:color="DCE6F1"/>
              <w:right w:val="nil"/>
            </w:tcBorders>
            <w:shd w:val="clear" w:color="000000" w:fill="D9D9D9"/>
            <w:noWrap/>
            <w:vAlign w:val="center"/>
            <w:hideMark/>
          </w:tcPr>
          <w:p w14:paraId="49CE0C53"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00BBB07C"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127 500</w:t>
            </w:r>
          </w:p>
        </w:tc>
        <w:tc>
          <w:tcPr>
            <w:tcW w:w="0" w:type="auto"/>
            <w:tcBorders>
              <w:top w:val="nil"/>
              <w:left w:val="nil"/>
              <w:bottom w:val="single" w:sz="8" w:space="0" w:color="DCE6F1"/>
              <w:right w:val="nil"/>
            </w:tcBorders>
            <w:shd w:val="clear" w:color="auto" w:fill="auto"/>
            <w:noWrap/>
            <w:vAlign w:val="center"/>
            <w:hideMark/>
          </w:tcPr>
          <w:p w14:paraId="3B6E40D7"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150 000</w:t>
            </w:r>
          </w:p>
        </w:tc>
        <w:tc>
          <w:tcPr>
            <w:tcW w:w="0" w:type="auto"/>
            <w:tcBorders>
              <w:top w:val="nil"/>
              <w:left w:val="nil"/>
              <w:bottom w:val="single" w:sz="8" w:space="0" w:color="DCE6F1"/>
              <w:right w:val="nil"/>
            </w:tcBorders>
            <w:shd w:val="clear" w:color="auto" w:fill="auto"/>
            <w:noWrap/>
            <w:vAlign w:val="center"/>
            <w:hideMark/>
          </w:tcPr>
          <w:p w14:paraId="0FBA5000"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799BD169"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150 000</w:t>
            </w:r>
          </w:p>
        </w:tc>
      </w:tr>
      <w:tr w:rsidR="00B25D61" w:rsidRPr="00B25D61" w14:paraId="526DE00A" w14:textId="77777777" w:rsidTr="00B25D61">
        <w:trPr>
          <w:trHeight w:val="319"/>
        </w:trPr>
        <w:tc>
          <w:tcPr>
            <w:tcW w:w="0" w:type="auto"/>
            <w:tcBorders>
              <w:top w:val="nil"/>
              <w:left w:val="nil"/>
              <w:bottom w:val="nil"/>
              <w:right w:val="nil"/>
            </w:tcBorders>
            <w:shd w:val="clear" w:color="auto" w:fill="auto"/>
            <w:noWrap/>
            <w:vAlign w:val="bottom"/>
            <w:hideMark/>
          </w:tcPr>
          <w:p w14:paraId="29A10954"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PZ052</w:t>
            </w:r>
          </w:p>
        </w:tc>
        <w:tc>
          <w:tcPr>
            <w:tcW w:w="0" w:type="auto"/>
            <w:tcBorders>
              <w:top w:val="nil"/>
              <w:left w:val="nil"/>
              <w:bottom w:val="nil"/>
              <w:right w:val="nil"/>
            </w:tcBorders>
            <w:shd w:val="clear" w:color="auto" w:fill="auto"/>
            <w:vAlign w:val="center"/>
            <w:hideMark/>
          </w:tcPr>
          <w:p w14:paraId="21EFA2B3"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proofErr w:type="spellStart"/>
            <w:r w:rsidRPr="00B25D61">
              <w:rPr>
                <w:rFonts w:ascii="Aptos Narrow" w:eastAsia="Times New Roman" w:hAnsi="Aptos Narrow" w:cs="Times New Roman"/>
                <w:color w:val="000000"/>
                <w:sz w:val="18"/>
                <w:szCs w:val="18"/>
                <w:lang w:eastAsia="sk-SK"/>
              </w:rPr>
              <w:t>Digitwin</w:t>
            </w:r>
            <w:proofErr w:type="spellEnd"/>
            <w:r w:rsidRPr="00B25D61">
              <w:rPr>
                <w:rFonts w:ascii="Aptos Narrow" w:eastAsia="Times New Roman" w:hAnsi="Aptos Narrow" w:cs="Times New Roman"/>
                <w:color w:val="000000"/>
                <w:sz w:val="18"/>
                <w:szCs w:val="18"/>
                <w:lang w:eastAsia="sk-SK"/>
              </w:rPr>
              <w:t xml:space="preserve"> - koncept digitálneho dvojčaťa</w:t>
            </w:r>
          </w:p>
        </w:tc>
        <w:tc>
          <w:tcPr>
            <w:tcW w:w="0" w:type="auto"/>
            <w:tcBorders>
              <w:top w:val="nil"/>
              <w:left w:val="nil"/>
              <w:bottom w:val="single" w:sz="8" w:space="0" w:color="DCE6F1"/>
              <w:right w:val="nil"/>
            </w:tcBorders>
            <w:shd w:val="clear" w:color="000000" w:fill="D9D9D9"/>
            <w:noWrap/>
            <w:vAlign w:val="center"/>
            <w:hideMark/>
          </w:tcPr>
          <w:p w14:paraId="014175F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19 380</w:t>
            </w:r>
          </w:p>
        </w:tc>
        <w:tc>
          <w:tcPr>
            <w:tcW w:w="0" w:type="auto"/>
            <w:tcBorders>
              <w:top w:val="nil"/>
              <w:left w:val="nil"/>
              <w:bottom w:val="single" w:sz="8" w:space="0" w:color="DCE6F1"/>
              <w:right w:val="nil"/>
            </w:tcBorders>
            <w:shd w:val="clear" w:color="000000" w:fill="D9D9D9"/>
            <w:noWrap/>
            <w:vAlign w:val="center"/>
            <w:hideMark/>
          </w:tcPr>
          <w:p w14:paraId="4756218C"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E51DBE4"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19 380</w:t>
            </w:r>
          </w:p>
        </w:tc>
        <w:tc>
          <w:tcPr>
            <w:tcW w:w="0" w:type="auto"/>
            <w:tcBorders>
              <w:top w:val="nil"/>
              <w:left w:val="nil"/>
              <w:bottom w:val="single" w:sz="8" w:space="0" w:color="DCE6F1"/>
              <w:right w:val="nil"/>
            </w:tcBorders>
            <w:shd w:val="clear" w:color="auto" w:fill="auto"/>
            <w:noWrap/>
            <w:vAlign w:val="center"/>
            <w:hideMark/>
          </w:tcPr>
          <w:p w14:paraId="356D8B93"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45 600</w:t>
            </w:r>
          </w:p>
        </w:tc>
        <w:tc>
          <w:tcPr>
            <w:tcW w:w="0" w:type="auto"/>
            <w:tcBorders>
              <w:top w:val="nil"/>
              <w:left w:val="nil"/>
              <w:bottom w:val="single" w:sz="8" w:space="0" w:color="DCE6F1"/>
              <w:right w:val="nil"/>
            </w:tcBorders>
            <w:shd w:val="clear" w:color="auto" w:fill="auto"/>
            <w:noWrap/>
            <w:vAlign w:val="center"/>
            <w:hideMark/>
          </w:tcPr>
          <w:p w14:paraId="469066C3"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2CC310F2"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45 600</w:t>
            </w:r>
          </w:p>
        </w:tc>
      </w:tr>
      <w:tr w:rsidR="00B25D61" w:rsidRPr="00B25D61" w14:paraId="11E1D8EB" w14:textId="77777777" w:rsidTr="00B25D61">
        <w:trPr>
          <w:trHeight w:val="319"/>
        </w:trPr>
        <w:tc>
          <w:tcPr>
            <w:tcW w:w="0" w:type="auto"/>
            <w:tcBorders>
              <w:top w:val="nil"/>
              <w:left w:val="nil"/>
              <w:bottom w:val="nil"/>
              <w:right w:val="nil"/>
            </w:tcBorders>
            <w:shd w:val="clear" w:color="auto" w:fill="auto"/>
            <w:noWrap/>
            <w:vAlign w:val="bottom"/>
            <w:hideMark/>
          </w:tcPr>
          <w:p w14:paraId="5C38CE73"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PZ053</w:t>
            </w:r>
          </w:p>
        </w:tc>
        <w:tc>
          <w:tcPr>
            <w:tcW w:w="0" w:type="auto"/>
            <w:tcBorders>
              <w:top w:val="nil"/>
              <w:left w:val="nil"/>
              <w:bottom w:val="nil"/>
              <w:right w:val="nil"/>
            </w:tcBorders>
            <w:shd w:val="clear" w:color="auto" w:fill="auto"/>
            <w:vAlign w:val="center"/>
            <w:hideMark/>
          </w:tcPr>
          <w:p w14:paraId="0A55046C"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Prevencia neprenosných chorôb</w:t>
            </w:r>
          </w:p>
        </w:tc>
        <w:tc>
          <w:tcPr>
            <w:tcW w:w="0" w:type="auto"/>
            <w:tcBorders>
              <w:top w:val="nil"/>
              <w:left w:val="nil"/>
              <w:bottom w:val="single" w:sz="8" w:space="0" w:color="DCE6F1"/>
              <w:right w:val="nil"/>
            </w:tcBorders>
            <w:shd w:val="clear" w:color="000000" w:fill="D9D9D9"/>
            <w:noWrap/>
            <w:vAlign w:val="center"/>
            <w:hideMark/>
          </w:tcPr>
          <w:p w14:paraId="7A975343"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93 500</w:t>
            </w:r>
          </w:p>
        </w:tc>
        <w:tc>
          <w:tcPr>
            <w:tcW w:w="0" w:type="auto"/>
            <w:tcBorders>
              <w:top w:val="nil"/>
              <w:left w:val="nil"/>
              <w:bottom w:val="single" w:sz="8" w:space="0" w:color="DCE6F1"/>
              <w:right w:val="nil"/>
            </w:tcBorders>
            <w:shd w:val="clear" w:color="000000" w:fill="D9D9D9"/>
            <w:noWrap/>
            <w:vAlign w:val="center"/>
            <w:hideMark/>
          </w:tcPr>
          <w:p w14:paraId="1A621BBE"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0CEF8CD"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93 500</w:t>
            </w:r>
          </w:p>
        </w:tc>
        <w:tc>
          <w:tcPr>
            <w:tcW w:w="0" w:type="auto"/>
            <w:tcBorders>
              <w:top w:val="nil"/>
              <w:left w:val="nil"/>
              <w:bottom w:val="single" w:sz="8" w:space="0" w:color="DCE6F1"/>
              <w:right w:val="nil"/>
            </w:tcBorders>
            <w:shd w:val="clear" w:color="auto" w:fill="auto"/>
            <w:noWrap/>
            <w:vAlign w:val="center"/>
            <w:hideMark/>
          </w:tcPr>
          <w:p w14:paraId="5F2BB3D3"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110 000</w:t>
            </w:r>
          </w:p>
        </w:tc>
        <w:tc>
          <w:tcPr>
            <w:tcW w:w="0" w:type="auto"/>
            <w:tcBorders>
              <w:top w:val="nil"/>
              <w:left w:val="nil"/>
              <w:bottom w:val="single" w:sz="8" w:space="0" w:color="DCE6F1"/>
              <w:right w:val="nil"/>
            </w:tcBorders>
            <w:shd w:val="clear" w:color="auto" w:fill="auto"/>
            <w:noWrap/>
            <w:vAlign w:val="center"/>
            <w:hideMark/>
          </w:tcPr>
          <w:p w14:paraId="2A9EA050"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2278DDCD"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110 000</w:t>
            </w:r>
          </w:p>
        </w:tc>
      </w:tr>
      <w:tr w:rsidR="00B25D61" w:rsidRPr="00B25D61" w14:paraId="40945B87" w14:textId="77777777" w:rsidTr="00B25D61">
        <w:trPr>
          <w:trHeight w:val="319"/>
        </w:trPr>
        <w:tc>
          <w:tcPr>
            <w:tcW w:w="0" w:type="auto"/>
            <w:tcBorders>
              <w:top w:val="nil"/>
              <w:left w:val="nil"/>
              <w:bottom w:val="nil"/>
              <w:right w:val="nil"/>
            </w:tcBorders>
            <w:shd w:val="clear" w:color="auto" w:fill="auto"/>
            <w:noWrap/>
            <w:vAlign w:val="bottom"/>
            <w:hideMark/>
          </w:tcPr>
          <w:p w14:paraId="204B61E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PZ058</w:t>
            </w:r>
          </w:p>
        </w:tc>
        <w:tc>
          <w:tcPr>
            <w:tcW w:w="0" w:type="auto"/>
            <w:tcBorders>
              <w:top w:val="nil"/>
              <w:left w:val="nil"/>
              <w:bottom w:val="nil"/>
              <w:right w:val="nil"/>
            </w:tcBorders>
            <w:shd w:val="clear" w:color="auto" w:fill="auto"/>
            <w:vAlign w:val="center"/>
            <w:hideMark/>
          </w:tcPr>
          <w:p w14:paraId="06F69230"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Sýpka Čunovo</w:t>
            </w:r>
          </w:p>
        </w:tc>
        <w:tc>
          <w:tcPr>
            <w:tcW w:w="0" w:type="auto"/>
            <w:tcBorders>
              <w:top w:val="nil"/>
              <w:left w:val="nil"/>
              <w:bottom w:val="single" w:sz="8" w:space="0" w:color="DCE6F1"/>
              <w:right w:val="nil"/>
            </w:tcBorders>
            <w:shd w:val="clear" w:color="000000" w:fill="D9D9D9"/>
            <w:noWrap/>
            <w:vAlign w:val="center"/>
            <w:hideMark/>
          </w:tcPr>
          <w:p w14:paraId="3C52FDAD"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56DA9F34"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C1A6110"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3B0A6E1E"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A2F3D6F"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50 000</w:t>
            </w:r>
          </w:p>
        </w:tc>
        <w:tc>
          <w:tcPr>
            <w:tcW w:w="0" w:type="auto"/>
            <w:tcBorders>
              <w:top w:val="nil"/>
              <w:left w:val="nil"/>
              <w:bottom w:val="single" w:sz="8" w:space="0" w:color="DCE6F1"/>
              <w:right w:val="nil"/>
            </w:tcBorders>
            <w:shd w:val="clear" w:color="auto" w:fill="auto"/>
            <w:noWrap/>
            <w:vAlign w:val="center"/>
            <w:hideMark/>
          </w:tcPr>
          <w:p w14:paraId="21547835"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50 000</w:t>
            </w:r>
          </w:p>
        </w:tc>
      </w:tr>
      <w:tr w:rsidR="00B25D61" w:rsidRPr="00B25D61" w14:paraId="61D89C76" w14:textId="77777777" w:rsidTr="00B25D61">
        <w:trPr>
          <w:trHeight w:val="319"/>
        </w:trPr>
        <w:tc>
          <w:tcPr>
            <w:tcW w:w="0" w:type="auto"/>
            <w:tcBorders>
              <w:top w:val="nil"/>
              <w:left w:val="nil"/>
              <w:bottom w:val="nil"/>
              <w:right w:val="nil"/>
            </w:tcBorders>
            <w:shd w:val="clear" w:color="auto" w:fill="auto"/>
            <w:noWrap/>
            <w:vAlign w:val="bottom"/>
            <w:hideMark/>
          </w:tcPr>
          <w:p w14:paraId="16880E75"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PZ04</w:t>
            </w:r>
          </w:p>
        </w:tc>
        <w:tc>
          <w:tcPr>
            <w:tcW w:w="0" w:type="auto"/>
            <w:tcBorders>
              <w:top w:val="nil"/>
              <w:left w:val="nil"/>
              <w:bottom w:val="nil"/>
              <w:right w:val="nil"/>
            </w:tcBorders>
            <w:shd w:val="clear" w:color="auto" w:fill="auto"/>
            <w:vAlign w:val="center"/>
            <w:hideMark/>
          </w:tcPr>
          <w:p w14:paraId="7C9F4BC2"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Regionálne centrum udržateľnej energetiky</w:t>
            </w:r>
          </w:p>
        </w:tc>
        <w:tc>
          <w:tcPr>
            <w:tcW w:w="0" w:type="auto"/>
            <w:tcBorders>
              <w:top w:val="nil"/>
              <w:left w:val="nil"/>
              <w:bottom w:val="single" w:sz="8" w:space="0" w:color="DCE6F1"/>
              <w:right w:val="nil"/>
            </w:tcBorders>
            <w:shd w:val="clear" w:color="000000" w:fill="D9D9D9"/>
            <w:noWrap/>
            <w:vAlign w:val="center"/>
            <w:hideMark/>
          </w:tcPr>
          <w:p w14:paraId="062A4698"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193 418</w:t>
            </w:r>
          </w:p>
        </w:tc>
        <w:tc>
          <w:tcPr>
            <w:tcW w:w="0" w:type="auto"/>
            <w:tcBorders>
              <w:top w:val="nil"/>
              <w:left w:val="nil"/>
              <w:bottom w:val="single" w:sz="8" w:space="0" w:color="DCE6F1"/>
              <w:right w:val="nil"/>
            </w:tcBorders>
            <w:shd w:val="clear" w:color="000000" w:fill="D9D9D9"/>
            <w:noWrap/>
            <w:vAlign w:val="center"/>
            <w:hideMark/>
          </w:tcPr>
          <w:p w14:paraId="1EE2E51A"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017BCC8C"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193 418</w:t>
            </w:r>
          </w:p>
        </w:tc>
        <w:tc>
          <w:tcPr>
            <w:tcW w:w="0" w:type="auto"/>
            <w:tcBorders>
              <w:top w:val="nil"/>
              <w:left w:val="nil"/>
              <w:bottom w:val="single" w:sz="8" w:space="0" w:color="DCE6F1"/>
              <w:right w:val="nil"/>
            </w:tcBorders>
            <w:shd w:val="clear" w:color="auto" w:fill="auto"/>
            <w:noWrap/>
            <w:vAlign w:val="center"/>
            <w:hideMark/>
          </w:tcPr>
          <w:p w14:paraId="0562CFE2"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193 418</w:t>
            </w:r>
          </w:p>
        </w:tc>
        <w:tc>
          <w:tcPr>
            <w:tcW w:w="0" w:type="auto"/>
            <w:tcBorders>
              <w:top w:val="nil"/>
              <w:left w:val="nil"/>
              <w:bottom w:val="single" w:sz="8" w:space="0" w:color="DCE6F1"/>
              <w:right w:val="nil"/>
            </w:tcBorders>
            <w:shd w:val="clear" w:color="auto" w:fill="auto"/>
            <w:noWrap/>
            <w:vAlign w:val="center"/>
            <w:hideMark/>
          </w:tcPr>
          <w:p w14:paraId="3ACDCD59"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044B8FCF"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193 418</w:t>
            </w:r>
          </w:p>
        </w:tc>
      </w:tr>
      <w:tr w:rsidR="00B25D61" w:rsidRPr="00B25D61" w14:paraId="56090BD8" w14:textId="77777777" w:rsidTr="00B25D61">
        <w:trPr>
          <w:trHeight w:val="319"/>
        </w:trPr>
        <w:tc>
          <w:tcPr>
            <w:tcW w:w="0" w:type="auto"/>
            <w:tcBorders>
              <w:top w:val="nil"/>
              <w:left w:val="nil"/>
              <w:bottom w:val="nil"/>
              <w:right w:val="nil"/>
            </w:tcBorders>
            <w:shd w:val="clear" w:color="auto" w:fill="auto"/>
            <w:noWrap/>
            <w:vAlign w:val="bottom"/>
            <w:hideMark/>
          </w:tcPr>
          <w:p w14:paraId="4DF757C6"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PZ047</w:t>
            </w:r>
          </w:p>
        </w:tc>
        <w:tc>
          <w:tcPr>
            <w:tcW w:w="0" w:type="auto"/>
            <w:tcBorders>
              <w:top w:val="nil"/>
              <w:left w:val="nil"/>
              <w:bottom w:val="nil"/>
              <w:right w:val="nil"/>
            </w:tcBorders>
            <w:shd w:val="clear" w:color="auto" w:fill="auto"/>
            <w:vAlign w:val="center"/>
            <w:hideMark/>
          </w:tcPr>
          <w:p w14:paraId="24EF18E7"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Realizácia </w:t>
            </w:r>
            <w:proofErr w:type="spellStart"/>
            <w:r w:rsidRPr="00B25D61">
              <w:rPr>
                <w:rFonts w:ascii="Aptos Narrow" w:eastAsia="Times New Roman" w:hAnsi="Aptos Narrow" w:cs="Times New Roman"/>
                <w:color w:val="000000"/>
                <w:sz w:val="18"/>
                <w:szCs w:val="18"/>
                <w:lang w:eastAsia="sk-SK"/>
              </w:rPr>
              <w:t>foto</w:t>
            </w:r>
            <w:proofErr w:type="spellEnd"/>
            <w:r w:rsidRPr="00B25D61">
              <w:rPr>
                <w:rFonts w:ascii="Aptos Narrow" w:eastAsia="Times New Roman" w:hAnsi="Aptos Narrow" w:cs="Times New Roman"/>
                <w:color w:val="000000"/>
                <w:sz w:val="18"/>
                <w:szCs w:val="18"/>
                <w:lang w:eastAsia="sk-SK"/>
              </w:rPr>
              <w:t>. panelov na budove Úradu BSK a DSS Rača – Podbrezovská</w:t>
            </w:r>
          </w:p>
        </w:tc>
        <w:tc>
          <w:tcPr>
            <w:tcW w:w="0" w:type="auto"/>
            <w:tcBorders>
              <w:top w:val="nil"/>
              <w:left w:val="nil"/>
              <w:bottom w:val="single" w:sz="8" w:space="0" w:color="DCE6F1"/>
              <w:right w:val="nil"/>
            </w:tcBorders>
            <w:shd w:val="clear" w:color="000000" w:fill="D9D9D9"/>
            <w:noWrap/>
            <w:vAlign w:val="center"/>
            <w:hideMark/>
          </w:tcPr>
          <w:p w14:paraId="039B24D2"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71E04A07"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127 500</w:t>
            </w:r>
          </w:p>
        </w:tc>
        <w:tc>
          <w:tcPr>
            <w:tcW w:w="0" w:type="auto"/>
            <w:tcBorders>
              <w:top w:val="nil"/>
              <w:left w:val="nil"/>
              <w:bottom w:val="single" w:sz="8" w:space="0" w:color="DCE6F1"/>
              <w:right w:val="nil"/>
            </w:tcBorders>
            <w:shd w:val="clear" w:color="000000" w:fill="D9D9D9"/>
            <w:noWrap/>
            <w:vAlign w:val="center"/>
            <w:hideMark/>
          </w:tcPr>
          <w:p w14:paraId="4484E228"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127 500</w:t>
            </w:r>
          </w:p>
        </w:tc>
        <w:tc>
          <w:tcPr>
            <w:tcW w:w="0" w:type="auto"/>
            <w:tcBorders>
              <w:top w:val="nil"/>
              <w:left w:val="nil"/>
              <w:bottom w:val="single" w:sz="8" w:space="0" w:color="DCE6F1"/>
              <w:right w:val="nil"/>
            </w:tcBorders>
            <w:shd w:val="clear" w:color="auto" w:fill="auto"/>
            <w:noWrap/>
            <w:vAlign w:val="center"/>
            <w:hideMark/>
          </w:tcPr>
          <w:p w14:paraId="38E4FCDC"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3C56614"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164 000</w:t>
            </w:r>
          </w:p>
        </w:tc>
        <w:tc>
          <w:tcPr>
            <w:tcW w:w="0" w:type="auto"/>
            <w:tcBorders>
              <w:top w:val="nil"/>
              <w:left w:val="nil"/>
              <w:bottom w:val="single" w:sz="8" w:space="0" w:color="DCE6F1"/>
              <w:right w:val="nil"/>
            </w:tcBorders>
            <w:shd w:val="clear" w:color="auto" w:fill="auto"/>
            <w:noWrap/>
            <w:vAlign w:val="center"/>
            <w:hideMark/>
          </w:tcPr>
          <w:p w14:paraId="06E9E529"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164 000</w:t>
            </w:r>
          </w:p>
        </w:tc>
      </w:tr>
      <w:tr w:rsidR="00B25D61" w:rsidRPr="00B25D61" w14:paraId="1F4F7F89" w14:textId="77777777" w:rsidTr="00B25D61">
        <w:trPr>
          <w:trHeight w:val="319"/>
        </w:trPr>
        <w:tc>
          <w:tcPr>
            <w:tcW w:w="0" w:type="auto"/>
            <w:tcBorders>
              <w:top w:val="nil"/>
              <w:left w:val="nil"/>
              <w:bottom w:val="nil"/>
              <w:right w:val="nil"/>
            </w:tcBorders>
            <w:shd w:val="clear" w:color="auto" w:fill="auto"/>
            <w:noWrap/>
            <w:vAlign w:val="bottom"/>
            <w:hideMark/>
          </w:tcPr>
          <w:p w14:paraId="34182EEB"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PZ049</w:t>
            </w:r>
          </w:p>
        </w:tc>
        <w:tc>
          <w:tcPr>
            <w:tcW w:w="0" w:type="auto"/>
            <w:tcBorders>
              <w:top w:val="nil"/>
              <w:left w:val="nil"/>
              <w:bottom w:val="nil"/>
              <w:right w:val="nil"/>
            </w:tcBorders>
            <w:shd w:val="clear" w:color="auto" w:fill="auto"/>
            <w:vAlign w:val="center"/>
            <w:hideMark/>
          </w:tcPr>
          <w:p w14:paraId="1ECCB1DC"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Rehabilitačné centrum DSS ROSA – Patrónka</w:t>
            </w:r>
          </w:p>
        </w:tc>
        <w:tc>
          <w:tcPr>
            <w:tcW w:w="0" w:type="auto"/>
            <w:tcBorders>
              <w:top w:val="nil"/>
              <w:left w:val="nil"/>
              <w:bottom w:val="single" w:sz="8" w:space="0" w:color="DCE6F1"/>
              <w:right w:val="nil"/>
            </w:tcBorders>
            <w:shd w:val="clear" w:color="000000" w:fill="D9D9D9"/>
            <w:noWrap/>
            <w:vAlign w:val="center"/>
            <w:hideMark/>
          </w:tcPr>
          <w:p w14:paraId="2DCFF926"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1E95F170"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795C05DD"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5A59E79E"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6178DD0"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17 000</w:t>
            </w:r>
          </w:p>
        </w:tc>
        <w:tc>
          <w:tcPr>
            <w:tcW w:w="0" w:type="auto"/>
            <w:tcBorders>
              <w:top w:val="nil"/>
              <w:left w:val="nil"/>
              <w:bottom w:val="single" w:sz="8" w:space="0" w:color="DCE6F1"/>
              <w:right w:val="nil"/>
            </w:tcBorders>
            <w:shd w:val="clear" w:color="auto" w:fill="auto"/>
            <w:noWrap/>
            <w:vAlign w:val="center"/>
            <w:hideMark/>
          </w:tcPr>
          <w:p w14:paraId="10A8303E"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17 000</w:t>
            </w:r>
          </w:p>
        </w:tc>
      </w:tr>
      <w:tr w:rsidR="00B25D61" w:rsidRPr="00B25D61" w14:paraId="39851824" w14:textId="77777777" w:rsidTr="00B25D61">
        <w:trPr>
          <w:trHeight w:val="319"/>
        </w:trPr>
        <w:tc>
          <w:tcPr>
            <w:tcW w:w="0" w:type="auto"/>
            <w:tcBorders>
              <w:top w:val="nil"/>
              <w:left w:val="nil"/>
              <w:bottom w:val="nil"/>
              <w:right w:val="nil"/>
            </w:tcBorders>
            <w:shd w:val="clear" w:color="auto" w:fill="auto"/>
            <w:noWrap/>
            <w:vAlign w:val="bottom"/>
            <w:hideMark/>
          </w:tcPr>
          <w:p w14:paraId="47DC6969"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PZ050</w:t>
            </w:r>
          </w:p>
        </w:tc>
        <w:tc>
          <w:tcPr>
            <w:tcW w:w="0" w:type="auto"/>
            <w:tcBorders>
              <w:top w:val="nil"/>
              <w:left w:val="nil"/>
              <w:bottom w:val="nil"/>
              <w:right w:val="nil"/>
            </w:tcBorders>
            <w:shd w:val="clear" w:color="auto" w:fill="auto"/>
            <w:vAlign w:val="center"/>
            <w:hideMark/>
          </w:tcPr>
          <w:p w14:paraId="6DC4B549"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Revitalizácia športoviska Gymnázium Hubeného</w:t>
            </w:r>
          </w:p>
        </w:tc>
        <w:tc>
          <w:tcPr>
            <w:tcW w:w="0" w:type="auto"/>
            <w:tcBorders>
              <w:top w:val="nil"/>
              <w:left w:val="nil"/>
              <w:bottom w:val="single" w:sz="8" w:space="0" w:color="DCE6F1"/>
              <w:right w:val="nil"/>
            </w:tcBorders>
            <w:shd w:val="clear" w:color="000000" w:fill="D9D9D9"/>
            <w:noWrap/>
            <w:vAlign w:val="center"/>
            <w:hideMark/>
          </w:tcPr>
          <w:p w14:paraId="2E6BB10D"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7473F931"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202BB2DB"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7793E52"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158A390"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08781A4"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r>
      <w:tr w:rsidR="00B25D61" w:rsidRPr="00B25D61" w14:paraId="77CBECB7" w14:textId="77777777" w:rsidTr="00B25D61">
        <w:trPr>
          <w:trHeight w:val="319"/>
        </w:trPr>
        <w:tc>
          <w:tcPr>
            <w:tcW w:w="0" w:type="auto"/>
            <w:tcBorders>
              <w:top w:val="nil"/>
              <w:left w:val="nil"/>
              <w:bottom w:val="nil"/>
              <w:right w:val="nil"/>
            </w:tcBorders>
            <w:shd w:val="clear" w:color="auto" w:fill="auto"/>
            <w:noWrap/>
            <w:vAlign w:val="bottom"/>
            <w:hideMark/>
          </w:tcPr>
          <w:p w14:paraId="41FBF352"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PZ051</w:t>
            </w:r>
          </w:p>
        </w:tc>
        <w:tc>
          <w:tcPr>
            <w:tcW w:w="0" w:type="auto"/>
            <w:tcBorders>
              <w:top w:val="nil"/>
              <w:left w:val="nil"/>
              <w:bottom w:val="nil"/>
              <w:right w:val="nil"/>
            </w:tcBorders>
            <w:shd w:val="clear" w:color="auto" w:fill="auto"/>
            <w:vAlign w:val="center"/>
            <w:hideMark/>
          </w:tcPr>
          <w:p w14:paraId="79B26D3F"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Revitalizácia športoviska Gymnázium Ivana Horvátha</w:t>
            </w:r>
          </w:p>
        </w:tc>
        <w:tc>
          <w:tcPr>
            <w:tcW w:w="0" w:type="auto"/>
            <w:tcBorders>
              <w:top w:val="nil"/>
              <w:left w:val="nil"/>
              <w:bottom w:val="single" w:sz="8" w:space="0" w:color="DCE6F1"/>
              <w:right w:val="nil"/>
            </w:tcBorders>
            <w:shd w:val="clear" w:color="000000" w:fill="D9D9D9"/>
            <w:noWrap/>
            <w:vAlign w:val="center"/>
            <w:hideMark/>
          </w:tcPr>
          <w:p w14:paraId="4D160FA2"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62629C88"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7C1BEFB5"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56C7FEF2"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518C5E0F"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469 000</w:t>
            </w:r>
          </w:p>
        </w:tc>
        <w:tc>
          <w:tcPr>
            <w:tcW w:w="0" w:type="auto"/>
            <w:tcBorders>
              <w:top w:val="nil"/>
              <w:left w:val="nil"/>
              <w:bottom w:val="single" w:sz="8" w:space="0" w:color="DCE6F1"/>
              <w:right w:val="nil"/>
            </w:tcBorders>
            <w:shd w:val="clear" w:color="auto" w:fill="auto"/>
            <w:noWrap/>
            <w:vAlign w:val="center"/>
            <w:hideMark/>
          </w:tcPr>
          <w:p w14:paraId="11013E9E"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469 000</w:t>
            </w:r>
          </w:p>
        </w:tc>
      </w:tr>
      <w:tr w:rsidR="00B25D61" w:rsidRPr="00B25D61" w14:paraId="1E611CE0" w14:textId="77777777" w:rsidTr="00B25D61">
        <w:trPr>
          <w:trHeight w:val="319"/>
        </w:trPr>
        <w:tc>
          <w:tcPr>
            <w:tcW w:w="0" w:type="auto"/>
            <w:tcBorders>
              <w:top w:val="nil"/>
              <w:left w:val="nil"/>
              <w:bottom w:val="nil"/>
              <w:right w:val="nil"/>
            </w:tcBorders>
            <w:shd w:val="clear" w:color="auto" w:fill="auto"/>
            <w:noWrap/>
            <w:vAlign w:val="bottom"/>
            <w:hideMark/>
          </w:tcPr>
          <w:p w14:paraId="654526F5"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PZ054</w:t>
            </w:r>
          </w:p>
        </w:tc>
        <w:tc>
          <w:tcPr>
            <w:tcW w:w="0" w:type="auto"/>
            <w:tcBorders>
              <w:top w:val="nil"/>
              <w:left w:val="nil"/>
              <w:bottom w:val="nil"/>
              <w:right w:val="nil"/>
            </w:tcBorders>
            <w:shd w:val="clear" w:color="auto" w:fill="auto"/>
            <w:vAlign w:val="center"/>
            <w:hideMark/>
          </w:tcPr>
          <w:p w14:paraId="28F47639"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Revitalizácia športoviska SPŠ elektrotechnická Zochova</w:t>
            </w:r>
          </w:p>
        </w:tc>
        <w:tc>
          <w:tcPr>
            <w:tcW w:w="0" w:type="auto"/>
            <w:tcBorders>
              <w:top w:val="nil"/>
              <w:left w:val="nil"/>
              <w:bottom w:val="single" w:sz="8" w:space="0" w:color="DCE6F1"/>
              <w:right w:val="nil"/>
            </w:tcBorders>
            <w:shd w:val="clear" w:color="000000" w:fill="D9D9D9"/>
            <w:noWrap/>
            <w:vAlign w:val="center"/>
            <w:hideMark/>
          </w:tcPr>
          <w:p w14:paraId="45682DCA"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8B18A5B"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5E159515"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7D05202A"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8AFEDC8"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247 500</w:t>
            </w:r>
          </w:p>
        </w:tc>
        <w:tc>
          <w:tcPr>
            <w:tcW w:w="0" w:type="auto"/>
            <w:tcBorders>
              <w:top w:val="nil"/>
              <w:left w:val="nil"/>
              <w:bottom w:val="single" w:sz="8" w:space="0" w:color="DCE6F1"/>
              <w:right w:val="nil"/>
            </w:tcBorders>
            <w:shd w:val="clear" w:color="auto" w:fill="auto"/>
            <w:noWrap/>
            <w:vAlign w:val="center"/>
            <w:hideMark/>
          </w:tcPr>
          <w:p w14:paraId="2041FBAF"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247 500</w:t>
            </w:r>
          </w:p>
        </w:tc>
      </w:tr>
      <w:tr w:rsidR="00B25D61" w:rsidRPr="00B25D61" w14:paraId="59F18840" w14:textId="77777777" w:rsidTr="00B25D61">
        <w:trPr>
          <w:trHeight w:val="330"/>
        </w:trPr>
        <w:tc>
          <w:tcPr>
            <w:tcW w:w="0" w:type="auto"/>
            <w:tcBorders>
              <w:top w:val="nil"/>
              <w:left w:val="nil"/>
              <w:bottom w:val="nil"/>
              <w:right w:val="nil"/>
            </w:tcBorders>
            <w:shd w:val="clear" w:color="auto" w:fill="auto"/>
            <w:noWrap/>
            <w:vAlign w:val="bottom"/>
            <w:hideMark/>
          </w:tcPr>
          <w:p w14:paraId="0E9D8EFA"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PZ055</w:t>
            </w:r>
          </w:p>
        </w:tc>
        <w:tc>
          <w:tcPr>
            <w:tcW w:w="0" w:type="auto"/>
            <w:tcBorders>
              <w:top w:val="nil"/>
              <w:left w:val="nil"/>
              <w:bottom w:val="nil"/>
              <w:right w:val="nil"/>
            </w:tcBorders>
            <w:shd w:val="clear" w:color="auto" w:fill="auto"/>
            <w:vAlign w:val="center"/>
            <w:hideMark/>
          </w:tcPr>
          <w:p w14:paraId="4D82B8E1"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Revitalizácia športoviska Gymnázium Einsteinova</w:t>
            </w:r>
          </w:p>
        </w:tc>
        <w:tc>
          <w:tcPr>
            <w:tcW w:w="0" w:type="auto"/>
            <w:tcBorders>
              <w:top w:val="nil"/>
              <w:left w:val="nil"/>
              <w:bottom w:val="single" w:sz="8" w:space="0" w:color="DCE6F1"/>
              <w:right w:val="nil"/>
            </w:tcBorders>
            <w:shd w:val="clear" w:color="000000" w:fill="D9D9D9"/>
            <w:noWrap/>
            <w:vAlign w:val="center"/>
            <w:hideMark/>
          </w:tcPr>
          <w:p w14:paraId="2AFB6216"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08EEB160"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8175903"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42BE9737"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24BBEBA1"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584B4060"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r>
      <w:tr w:rsidR="00B25D61" w:rsidRPr="00B25D61" w14:paraId="316AE33F" w14:textId="77777777" w:rsidTr="00B25D61">
        <w:trPr>
          <w:trHeight w:val="510"/>
        </w:trPr>
        <w:tc>
          <w:tcPr>
            <w:tcW w:w="0" w:type="auto"/>
            <w:tcBorders>
              <w:top w:val="nil"/>
              <w:left w:val="nil"/>
              <w:bottom w:val="nil"/>
              <w:right w:val="nil"/>
            </w:tcBorders>
            <w:shd w:val="clear" w:color="auto" w:fill="auto"/>
            <w:noWrap/>
            <w:vAlign w:val="center"/>
            <w:hideMark/>
          </w:tcPr>
          <w:p w14:paraId="2204F63D"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lastRenderedPageBreak/>
              <w:t>PZ056</w:t>
            </w:r>
          </w:p>
        </w:tc>
        <w:tc>
          <w:tcPr>
            <w:tcW w:w="0" w:type="auto"/>
            <w:tcBorders>
              <w:top w:val="nil"/>
              <w:left w:val="nil"/>
              <w:bottom w:val="nil"/>
              <w:right w:val="nil"/>
            </w:tcBorders>
            <w:shd w:val="clear" w:color="auto" w:fill="auto"/>
            <w:vAlign w:val="center"/>
            <w:hideMark/>
          </w:tcPr>
          <w:p w14:paraId="336746B8" w14:textId="77777777" w:rsidR="00B25D61" w:rsidRPr="00B25D61" w:rsidRDefault="00B25D61" w:rsidP="00B25D61">
            <w:pPr>
              <w:spacing w:after="0" w:line="240" w:lineRule="auto"/>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 xml:space="preserve">Revitalizácia športoviska SŠ, SOŠ podnikania, </w:t>
            </w:r>
            <w:proofErr w:type="spellStart"/>
            <w:r w:rsidRPr="00B25D61">
              <w:rPr>
                <w:rFonts w:ascii="Aptos Narrow" w:eastAsia="Times New Roman" w:hAnsi="Aptos Narrow" w:cs="Times New Roman"/>
                <w:color w:val="000000"/>
                <w:sz w:val="18"/>
                <w:szCs w:val="18"/>
                <w:lang w:eastAsia="sk-SK"/>
              </w:rPr>
              <w:t>Myslenická</w:t>
            </w:r>
            <w:proofErr w:type="spellEnd"/>
            <w:r w:rsidRPr="00B25D61">
              <w:rPr>
                <w:rFonts w:ascii="Aptos Narrow" w:eastAsia="Times New Roman" w:hAnsi="Aptos Narrow" w:cs="Times New Roman"/>
                <w:color w:val="000000"/>
                <w:sz w:val="18"/>
                <w:szCs w:val="18"/>
                <w:lang w:eastAsia="sk-SK"/>
              </w:rPr>
              <w:t xml:space="preserve"> 1, Pezinok (Komenského)</w:t>
            </w:r>
          </w:p>
        </w:tc>
        <w:tc>
          <w:tcPr>
            <w:tcW w:w="0" w:type="auto"/>
            <w:tcBorders>
              <w:top w:val="nil"/>
              <w:left w:val="nil"/>
              <w:bottom w:val="single" w:sz="8" w:space="0" w:color="DCE6F1"/>
              <w:right w:val="nil"/>
            </w:tcBorders>
            <w:shd w:val="clear" w:color="000000" w:fill="D9D9D9"/>
            <w:noWrap/>
            <w:vAlign w:val="center"/>
            <w:hideMark/>
          </w:tcPr>
          <w:p w14:paraId="1C10E267" w14:textId="77777777" w:rsidR="00B25D61" w:rsidRPr="00B25D61" w:rsidRDefault="00B25D61" w:rsidP="00B25D61">
            <w:pPr>
              <w:spacing w:after="0" w:line="240" w:lineRule="auto"/>
              <w:jc w:val="right"/>
              <w:rPr>
                <w:rFonts w:ascii="Aptos Narrow" w:eastAsia="Times New Roman" w:hAnsi="Aptos Narrow" w:cs="Times New Roman"/>
                <w:color w:val="000000"/>
                <w:sz w:val="18"/>
                <w:szCs w:val="18"/>
                <w:lang w:eastAsia="sk-SK"/>
              </w:rPr>
            </w:pPr>
            <w:r w:rsidRPr="00B25D61">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ECA4FED"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000000" w:fill="D9D9D9"/>
            <w:noWrap/>
            <w:vAlign w:val="center"/>
            <w:hideMark/>
          </w:tcPr>
          <w:p w14:paraId="42690E04"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534B7DE7"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0</w:t>
            </w:r>
          </w:p>
        </w:tc>
        <w:tc>
          <w:tcPr>
            <w:tcW w:w="0" w:type="auto"/>
            <w:tcBorders>
              <w:top w:val="nil"/>
              <w:left w:val="nil"/>
              <w:bottom w:val="single" w:sz="8" w:space="0" w:color="DCE6F1"/>
              <w:right w:val="nil"/>
            </w:tcBorders>
            <w:shd w:val="clear" w:color="auto" w:fill="auto"/>
            <w:noWrap/>
            <w:vAlign w:val="center"/>
            <w:hideMark/>
          </w:tcPr>
          <w:p w14:paraId="1229E794"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287 500</w:t>
            </w:r>
          </w:p>
        </w:tc>
        <w:tc>
          <w:tcPr>
            <w:tcW w:w="0" w:type="auto"/>
            <w:tcBorders>
              <w:top w:val="nil"/>
              <w:left w:val="nil"/>
              <w:bottom w:val="single" w:sz="8" w:space="0" w:color="DCE6F1"/>
              <w:right w:val="nil"/>
            </w:tcBorders>
            <w:shd w:val="clear" w:color="auto" w:fill="auto"/>
            <w:noWrap/>
            <w:vAlign w:val="center"/>
            <w:hideMark/>
          </w:tcPr>
          <w:p w14:paraId="6CA5D861" w14:textId="77777777" w:rsidR="00B25D61" w:rsidRPr="00372583" w:rsidRDefault="00B25D61" w:rsidP="00B25D61">
            <w:pPr>
              <w:spacing w:after="0" w:line="240" w:lineRule="auto"/>
              <w:jc w:val="right"/>
              <w:rPr>
                <w:rFonts w:ascii="Aptos Narrow" w:eastAsia="Times New Roman" w:hAnsi="Aptos Narrow" w:cs="Times New Roman"/>
                <w:color w:val="000000"/>
                <w:sz w:val="18"/>
                <w:szCs w:val="18"/>
                <w:lang w:eastAsia="sk-SK"/>
              </w:rPr>
            </w:pPr>
            <w:r w:rsidRPr="00372583">
              <w:rPr>
                <w:rFonts w:ascii="Aptos Narrow" w:eastAsia="Times New Roman" w:hAnsi="Aptos Narrow" w:cs="Times New Roman"/>
                <w:color w:val="000000"/>
                <w:sz w:val="18"/>
                <w:szCs w:val="18"/>
                <w:lang w:eastAsia="sk-SK"/>
              </w:rPr>
              <w:t>287 500</w:t>
            </w:r>
          </w:p>
        </w:tc>
      </w:tr>
      <w:tr w:rsidR="00B25D61" w:rsidRPr="00B25D61" w14:paraId="28FAC913" w14:textId="77777777" w:rsidTr="00B25D61">
        <w:trPr>
          <w:trHeight w:val="319"/>
        </w:trPr>
        <w:tc>
          <w:tcPr>
            <w:tcW w:w="0" w:type="auto"/>
            <w:tcBorders>
              <w:top w:val="nil"/>
              <w:left w:val="nil"/>
              <w:bottom w:val="nil"/>
              <w:right w:val="nil"/>
            </w:tcBorders>
            <w:shd w:val="clear" w:color="000000" w:fill="9BC2E6"/>
            <w:noWrap/>
            <w:vAlign w:val="center"/>
            <w:hideMark/>
          </w:tcPr>
          <w:p w14:paraId="6C9CB1D7"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 </w:t>
            </w:r>
          </w:p>
        </w:tc>
        <w:tc>
          <w:tcPr>
            <w:tcW w:w="0" w:type="auto"/>
            <w:tcBorders>
              <w:top w:val="nil"/>
              <w:left w:val="nil"/>
              <w:bottom w:val="nil"/>
              <w:right w:val="nil"/>
            </w:tcBorders>
            <w:shd w:val="clear" w:color="000000" w:fill="9BC2E6"/>
            <w:noWrap/>
            <w:vAlign w:val="center"/>
            <w:hideMark/>
          </w:tcPr>
          <w:p w14:paraId="525F69A9"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 </w:t>
            </w:r>
          </w:p>
        </w:tc>
        <w:tc>
          <w:tcPr>
            <w:tcW w:w="0" w:type="auto"/>
            <w:tcBorders>
              <w:top w:val="nil"/>
              <w:left w:val="nil"/>
              <w:bottom w:val="nil"/>
              <w:right w:val="nil"/>
            </w:tcBorders>
            <w:shd w:val="clear" w:color="000000" w:fill="9BC2E6"/>
            <w:noWrap/>
            <w:vAlign w:val="center"/>
            <w:hideMark/>
          </w:tcPr>
          <w:p w14:paraId="3165493E"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654 138</w:t>
            </w:r>
          </w:p>
        </w:tc>
        <w:tc>
          <w:tcPr>
            <w:tcW w:w="0" w:type="auto"/>
            <w:tcBorders>
              <w:top w:val="nil"/>
              <w:left w:val="nil"/>
              <w:bottom w:val="nil"/>
              <w:right w:val="nil"/>
            </w:tcBorders>
            <w:shd w:val="clear" w:color="000000" w:fill="9BC2E6"/>
            <w:noWrap/>
            <w:vAlign w:val="center"/>
            <w:hideMark/>
          </w:tcPr>
          <w:p w14:paraId="15B7A8FE"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13 989 352</w:t>
            </w:r>
          </w:p>
        </w:tc>
        <w:tc>
          <w:tcPr>
            <w:tcW w:w="0" w:type="auto"/>
            <w:tcBorders>
              <w:top w:val="nil"/>
              <w:left w:val="nil"/>
              <w:bottom w:val="nil"/>
              <w:right w:val="nil"/>
            </w:tcBorders>
            <w:shd w:val="clear" w:color="000000" w:fill="9BC2E6"/>
            <w:noWrap/>
            <w:vAlign w:val="center"/>
            <w:hideMark/>
          </w:tcPr>
          <w:p w14:paraId="41DAC71B"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14 643 489</w:t>
            </w:r>
          </w:p>
        </w:tc>
        <w:tc>
          <w:tcPr>
            <w:tcW w:w="0" w:type="auto"/>
            <w:tcBorders>
              <w:top w:val="nil"/>
              <w:left w:val="nil"/>
              <w:bottom w:val="nil"/>
              <w:right w:val="nil"/>
            </w:tcBorders>
            <w:shd w:val="clear" w:color="000000" w:fill="9BC2E6"/>
            <w:noWrap/>
            <w:vAlign w:val="center"/>
            <w:hideMark/>
          </w:tcPr>
          <w:p w14:paraId="01151E72"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1 201 898</w:t>
            </w:r>
          </w:p>
        </w:tc>
        <w:tc>
          <w:tcPr>
            <w:tcW w:w="0" w:type="auto"/>
            <w:tcBorders>
              <w:top w:val="nil"/>
              <w:left w:val="nil"/>
              <w:bottom w:val="nil"/>
              <w:right w:val="nil"/>
            </w:tcBorders>
            <w:shd w:val="clear" w:color="000000" w:fill="9BC2E6"/>
            <w:noWrap/>
            <w:vAlign w:val="center"/>
            <w:hideMark/>
          </w:tcPr>
          <w:p w14:paraId="223DA168"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30 589 331</w:t>
            </w:r>
          </w:p>
        </w:tc>
        <w:tc>
          <w:tcPr>
            <w:tcW w:w="0" w:type="auto"/>
            <w:tcBorders>
              <w:top w:val="nil"/>
              <w:left w:val="nil"/>
              <w:bottom w:val="nil"/>
              <w:right w:val="nil"/>
            </w:tcBorders>
            <w:shd w:val="clear" w:color="000000" w:fill="9BC2E6"/>
            <w:noWrap/>
            <w:vAlign w:val="center"/>
            <w:hideMark/>
          </w:tcPr>
          <w:p w14:paraId="3165C9C8" w14:textId="77777777" w:rsidR="00B25D61" w:rsidRPr="00B25D61" w:rsidRDefault="00B25D61" w:rsidP="00B25D61">
            <w:pPr>
              <w:spacing w:after="0" w:line="240" w:lineRule="auto"/>
              <w:jc w:val="right"/>
              <w:rPr>
                <w:rFonts w:ascii="Aptos Narrow" w:eastAsia="Times New Roman" w:hAnsi="Aptos Narrow" w:cs="Times New Roman"/>
                <w:b/>
                <w:bCs/>
                <w:color w:val="000000"/>
                <w:sz w:val="18"/>
                <w:szCs w:val="18"/>
                <w:lang w:eastAsia="sk-SK"/>
              </w:rPr>
            </w:pPr>
            <w:r w:rsidRPr="00B25D61">
              <w:rPr>
                <w:rFonts w:ascii="Aptos Narrow" w:eastAsia="Times New Roman" w:hAnsi="Aptos Narrow" w:cs="Times New Roman"/>
                <w:b/>
                <w:bCs/>
                <w:color w:val="000000"/>
                <w:sz w:val="18"/>
                <w:szCs w:val="18"/>
                <w:lang w:eastAsia="sk-SK"/>
              </w:rPr>
              <w:t>31 791 229</w:t>
            </w:r>
          </w:p>
        </w:tc>
      </w:tr>
    </w:tbl>
    <w:p w14:paraId="22A95734" w14:textId="77777777" w:rsidR="004E0281" w:rsidRDefault="004E0281" w:rsidP="00C8280C">
      <w:pPr>
        <w:spacing w:after="0" w:line="240" w:lineRule="auto"/>
        <w:jc w:val="both"/>
        <w:rPr>
          <w:rFonts w:cstheme="minorHAnsi"/>
          <w:sz w:val="24"/>
          <w:szCs w:val="24"/>
        </w:rPr>
      </w:pPr>
    </w:p>
    <w:p w14:paraId="2533F180" w14:textId="77777777" w:rsidR="004E0281" w:rsidRDefault="004E0281" w:rsidP="00C8280C">
      <w:pPr>
        <w:spacing w:after="0" w:line="240" w:lineRule="auto"/>
        <w:jc w:val="both"/>
        <w:rPr>
          <w:rFonts w:cstheme="minorHAnsi"/>
          <w:sz w:val="24"/>
          <w:szCs w:val="24"/>
        </w:rPr>
      </w:pPr>
    </w:p>
    <w:p w14:paraId="681A753A" w14:textId="77777777" w:rsidR="00C8280C" w:rsidRPr="003E1C53" w:rsidRDefault="00C8280C" w:rsidP="00C8280C">
      <w:pPr>
        <w:spacing w:before="120" w:after="120"/>
        <w:jc w:val="both"/>
        <w:rPr>
          <w:rFonts w:cstheme="minorHAnsi"/>
          <w:b/>
          <w:sz w:val="28"/>
          <w:szCs w:val="28"/>
        </w:rPr>
      </w:pPr>
      <w:r w:rsidRPr="00F51AFD">
        <w:rPr>
          <w:rFonts w:cstheme="minorHAnsi"/>
          <w:b/>
          <w:sz w:val="28"/>
          <w:szCs w:val="28"/>
        </w:rPr>
        <w:t>2.4 Príjmové finančné operácie</w:t>
      </w:r>
      <w:r w:rsidRPr="003E1C53">
        <w:rPr>
          <w:rFonts w:cstheme="minorHAnsi"/>
          <w:b/>
          <w:sz w:val="28"/>
          <w:szCs w:val="28"/>
        </w:rPr>
        <w:t xml:space="preserve"> </w:t>
      </w:r>
    </w:p>
    <w:p w14:paraId="5A102755" w14:textId="4DA4AF07" w:rsidR="00C8280C" w:rsidRPr="00B2535F" w:rsidRDefault="00C8280C" w:rsidP="0096461C">
      <w:pPr>
        <w:spacing w:after="0" w:line="240" w:lineRule="auto"/>
        <w:jc w:val="both"/>
        <w:rPr>
          <w:rFonts w:cstheme="minorHAnsi"/>
          <w:sz w:val="24"/>
          <w:szCs w:val="24"/>
        </w:rPr>
      </w:pPr>
      <w:r w:rsidRPr="00433778">
        <w:rPr>
          <w:rFonts w:cstheme="minorHAnsi"/>
          <w:sz w:val="24"/>
          <w:szCs w:val="24"/>
        </w:rPr>
        <w:t>Príjmové finančné operácie</w:t>
      </w:r>
      <w:r>
        <w:rPr>
          <w:rFonts w:cstheme="minorHAnsi"/>
          <w:sz w:val="24"/>
          <w:szCs w:val="24"/>
        </w:rPr>
        <w:t xml:space="preserve"> (ďalej len „PFO“)</w:t>
      </w:r>
      <w:r w:rsidRPr="00433778">
        <w:rPr>
          <w:rFonts w:cstheme="minorHAnsi"/>
          <w:sz w:val="24"/>
          <w:szCs w:val="24"/>
        </w:rPr>
        <w:t xml:space="preserve"> </w:t>
      </w:r>
      <w:r w:rsidRPr="00433778">
        <w:rPr>
          <w:rFonts w:cstheme="minorHAnsi"/>
          <w:b/>
          <w:sz w:val="24"/>
          <w:szCs w:val="24"/>
        </w:rPr>
        <w:t>pre rok</w:t>
      </w:r>
      <w:r>
        <w:rPr>
          <w:rFonts w:cstheme="minorHAnsi"/>
          <w:b/>
          <w:sz w:val="24"/>
          <w:szCs w:val="24"/>
        </w:rPr>
        <w:t xml:space="preserve"> 202</w:t>
      </w:r>
      <w:r w:rsidR="004E239D">
        <w:rPr>
          <w:rFonts w:cstheme="minorHAnsi"/>
          <w:b/>
          <w:sz w:val="24"/>
          <w:szCs w:val="24"/>
        </w:rPr>
        <w:t>5</w:t>
      </w:r>
      <w:r>
        <w:rPr>
          <w:rFonts w:cstheme="minorHAnsi"/>
          <w:b/>
          <w:sz w:val="24"/>
          <w:szCs w:val="24"/>
        </w:rPr>
        <w:t xml:space="preserve"> </w:t>
      </w:r>
      <w:r w:rsidRPr="00433778">
        <w:rPr>
          <w:rFonts w:cstheme="minorHAnsi"/>
          <w:b/>
          <w:sz w:val="24"/>
          <w:szCs w:val="24"/>
        </w:rPr>
        <w:t>plán</w:t>
      </w:r>
      <w:r>
        <w:rPr>
          <w:rFonts w:cstheme="minorHAnsi"/>
          <w:b/>
          <w:sz w:val="24"/>
          <w:szCs w:val="24"/>
        </w:rPr>
        <w:t xml:space="preserve">ujeme vo výške  </w:t>
      </w:r>
      <w:r w:rsidR="009240CC" w:rsidRPr="009240CC">
        <w:rPr>
          <w:rFonts w:cstheme="minorHAnsi"/>
          <w:b/>
          <w:sz w:val="24"/>
          <w:szCs w:val="24"/>
        </w:rPr>
        <w:t>47 777</w:t>
      </w:r>
      <w:r w:rsidR="009240CC">
        <w:rPr>
          <w:rFonts w:cstheme="minorHAnsi"/>
          <w:b/>
          <w:sz w:val="24"/>
          <w:szCs w:val="24"/>
        </w:rPr>
        <w:t> </w:t>
      </w:r>
      <w:r w:rsidR="009240CC" w:rsidRPr="009240CC">
        <w:rPr>
          <w:rFonts w:cstheme="minorHAnsi"/>
          <w:b/>
          <w:sz w:val="24"/>
          <w:szCs w:val="24"/>
        </w:rPr>
        <w:t>674</w:t>
      </w:r>
      <w:r w:rsidR="009240CC">
        <w:rPr>
          <w:rFonts w:cstheme="minorHAnsi"/>
          <w:b/>
          <w:sz w:val="24"/>
          <w:szCs w:val="24"/>
        </w:rPr>
        <w:t xml:space="preserve"> </w:t>
      </w:r>
      <w:r>
        <w:rPr>
          <w:rFonts w:cstheme="minorHAnsi"/>
          <w:b/>
          <w:sz w:val="24"/>
          <w:szCs w:val="24"/>
        </w:rPr>
        <w:t>EUR</w:t>
      </w:r>
      <w:r w:rsidRPr="007548C4">
        <w:rPr>
          <w:rFonts w:ascii="Calibri" w:hAnsi="Calibri" w:cstheme="minorHAnsi"/>
        </w:rPr>
        <w:t xml:space="preserve"> </w:t>
      </w:r>
      <w:r>
        <w:rPr>
          <w:rFonts w:ascii="Calibri" w:hAnsi="Calibri" w:cstheme="minorHAnsi"/>
        </w:rPr>
        <w:t xml:space="preserve">na </w:t>
      </w:r>
      <w:r w:rsidRPr="00B2535F">
        <w:rPr>
          <w:rFonts w:cstheme="minorHAnsi"/>
          <w:sz w:val="24"/>
          <w:szCs w:val="24"/>
        </w:rPr>
        <w:t xml:space="preserve">financovanie investičných výdavkov, a </w:t>
      </w:r>
      <w:r w:rsidRPr="001F4710">
        <w:rPr>
          <w:rFonts w:cstheme="minorHAnsi"/>
          <w:sz w:val="24"/>
          <w:szCs w:val="24"/>
        </w:rPr>
        <w:t>plánuje</w:t>
      </w:r>
      <w:r>
        <w:rPr>
          <w:rFonts w:cstheme="minorHAnsi"/>
          <w:sz w:val="24"/>
          <w:szCs w:val="24"/>
        </w:rPr>
        <w:t>me</w:t>
      </w:r>
      <w:r w:rsidRPr="001F4710">
        <w:rPr>
          <w:rFonts w:cstheme="minorHAnsi"/>
          <w:sz w:val="24"/>
          <w:szCs w:val="24"/>
        </w:rPr>
        <w:t xml:space="preserve"> zapojiť prostredníctvom </w:t>
      </w:r>
      <w:r>
        <w:rPr>
          <w:rFonts w:cstheme="minorHAnsi"/>
          <w:sz w:val="24"/>
          <w:szCs w:val="24"/>
        </w:rPr>
        <w:t xml:space="preserve">nich </w:t>
      </w:r>
      <w:r w:rsidRPr="001F4710">
        <w:rPr>
          <w:rFonts w:cstheme="minorHAnsi"/>
          <w:sz w:val="24"/>
          <w:szCs w:val="24"/>
        </w:rPr>
        <w:t>:</w:t>
      </w:r>
    </w:p>
    <w:p w14:paraId="0A7DD29A" w14:textId="77777777" w:rsidR="00A02DAE" w:rsidRPr="00A02DAE" w:rsidRDefault="00C8280C" w:rsidP="0096461C">
      <w:pPr>
        <w:pStyle w:val="Odsekzoznamu"/>
        <w:numPr>
          <w:ilvl w:val="0"/>
          <w:numId w:val="2"/>
        </w:numPr>
        <w:spacing w:after="0"/>
        <w:jc w:val="both"/>
        <w:rPr>
          <w:rFonts w:ascii="Calibri" w:hAnsi="Calibri" w:cstheme="minorHAnsi"/>
        </w:rPr>
      </w:pPr>
      <w:r w:rsidRPr="00A02DAE">
        <w:rPr>
          <w:rFonts w:ascii="Calibri" w:hAnsi="Calibri" w:cstheme="minorHAnsi"/>
          <w:b/>
          <w:bCs/>
        </w:rPr>
        <w:t>prostriedky</w:t>
      </w:r>
      <w:r w:rsidRPr="00A02DAE">
        <w:rPr>
          <w:rFonts w:ascii="Calibri" w:hAnsi="Calibri" w:cstheme="minorHAnsi"/>
        </w:rPr>
        <w:t xml:space="preserve"> </w:t>
      </w:r>
      <w:r w:rsidRPr="00A02DAE">
        <w:rPr>
          <w:rFonts w:ascii="Calibri" w:hAnsi="Calibri" w:cstheme="minorHAnsi"/>
          <w:b/>
          <w:bCs/>
        </w:rPr>
        <w:t>rezervného fondu</w:t>
      </w:r>
      <w:r w:rsidRPr="00A02DAE">
        <w:rPr>
          <w:rFonts w:ascii="Calibri" w:hAnsi="Calibri" w:cstheme="minorHAnsi"/>
        </w:rPr>
        <w:t xml:space="preserve"> vo </w:t>
      </w:r>
      <w:r w:rsidRPr="00A02DAE">
        <w:rPr>
          <w:rFonts w:ascii="Calibri" w:hAnsi="Calibri" w:cstheme="minorHAnsi"/>
          <w:b/>
          <w:bCs/>
        </w:rPr>
        <w:t xml:space="preserve">výške </w:t>
      </w:r>
      <w:r w:rsidR="009240CC" w:rsidRPr="00A02DAE">
        <w:rPr>
          <w:rFonts w:ascii="Calibri" w:hAnsi="Calibri" w:cstheme="minorHAnsi"/>
          <w:b/>
          <w:bCs/>
        </w:rPr>
        <w:t xml:space="preserve">17 000 000 </w:t>
      </w:r>
      <w:r w:rsidRPr="00A02DAE">
        <w:rPr>
          <w:rFonts w:ascii="Calibri" w:hAnsi="Calibri" w:cstheme="minorHAnsi"/>
          <w:b/>
          <w:bCs/>
        </w:rPr>
        <w:t>€</w:t>
      </w:r>
      <w:r w:rsidR="00F819FD" w:rsidRPr="00A02DAE">
        <w:rPr>
          <w:rFonts w:ascii="Calibri" w:hAnsi="Calibri" w:cstheme="minorHAnsi"/>
          <w:b/>
          <w:bCs/>
        </w:rPr>
        <w:t>,</w:t>
      </w:r>
    </w:p>
    <w:p w14:paraId="2F22FBA8" w14:textId="10684077" w:rsidR="00DD0ACE" w:rsidRPr="00A02DAE" w:rsidRDefault="00C8280C" w:rsidP="0096461C">
      <w:pPr>
        <w:pStyle w:val="Odsekzoznamu"/>
        <w:numPr>
          <w:ilvl w:val="0"/>
          <w:numId w:val="2"/>
        </w:numPr>
        <w:spacing w:after="0"/>
        <w:jc w:val="both"/>
        <w:rPr>
          <w:rFonts w:ascii="Calibri" w:hAnsi="Calibri" w:cstheme="minorHAnsi"/>
        </w:rPr>
      </w:pPr>
      <w:r w:rsidRPr="00A02DAE">
        <w:rPr>
          <w:rFonts w:ascii="Calibri" w:hAnsi="Calibri" w:cstheme="minorHAnsi"/>
          <w:b/>
          <w:bCs/>
        </w:rPr>
        <w:t>zostatky z minulých rokov</w:t>
      </w:r>
      <w:r w:rsidRPr="00A02DAE">
        <w:rPr>
          <w:rFonts w:ascii="Calibri" w:hAnsi="Calibri" w:cstheme="minorHAnsi"/>
        </w:rPr>
        <w:t xml:space="preserve"> vo výške </w:t>
      </w:r>
      <w:r w:rsidR="009240CC" w:rsidRPr="00A02DAE">
        <w:rPr>
          <w:rFonts w:ascii="Calibri" w:hAnsi="Calibri" w:cstheme="minorHAnsi"/>
          <w:b/>
          <w:bCs/>
        </w:rPr>
        <w:t xml:space="preserve">11 797 674 </w:t>
      </w:r>
      <w:r w:rsidRPr="00A02DAE">
        <w:rPr>
          <w:rFonts w:ascii="Calibri" w:hAnsi="Calibri" w:cstheme="minorHAnsi"/>
          <w:b/>
          <w:bCs/>
        </w:rPr>
        <w:t>€,</w:t>
      </w:r>
      <w:r w:rsidRPr="00A02DAE">
        <w:rPr>
          <w:rFonts w:ascii="Calibri" w:hAnsi="Calibri" w:cstheme="minorHAnsi"/>
        </w:rPr>
        <w:t xml:space="preserve"> z</w:t>
      </w:r>
      <w:r w:rsidR="00DD0ACE" w:rsidRPr="00A02DAE">
        <w:rPr>
          <w:rFonts w:ascii="Calibri" w:hAnsi="Calibri" w:cstheme="minorHAnsi"/>
        </w:rPr>
        <w:t> </w:t>
      </w:r>
      <w:r w:rsidRPr="00A02DAE">
        <w:rPr>
          <w:rFonts w:ascii="Calibri" w:hAnsi="Calibri" w:cstheme="minorHAnsi"/>
        </w:rPr>
        <w:t>čoho</w:t>
      </w:r>
    </w:p>
    <w:p w14:paraId="4EC9B7B0" w14:textId="5A19E996" w:rsidR="00314D21" w:rsidRPr="00DD0ACE" w:rsidRDefault="000B16DB" w:rsidP="0096461C">
      <w:pPr>
        <w:pStyle w:val="Odsekzoznamu"/>
        <w:numPr>
          <w:ilvl w:val="1"/>
          <w:numId w:val="2"/>
        </w:numPr>
        <w:spacing w:before="0" w:beforeAutospacing="0" w:after="0" w:afterAutospacing="0"/>
        <w:jc w:val="both"/>
        <w:rPr>
          <w:rFonts w:ascii="Calibri" w:hAnsi="Calibri" w:cstheme="minorHAnsi"/>
          <w:lang w:eastAsia="en-US"/>
        </w:rPr>
      </w:pPr>
      <w:r w:rsidRPr="00DD0ACE">
        <w:rPr>
          <w:rFonts w:ascii="Calibri" w:hAnsi="Calibri" w:cstheme="minorHAnsi"/>
          <w:b/>
          <w:bCs/>
        </w:rPr>
        <w:t xml:space="preserve">11 453 301,84 </w:t>
      </w:r>
      <w:r w:rsidR="00314D21" w:rsidRPr="00DD0ACE">
        <w:rPr>
          <w:rFonts w:ascii="Calibri" w:hAnsi="Calibri" w:cstheme="minorHAnsi"/>
          <w:b/>
          <w:bCs/>
        </w:rPr>
        <w:t>€ je</w:t>
      </w:r>
      <w:r w:rsidR="00314D21" w:rsidRPr="00DD0ACE">
        <w:rPr>
          <w:rFonts w:ascii="Calibri" w:hAnsi="Calibri" w:cstheme="minorHAnsi"/>
        </w:rPr>
        <w:t> </w:t>
      </w:r>
      <w:r w:rsidR="006E4683" w:rsidRPr="00DD0ACE">
        <w:rPr>
          <w:rFonts w:ascii="Calibri" w:hAnsi="Calibri" w:cstheme="minorHAnsi"/>
        </w:rPr>
        <w:t>zostatok nevyčerpaného úveru z NDF II z roku 2023 na investície v rámci ciest II. a III. triedy. Tento úver sa neráta do zadlženia BSK (§17, ods. 8 zákona č. 583/2004 Z. z. o rozpočtových pravidlách územnej samosprávy</w:t>
      </w:r>
      <w:r w:rsidR="00241EE4" w:rsidRPr="00DD0ACE">
        <w:rPr>
          <w:rFonts w:ascii="Calibri" w:hAnsi="Calibri" w:cstheme="minorHAnsi"/>
        </w:rPr>
        <w:t>)</w:t>
      </w:r>
      <w:r w:rsidR="00F75D5C" w:rsidRPr="00DD0ACE">
        <w:rPr>
          <w:rFonts w:ascii="Calibri" w:hAnsi="Calibri" w:cstheme="minorHAnsi"/>
        </w:rPr>
        <w:t>,</w:t>
      </w:r>
    </w:p>
    <w:p w14:paraId="70FDBAEF" w14:textId="419E85C8" w:rsidR="005E65A8" w:rsidRPr="009A5522" w:rsidRDefault="005E65A8" w:rsidP="0096461C">
      <w:pPr>
        <w:pStyle w:val="Odsekzoznamu"/>
        <w:numPr>
          <w:ilvl w:val="1"/>
          <w:numId w:val="2"/>
        </w:numPr>
        <w:spacing w:before="0" w:beforeAutospacing="0" w:after="0" w:afterAutospacing="0"/>
        <w:jc w:val="both"/>
        <w:rPr>
          <w:rFonts w:ascii="Calibri" w:hAnsi="Calibri" w:cstheme="minorHAnsi"/>
          <w:lang w:eastAsia="en-US"/>
        </w:rPr>
      </w:pPr>
      <w:r>
        <w:rPr>
          <w:rFonts w:ascii="Calibri" w:hAnsi="Calibri" w:cs="Calibri"/>
          <w:b/>
          <w:bCs/>
          <w:color w:val="000000"/>
        </w:rPr>
        <w:t>56 000</w:t>
      </w:r>
      <w:r w:rsidRPr="009F539D">
        <w:rPr>
          <w:rFonts w:ascii="Calibri" w:hAnsi="Calibri" w:cs="Calibri"/>
          <w:b/>
          <w:bCs/>
          <w:color w:val="000000"/>
        </w:rPr>
        <w:t xml:space="preserve"> €</w:t>
      </w:r>
      <w:r>
        <w:rPr>
          <w:rFonts w:ascii="Calibri" w:hAnsi="Calibri" w:cs="Calibri"/>
          <w:b/>
          <w:bCs/>
          <w:color w:val="000000"/>
        </w:rPr>
        <w:t xml:space="preserve"> </w:t>
      </w:r>
      <w:r w:rsidR="009A5522" w:rsidRPr="009A5522">
        <w:rPr>
          <w:rFonts w:ascii="Calibri" w:hAnsi="Calibri" w:cs="Calibri"/>
          <w:color w:val="000000"/>
        </w:rPr>
        <w:t xml:space="preserve">dotácia z MPSVaR SR z roku 2023 pre DSS a ZPS Rača na projekt  Nové 9-miestne špeciálne motorové vozidlo s plošinou a kotviacim systémom - </w:t>
      </w:r>
      <w:proofErr w:type="spellStart"/>
      <w:r w:rsidR="009A5522" w:rsidRPr="009A5522">
        <w:rPr>
          <w:rFonts w:ascii="Calibri" w:hAnsi="Calibri" w:cs="Calibri"/>
          <w:color w:val="000000"/>
        </w:rPr>
        <w:t>zml</w:t>
      </w:r>
      <w:proofErr w:type="spellEnd"/>
      <w:r w:rsidR="009A5522" w:rsidRPr="009A5522">
        <w:rPr>
          <w:rFonts w:ascii="Calibri" w:hAnsi="Calibri" w:cs="Calibri"/>
          <w:color w:val="000000"/>
        </w:rPr>
        <w:t>. č. 12375/2023-M_ODPD</w:t>
      </w:r>
      <w:r w:rsidR="009A5522">
        <w:rPr>
          <w:rFonts w:ascii="Calibri" w:hAnsi="Calibri" w:cs="Calibri"/>
          <w:color w:val="000000"/>
        </w:rPr>
        <w:t xml:space="preserve"> a </w:t>
      </w:r>
      <w:r w:rsidR="00DC0310" w:rsidRPr="00DC0310">
        <w:rPr>
          <w:rFonts w:ascii="Calibri" w:hAnsi="Calibri" w:cs="Calibri"/>
          <w:color w:val="000000"/>
        </w:rPr>
        <w:t xml:space="preserve">dotácia z MPSVaR SR z roku 2024 pre GAUDEAMUS ZKR na projekt Nové 9-miestne špeciálne motorové vozidlo s hydraulickou zdvíhacou plošinou a kotviacim systémom - </w:t>
      </w:r>
      <w:proofErr w:type="spellStart"/>
      <w:r w:rsidR="00DC0310" w:rsidRPr="00DC0310">
        <w:rPr>
          <w:rFonts w:ascii="Calibri" w:hAnsi="Calibri" w:cs="Calibri"/>
          <w:color w:val="000000"/>
        </w:rPr>
        <w:t>zml</w:t>
      </w:r>
      <w:proofErr w:type="spellEnd"/>
      <w:r w:rsidR="00DC0310" w:rsidRPr="00DC0310">
        <w:rPr>
          <w:rFonts w:ascii="Calibri" w:hAnsi="Calibri" w:cs="Calibri"/>
          <w:color w:val="000000"/>
        </w:rPr>
        <w:t>. č. 14183/2024-M_ODPD</w:t>
      </w:r>
      <w:r w:rsidR="0060000A">
        <w:rPr>
          <w:rFonts w:ascii="Calibri" w:hAnsi="Calibri" w:cs="Calibri"/>
          <w:color w:val="000000"/>
        </w:rPr>
        <w:t xml:space="preserve"> a</w:t>
      </w:r>
    </w:p>
    <w:p w14:paraId="7E537E39" w14:textId="77777777" w:rsidR="00A02DAE" w:rsidRPr="00A02DAE" w:rsidRDefault="00BB2603" w:rsidP="0096461C">
      <w:pPr>
        <w:pStyle w:val="Odsekzoznamu"/>
        <w:numPr>
          <w:ilvl w:val="1"/>
          <w:numId w:val="2"/>
        </w:numPr>
        <w:spacing w:before="0" w:beforeAutospacing="0" w:after="0" w:afterAutospacing="0"/>
        <w:jc w:val="both"/>
        <w:rPr>
          <w:rFonts w:ascii="Calibri" w:hAnsi="Calibri" w:cstheme="minorHAnsi"/>
          <w:lang w:eastAsia="en-US"/>
        </w:rPr>
      </w:pPr>
      <w:r>
        <w:rPr>
          <w:rFonts w:ascii="Calibri" w:hAnsi="Calibri" w:cs="Calibri"/>
          <w:b/>
          <w:bCs/>
          <w:color w:val="000000"/>
        </w:rPr>
        <w:t xml:space="preserve"> 288 372,16 </w:t>
      </w:r>
      <w:r w:rsidR="009F539D" w:rsidRPr="009F539D">
        <w:rPr>
          <w:rFonts w:ascii="Calibri" w:hAnsi="Calibri" w:cs="Calibri"/>
          <w:b/>
          <w:bCs/>
          <w:color w:val="000000"/>
        </w:rPr>
        <w:t xml:space="preserve">€ </w:t>
      </w:r>
      <w:r w:rsidR="009F539D">
        <w:rPr>
          <w:rFonts w:ascii="Calibri" w:hAnsi="Calibri" w:cs="Calibri"/>
          <w:b/>
          <w:bCs/>
          <w:color w:val="000000"/>
        </w:rPr>
        <w:t xml:space="preserve">sú </w:t>
      </w:r>
      <w:r w:rsidR="00C8280C" w:rsidRPr="00DD4BC2">
        <w:rPr>
          <w:rFonts w:ascii="Calibri" w:hAnsi="Calibri" w:cs="Calibri"/>
          <w:color w:val="000000"/>
        </w:rPr>
        <w:t>zostatky z minulých rokov organizácii v ZP BSK (dary, projekty, stravné)</w:t>
      </w:r>
      <w:r w:rsidR="00F75D5C">
        <w:rPr>
          <w:rFonts w:ascii="Calibri" w:hAnsi="Calibri" w:cs="Calibri"/>
          <w:color w:val="000000"/>
        </w:rPr>
        <w:t xml:space="preserve"> a </w:t>
      </w:r>
    </w:p>
    <w:p w14:paraId="28782F5C" w14:textId="08674F22" w:rsidR="00366E5F" w:rsidRPr="00A02DAE" w:rsidRDefault="00A07E11" w:rsidP="0096461C">
      <w:pPr>
        <w:pStyle w:val="Odsekzoznamu"/>
        <w:numPr>
          <w:ilvl w:val="0"/>
          <w:numId w:val="2"/>
        </w:numPr>
        <w:spacing w:before="0" w:beforeAutospacing="0" w:after="0" w:afterAutospacing="0"/>
        <w:jc w:val="both"/>
        <w:rPr>
          <w:rFonts w:ascii="Calibri" w:hAnsi="Calibri" w:cstheme="minorHAnsi"/>
          <w:lang w:eastAsia="en-US"/>
        </w:rPr>
      </w:pPr>
      <w:r w:rsidRPr="00A02DAE">
        <w:rPr>
          <w:rFonts w:ascii="Calibri" w:hAnsi="Calibri" w:cs="Calibri"/>
          <w:b/>
          <w:bCs/>
          <w:color w:val="000000"/>
        </w:rPr>
        <w:t>nové úvery</w:t>
      </w:r>
      <w:r w:rsidR="001808F2" w:rsidRPr="00A02DAE">
        <w:rPr>
          <w:rFonts w:ascii="Calibri" w:hAnsi="Calibri" w:cs="Calibri"/>
          <w:b/>
          <w:bCs/>
          <w:color w:val="000000"/>
        </w:rPr>
        <w:t xml:space="preserve"> – preklenovací </w:t>
      </w:r>
      <w:r w:rsidR="001808F2" w:rsidRPr="00A02DAE">
        <w:rPr>
          <w:rFonts w:ascii="Calibri" w:hAnsi="Calibri" w:cs="Calibri"/>
          <w:color w:val="000000"/>
        </w:rPr>
        <w:t>vo výške</w:t>
      </w:r>
      <w:r w:rsidR="001808F2" w:rsidRPr="00A02DAE">
        <w:rPr>
          <w:rFonts w:ascii="Calibri" w:hAnsi="Calibri" w:cs="Calibri"/>
          <w:b/>
          <w:bCs/>
          <w:color w:val="000000"/>
        </w:rPr>
        <w:t xml:space="preserve">  3 980 000 € a</w:t>
      </w:r>
      <w:r w:rsidR="008C28FD" w:rsidRPr="00A02DAE">
        <w:rPr>
          <w:rFonts w:ascii="Calibri" w:hAnsi="Calibri" w:cs="Calibri"/>
          <w:b/>
          <w:bCs/>
          <w:color w:val="000000"/>
        </w:rPr>
        <w:t xml:space="preserve"> nový úver </w:t>
      </w:r>
      <w:r w:rsidR="008D2AE6" w:rsidRPr="00A02DAE">
        <w:rPr>
          <w:rFonts w:ascii="Calibri" w:hAnsi="Calibri" w:cstheme="minorHAnsi"/>
        </w:rPr>
        <w:t>vo výške 1</w:t>
      </w:r>
      <w:r w:rsidR="008C28FD" w:rsidRPr="00A02DAE">
        <w:rPr>
          <w:rFonts w:ascii="Calibri" w:hAnsi="Calibri" w:cstheme="minorHAnsi"/>
        </w:rPr>
        <w:t>5</w:t>
      </w:r>
      <w:r w:rsidR="008D2AE6" w:rsidRPr="00A02DAE">
        <w:rPr>
          <w:rFonts w:ascii="Calibri" w:hAnsi="Calibri" w:cstheme="minorHAnsi"/>
        </w:rPr>
        <w:t> </w:t>
      </w:r>
      <w:r w:rsidR="008C28FD" w:rsidRPr="00A02DAE">
        <w:rPr>
          <w:rFonts w:ascii="Calibri" w:hAnsi="Calibri" w:cstheme="minorHAnsi"/>
        </w:rPr>
        <w:t>00</w:t>
      </w:r>
      <w:r w:rsidR="008D2AE6" w:rsidRPr="00A02DAE">
        <w:rPr>
          <w:rFonts w:ascii="Calibri" w:hAnsi="Calibri" w:cstheme="minorHAnsi"/>
        </w:rPr>
        <w:t>0 000 €</w:t>
      </w:r>
      <w:r w:rsidR="008E5DE1" w:rsidRPr="00A02DAE">
        <w:rPr>
          <w:rFonts w:ascii="Calibri" w:hAnsi="Calibri" w:cstheme="minorHAnsi"/>
        </w:rPr>
        <w:t>.</w:t>
      </w:r>
    </w:p>
    <w:p w14:paraId="1D8908D5" w14:textId="77777777" w:rsidR="00246D3C" w:rsidRDefault="00246D3C" w:rsidP="0096461C">
      <w:pPr>
        <w:spacing w:before="120" w:after="120" w:line="240" w:lineRule="auto"/>
        <w:jc w:val="both"/>
        <w:rPr>
          <w:rFonts w:cstheme="minorHAnsi"/>
          <w:sz w:val="24"/>
          <w:szCs w:val="24"/>
        </w:rPr>
      </w:pPr>
    </w:p>
    <w:p w14:paraId="4D6FE8C8" w14:textId="4B420565" w:rsidR="00C8280C" w:rsidRDefault="00C8280C" w:rsidP="0096461C">
      <w:pPr>
        <w:spacing w:before="120" w:after="120" w:line="240" w:lineRule="auto"/>
        <w:jc w:val="both"/>
        <w:rPr>
          <w:rFonts w:cstheme="minorHAnsi"/>
          <w:sz w:val="24"/>
          <w:szCs w:val="24"/>
        </w:rPr>
      </w:pPr>
      <w:r w:rsidRPr="00433778">
        <w:rPr>
          <w:rFonts w:cstheme="minorHAnsi"/>
          <w:sz w:val="24"/>
          <w:szCs w:val="24"/>
        </w:rPr>
        <w:t xml:space="preserve">Odhadovaný vývoj príjmových finančných operácií BSK </w:t>
      </w:r>
      <w:r>
        <w:rPr>
          <w:rFonts w:cstheme="minorHAnsi"/>
          <w:sz w:val="24"/>
          <w:szCs w:val="24"/>
        </w:rPr>
        <w:t>v roku 202</w:t>
      </w:r>
      <w:r w:rsidR="004E239D">
        <w:rPr>
          <w:rFonts w:cstheme="minorHAnsi"/>
          <w:sz w:val="24"/>
          <w:szCs w:val="24"/>
        </w:rPr>
        <w:t>5</w:t>
      </w:r>
      <w:r>
        <w:rPr>
          <w:rFonts w:cstheme="minorHAnsi"/>
          <w:sz w:val="24"/>
          <w:szCs w:val="24"/>
        </w:rPr>
        <w:t xml:space="preserve"> </w:t>
      </w:r>
      <w:r w:rsidR="00581E24">
        <w:rPr>
          <w:rFonts w:cstheme="minorHAnsi"/>
          <w:sz w:val="24"/>
          <w:szCs w:val="24"/>
        </w:rPr>
        <w:t>až 202</w:t>
      </w:r>
      <w:r w:rsidR="004E239D">
        <w:rPr>
          <w:rFonts w:cstheme="minorHAnsi"/>
          <w:sz w:val="24"/>
          <w:szCs w:val="24"/>
        </w:rPr>
        <w:t>7</w:t>
      </w:r>
      <w:r w:rsidR="00581E24">
        <w:rPr>
          <w:rFonts w:cstheme="minorHAnsi"/>
          <w:sz w:val="24"/>
          <w:szCs w:val="24"/>
        </w:rPr>
        <w:t xml:space="preserve"> </w:t>
      </w:r>
      <w:r w:rsidRPr="00433778">
        <w:rPr>
          <w:rFonts w:cstheme="minorHAnsi"/>
          <w:sz w:val="24"/>
          <w:szCs w:val="24"/>
        </w:rPr>
        <w:t xml:space="preserve">v porovnaní s očakávanou skutočnosťou </w:t>
      </w:r>
      <w:r w:rsidR="00CD7FCD">
        <w:rPr>
          <w:rFonts w:cstheme="minorHAnsi"/>
          <w:sz w:val="24"/>
          <w:szCs w:val="24"/>
        </w:rPr>
        <w:t>v roku</w:t>
      </w:r>
      <w:r w:rsidRPr="00433778">
        <w:rPr>
          <w:rFonts w:cstheme="minorHAnsi"/>
          <w:sz w:val="24"/>
          <w:szCs w:val="24"/>
        </w:rPr>
        <w:t xml:space="preserve"> 20</w:t>
      </w:r>
      <w:r>
        <w:rPr>
          <w:rFonts w:cstheme="minorHAnsi"/>
          <w:sz w:val="24"/>
          <w:szCs w:val="24"/>
        </w:rPr>
        <w:t>2</w:t>
      </w:r>
      <w:r w:rsidR="004E239D">
        <w:rPr>
          <w:rFonts w:cstheme="minorHAnsi"/>
          <w:sz w:val="24"/>
          <w:szCs w:val="24"/>
        </w:rPr>
        <w:t>4</w:t>
      </w:r>
      <w:r w:rsidRPr="00433778">
        <w:rPr>
          <w:rFonts w:cstheme="minorHAnsi"/>
          <w:sz w:val="24"/>
          <w:szCs w:val="24"/>
        </w:rPr>
        <w:t xml:space="preserve"> a skutočnosťou za roky 20</w:t>
      </w:r>
      <w:r>
        <w:rPr>
          <w:rFonts w:cstheme="minorHAnsi"/>
          <w:sz w:val="24"/>
          <w:szCs w:val="24"/>
        </w:rPr>
        <w:t>2</w:t>
      </w:r>
      <w:r w:rsidR="004E239D">
        <w:rPr>
          <w:rFonts w:cstheme="minorHAnsi"/>
          <w:sz w:val="24"/>
          <w:szCs w:val="24"/>
        </w:rPr>
        <w:t>2</w:t>
      </w:r>
      <w:r>
        <w:rPr>
          <w:rFonts w:cstheme="minorHAnsi"/>
          <w:sz w:val="24"/>
          <w:szCs w:val="24"/>
        </w:rPr>
        <w:t xml:space="preserve"> </w:t>
      </w:r>
      <w:r w:rsidRPr="00433778">
        <w:rPr>
          <w:rFonts w:cstheme="minorHAnsi"/>
          <w:sz w:val="24"/>
          <w:szCs w:val="24"/>
        </w:rPr>
        <w:t>a</w:t>
      </w:r>
      <w:r w:rsidR="004E239D">
        <w:rPr>
          <w:rFonts w:cstheme="minorHAnsi"/>
          <w:sz w:val="24"/>
          <w:szCs w:val="24"/>
        </w:rPr>
        <w:t> </w:t>
      </w:r>
      <w:r w:rsidRPr="00433778">
        <w:rPr>
          <w:rFonts w:cstheme="minorHAnsi"/>
          <w:sz w:val="24"/>
          <w:szCs w:val="24"/>
        </w:rPr>
        <w:t>20</w:t>
      </w:r>
      <w:r>
        <w:rPr>
          <w:rFonts w:cstheme="minorHAnsi"/>
          <w:sz w:val="24"/>
          <w:szCs w:val="24"/>
        </w:rPr>
        <w:t>2</w:t>
      </w:r>
      <w:r w:rsidR="004E239D">
        <w:rPr>
          <w:rFonts w:cstheme="minorHAnsi"/>
          <w:sz w:val="24"/>
          <w:szCs w:val="24"/>
        </w:rPr>
        <w:t>3</w:t>
      </w:r>
      <w:r>
        <w:rPr>
          <w:rFonts w:cstheme="minorHAnsi"/>
          <w:sz w:val="24"/>
          <w:szCs w:val="24"/>
        </w:rPr>
        <w:t xml:space="preserve"> je nasledovný:</w:t>
      </w:r>
    </w:p>
    <w:tbl>
      <w:tblPr>
        <w:tblW w:w="5035" w:type="pct"/>
        <w:tblCellMar>
          <w:left w:w="70" w:type="dxa"/>
          <w:right w:w="70" w:type="dxa"/>
        </w:tblCellMar>
        <w:tblLook w:val="04A0" w:firstRow="1" w:lastRow="0" w:firstColumn="1" w:lastColumn="0" w:noHBand="0" w:noVBand="1"/>
      </w:tblPr>
      <w:tblGrid>
        <w:gridCol w:w="2958"/>
        <w:gridCol w:w="1097"/>
        <w:gridCol w:w="1096"/>
        <w:gridCol w:w="1096"/>
        <w:gridCol w:w="1096"/>
        <w:gridCol w:w="1077"/>
        <w:gridCol w:w="1077"/>
        <w:gridCol w:w="1042"/>
      </w:tblGrid>
      <w:tr w:rsidR="00C664BA" w:rsidRPr="00B36AA0" w14:paraId="08623B53" w14:textId="77777777" w:rsidTr="00362392">
        <w:trPr>
          <w:trHeight w:val="353"/>
          <w:tblHeader/>
        </w:trPr>
        <w:tc>
          <w:tcPr>
            <w:tcW w:w="1403" w:type="pct"/>
            <w:tcBorders>
              <w:top w:val="nil"/>
              <w:left w:val="nil"/>
              <w:bottom w:val="nil"/>
              <w:right w:val="nil"/>
            </w:tcBorders>
            <w:shd w:val="clear" w:color="000000" w:fill="366092"/>
            <w:noWrap/>
            <w:vAlign w:val="center"/>
            <w:hideMark/>
          </w:tcPr>
          <w:p w14:paraId="594212B4" w14:textId="77777777" w:rsidR="00C664BA" w:rsidRPr="00B36AA0" w:rsidRDefault="00C664BA" w:rsidP="00C664BA">
            <w:pPr>
              <w:spacing w:after="0" w:line="240" w:lineRule="auto"/>
              <w:rPr>
                <w:rFonts w:ascii="Calibri" w:eastAsia="Times New Roman" w:hAnsi="Calibri" w:cs="Calibri"/>
                <w:b/>
                <w:bCs/>
                <w:color w:val="FFFFFF"/>
                <w:sz w:val="20"/>
                <w:szCs w:val="20"/>
                <w:lang w:eastAsia="sk-SK"/>
              </w:rPr>
            </w:pPr>
            <w:r w:rsidRPr="00B36AA0">
              <w:rPr>
                <w:rFonts w:ascii="Calibri" w:eastAsia="Times New Roman" w:hAnsi="Calibri" w:cs="Calibri"/>
                <w:b/>
                <w:bCs/>
                <w:color w:val="FFFFFF"/>
                <w:sz w:val="20"/>
                <w:szCs w:val="20"/>
                <w:lang w:eastAsia="sk-SK"/>
              </w:rPr>
              <w:t>Ukazovateľ</w:t>
            </w:r>
          </w:p>
        </w:tc>
        <w:tc>
          <w:tcPr>
            <w:tcW w:w="520" w:type="pct"/>
            <w:tcBorders>
              <w:top w:val="nil"/>
              <w:left w:val="nil"/>
              <w:bottom w:val="nil"/>
              <w:right w:val="nil"/>
            </w:tcBorders>
            <w:shd w:val="clear" w:color="000000" w:fill="366092"/>
            <w:noWrap/>
            <w:vAlign w:val="center"/>
            <w:hideMark/>
          </w:tcPr>
          <w:p w14:paraId="56D45942" w14:textId="22DEE011" w:rsidR="00C664BA" w:rsidRPr="00B36AA0" w:rsidRDefault="00C664BA" w:rsidP="00C664BA">
            <w:pPr>
              <w:spacing w:after="0"/>
              <w:jc w:val="right"/>
              <w:rPr>
                <w:rFonts w:ascii="Calibri" w:hAnsi="Calibri" w:cs="Calibri"/>
                <w:b/>
                <w:bCs/>
                <w:color w:val="FFFFFF"/>
                <w:sz w:val="20"/>
                <w:szCs w:val="20"/>
              </w:rPr>
            </w:pPr>
            <w:r w:rsidRPr="00B36AA0">
              <w:rPr>
                <w:rFonts w:ascii="Calibri" w:eastAsia="Times New Roman" w:hAnsi="Calibri" w:cs="Calibri"/>
                <w:b/>
                <w:bCs/>
                <w:color w:val="FFFFFF"/>
                <w:sz w:val="20"/>
                <w:szCs w:val="20"/>
                <w:lang w:eastAsia="sk-SK"/>
              </w:rPr>
              <w:t>202</w:t>
            </w:r>
            <w:r w:rsidR="00362392" w:rsidRPr="00B36AA0">
              <w:rPr>
                <w:rFonts w:ascii="Calibri" w:eastAsia="Times New Roman" w:hAnsi="Calibri" w:cs="Calibri"/>
                <w:b/>
                <w:bCs/>
                <w:color w:val="FFFFFF"/>
                <w:sz w:val="20"/>
                <w:szCs w:val="20"/>
                <w:lang w:eastAsia="sk-SK"/>
              </w:rPr>
              <w:t>2</w:t>
            </w:r>
            <w:r w:rsidRPr="00B36AA0">
              <w:rPr>
                <w:rFonts w:ascii="Calibri" w:eastAsia="Times New Roman" w:hAnsi="Calibri" w:cs="Calibri"/>
                <w:b/>
                <w:bCs/>
                <w:color w:val="FFFFFF"/>
                <w:sz w:val="20"/>
                <w:szCs w:val="20"/>
                <w:lang w:eastAsia="sk-SK"/>
              </w:rPr>
              <w:t xml:space="preserve"> (S)</w:t>
            </w:r>
          </w:p>
        </w:tc>
        <w:tc>
          <w:tcPr>
            <w:tcW w:w="520" w:type="pct"/>
            <w:tcBorders>
              <w:top w:val="nil"/>
              <w:left w:val="nil"/>
              <w:bottom w:val="nil"/>
              <w:right w:val="nil"/>
            </w:tcBorders>
            <w:shd w:val="clear" w:color="000000" w:fill="366092"/>
            <w:noWrap/>
            <w:vAlign w:val="center"/>
            <w:hideMark/>
          </w:tcPr>
          <w:p w14:paraId="2B7118F6" w14:textId="3F509C60" w:rsidR="00C664BA" w:rsidRPr="00B36AA0" w:rsidRDefault="00C664BA" w:rsidP="00C664BA">
            <w:pPr>
              <w:spacing w:after="0"/>
              <w:jc w:val="right"/>
              <w:rPr>
                <w:rFonts w:ascii="Calibri" w:hAnsi="Calibri" w:cs="Calibri"/>
                <w:b/>
                <w:bCs/>
                <w:color w:val="FFFFFF"/>
                <w:sz w:val="20"/>
                <w:szCs w:val="20"/>
              </w:rPr>
            </w:pPr>
            <w:r w:rsidRPr="00B36AA0">
              <w:rPr>
                <w:rFonts w:ascii="Calibri" w:eastAsia="Times New Roman" w:hAnsi="Calibri" w:cs="Calibri"/>
                <w:b/>
                <w:bCs/>
                <w:color w:val="FFFFFF"/>
                <w:sz w:val="20"/>
                <w:szCs w:val="20"/>
                <w:lang w:eastAsia="sk-SK"/>
              </w:rPr>
              <w:t>202</w:t>
            </w:r>
            <w:r w:rsidR="00362392" w:rsidRPr="00B36AA0">
              <w:rPr>
                <w:rFonts w:ascii="Calibri" w:eastAsia="Times New Roman" w:hAnsi="Calibri" w:cs="Calibri"/>
                <w:b/>
                <w:bCs/>
                <w:color w:val="FFFFFF"/>
                <w:sz w:val="20"/>
                <w:szCs w:val="20"/>
                <w:lang w:eastAsia="sk-SK"/>
              </w:rPr>
              <w:t>3</w:t>
            </w:r>
            <w:r w:rsidRPr="00B36AA0">
              <w:rPr>
                <w:rFonts w:ascii="Calibri" w:eastAsia="Times New Roman" w:hAnsi="Calibri" w:cs="Calibri"/>
                <w:b/>
                <w:bCs/>
                <w:color w:val="FFFFFF"/>
                <w:sz w:val="20"/>
                <w:szCs w:val="20"/>
                <w:lang w:eastAsia="sk-SK"/>
              </w:rPr>
              <w:t xml:space="preserve"> (S)</w:t>
            </w:r>
          </w:p>
        </w:tc>
        <w:tc>
          <w:tcPr>
            <w:tcW w:w="520" w:type="pct"/>
            <w:tcBorders>
              <w:top w:val="nil"/>
              <w:left w:val="nil"/>
              <w:bottom w:val="nil"/>
              <w:right w:val="nil"/>
            </w:tcBorders>
            <w:shd w:val="clear" w:color="000000" w:fill="366092"/>
            <w:noWrap/>
            <w:vAlign w:val="center"/>
            <w:hideMark/>
          </w:tcPr>
          <w:p w14:paraId="2CD762FF" w14:textId="1B8B503E" w:rsidR="00C664BA" w:rsidRPr="00B36AA0" w:rsidRDefault="00C664BA" w:rsidP="00C664BA">
            <w:pPr>
              <w:spacing w:after="0"/>
              <w:jc w:val="right"/>
              <w:rPr>
                <w:rFonts w:ascii="Calibri" w:hAnsi="Calibri" w:cs="Calibri"/>
                <w:b/>
                <w:bCs/>
                <w:color w:val="FFFFFF"/>
                <w:sz w:val="20"/>
                <w:szCs w:val="20"/>
              </w:rPr>
            </w:pPr>
            <w:r w:rsidRPr="00B36AA0">
              <w:rPr>
                <w:rFonts w:ascii="Calibri" w:eastAsia="Times New Roman" w:hAnsi="Calibri" w:cs="Calibri"/>
                <w:b/>
                <w:bCs/>
                <w:color w:val="FFFFFF"/>
                <w:sz w:val="20"/>
                <w:szCs w:val="20"/>
                <w:lang w:eastAsia="sk-SK"/>
              </w:rPr>
              <w:t>202</w:t>
            </w:r>
            <w:r w:rsidR="00362392" w:rsidRPr="00B36AA0">
              <w:rPr>
                <w:rFonts w:ascii="Calibri" w:eastAsia="Times New Roman" w:hAnsi="Calibri" w:cs="Calibri"/>
                <w:b/>
                <w:bCs/>
                <w:color w:val="FFFFFF"/>
                <w:sz w:val="20"/>
                <w:szCs w:val="20"/>
                <w:lang w:eastAsia="sk-SK"/>
              </w:rPr>
              <w:t>4</w:t>
            </w:r>
            <w:r w:rsidRPr="00B36AA0">
              <w:rPr>
                <w:rFonts w:ascii="Calibri" w:eastAsia="Times New Roman" w:hAnsi="Calibri" w:cs="Calibri"/>
                <w:b/>
                <w:bCs/>
                <w:color w:val="FFFFFF"/>
                <w:sz w:val="20"/>
                <w:szCs w:val="20"/>
                <w:lang w:eastAsia="sk-SK"/>
              </w:rPr>
              <w:t xml:space="preserve"> (SR)</w:t>
            </w:r>
          </w:p>
        </w:tc>
        <w:tc>
          <w:tcPr>
            <w:tcW w:w="520" w:type="pct"/>
            <w:tcBorders>
              <w:top w:val="nil"/>
              <w:left w:val="nil"/>
              <w:bottom w:val="nil"/>
              <w:right w:val="nil"/>
            </w:tcBorders>
            <w:shd w:val="clear" w:color="000000" w:fill="366092"/>
            <w:noWrap/>
            <w:vAlign w:val="center"/>
            <w:hideMark/>
          </w:tcPr>
          <w:p w14:paraId="5DFD8B01" w14:textId="624C4F5B" w:rsidR="00C664BA" w:rsidRPr="00B36AA0" w:rsidRDefault="00C664BA" w:rsidP="00C664BA">
            <w:pPr>
              <w:spacing w:after="0"/>
              <w:jc w:val="right"/>
              <w:rPr>
                <w:rFonts w:ascii="Calibri" w:hAnsi="Calibri" w:cs="Calibri"/>
                <w:b/>
                <w:bCs/>
                <w:color w:val="FFFFFF"/>
                <w:sz w:val="20"/>
                <w:szCs w:val="20"/>
              </w:rPr>
            </w:pPr>
            <w:r w:rsidRPr="00B36AA0">
              <w:rPr>
                <w:rFonts w:ascii="Calibri" w:eastAsia="Times New Roman" w:hAnsi="Calibri" w:cs="Calibri"/>
                <w:b/>
                <w:bCs/>
                <w:color w:val="FFFFFF"/>
                <w:sz w:val="20"/>
                <w:szCs w:val="20"/>
                <w:lang w:eastAsia="sk-SK"/>
              </w:rPr>
              <w:t>202</w:t>
            </w:r>
            <w:r w:rsidR="00362392" w:rsidRPr="00B36AA0">
              <w:rPr>
                <w:rFonts w:ascii="Calibri" w:eastAsia="Times New Roman" w:hAnsi="Calibri" w:cs="Calibri"/>
                <w:b/>
                <w:bCs/>
                <w:color w:val="FFFFFF"/>
                <w:sz w:val="20"/>
                <w:szCs w:val="20"/>
                <w:lang w:eastAsia="sk-SK"/>
              </w:rPr>
              <w:t>4</w:t>
            </w:r>
            <w:r w:rsidRPr="00B36AA0">
              <w:rPr>
                <w:rFonts w:ascii="Calibri" w:eastAsia="Times New Roman" w:hAnsi="Calibri" w:cs="Calibri"/>
                <w:b/>
                <w:bCs/>
                <w:color w:val="FFFFFF"/>
                <w:sz w:val="20"/>
                <w:szCs w:val="20"/>
                <w:lang w:eastAsia="sk-SK"/>
              </w:rPr>
              <w:t xml:space="preserve"> (OS)</w:t>
            </w:r>
          </w:p>
        </w:tc>
        <w:tc>
          <w:tcPr>
            <w:tcW w:w="511" w:type="pct"/>
            <w:tcBorders>
              <w:top w:val="nil"/>
              <w:left w:val="nil"/>
              <w:bottom w:val="nil"/>
              <w:right w:val="nil"/>
            </w:tcBorders>
            <w:shd w:val="clear" w:color="000000" w:fill="366092"/>
            <w:noWrap/>
            <w:vAlign w:val="center"/>
            <w:hideMark/>
          </w:tcPr>
          <w:p w14:paraId="62CA924F" w14:textId="29C050F3" w:rsidR="00C664BA" w:rsidRPr="00B36AA0" w:rsidRDefault="00C664BA" w:rsidP="00C664BA">
            <w:pPr>
              <w:spacing w:after="0"/>
              <w:jc w:val="right"/>
              <w:rPr>
                <w:rFonts w:ascii="Calibri" w:hAnsi="Calibri" w:cs="Calibri"/>
                <w:b/>
                <w:bCs/>
                <w:color w:val="FFFFFF"/>
                <w:sz w:val="20"/>
                <w:szCs w:val="20"/>
              </w:rPr>
            </w:pPr>
            <w:r w:rsidRPr="00B36AA0">
              <w:rPr>
                <w:rFonts w:ascii="Calibri" w:eastAsia="Times New Roman" w:hAnsi="Calibri" w:cs="Calibri"/>
                <w:b/>
                <w:bCs/>
                <w:color w:val="FFFFFF"/>
                <w:sz w:val="20"/>
                <w:szCs w:val="20"/>
                <w:lang w:eastAsia="sk-SK"/>
              </w:rPr>
              <w:t>20</w:t>
            </w:r>
            <w:r w:rsidR="00362392" w:rsidRPr="00B36AA0">
              <w:rPr>
                <w:rFonts w:ascii="Calibri" w:eastAsia="Times New Roman" w:hAnsi="Calibri" w:cs="Calibri"/>
                <w:b/>
                <w:bCs/>
                <w:color w:val="FFFFFF"/>
                <w:sz w:val="20"/>
                <w:szCs w:val="20"/>
                <w:lang w:eastAsia="sk-SK"/>
              </w:rPr>
              <w:t>25</w:t>
            </w:r>
            <w:r w:rsidRPr="00B36AA0">
              <w:rPr>
                <w:rFonts w:ascii="Calibri" w:eastAsia="Times New Roman" w:hAnsi="Calibri" w:cs="Calibri"/>
                <w:b/>
                <w:bCs/>
                <w:color w:val="FFFFFF"/>
                <w:sz w:val="20"/>
                <w:szCs w:val="20"/>
                <w:lang w:eastAsia="sk-SK"/>
              </w:rPr>
              <w:t xml:space="preserve"> (N)</w:t>
            </w:r>
          </w:p>
        </w:tc>
        <w:tc>
          <w:tcPr>
            <w:tcW w:w="511" w:type="pct"/>
            <w:tcBorders>
              <w:top w:val="nil"/>
              <w:left w:val="nil"/>
              <w:bottom w:val="nil"/>
              <w:right w:val="nil"/>
            </w:tcBorders>
            <w:shd w:val="clear" w:color="000000" w:fill="366092"/>
            <w:noWrap/>
            <w:vAlign w:val="center"/>
            <w:hideMark/>
          </w:tcPr>
          <w:p w14:paraId="105BBE96" w14:textId="3F29540E" w:rsidR="00C664BA" w:rsidRPr="00B36AA0" w:rsidRDefault="00C664BA" w:rsidP="00C664BA">
            <w:pPr>
              <w:spacing w:after="0"/>
              <w:jc w:val="right"/>
              <w:rPr>
                <w:rFonts w:ascii="Calibri" w:hAnsi="Calibri" w:cs="Calibri"/>
                <w:b/>
                <w:bCs/>
                <w:color w:val="FFFFFF"/>
                <w:sz w:val="20"/>
                <w:szCs w:val="20"/>
              </w:rPr>
            </w:pPr>
            <w:r w:rsidRPr="00B36AA0">
              <w:rPr>
                <w:rFonts w:ascii="Calibri" w:eastAsia="Times New Roman" w:hAnsi="Calibri" w:cs="Calibri"/>
                <w:b/>
                <w:bCs/>
                <w:color w:val="FFFFFF"/>
                <w:sz w:val="20"/>
                <w:szCs w:val="20"/>
                <w:lang w:eastAsia="sk-SK"/>
              </w:rPr>
              <w:t>202</w:t>
            </w:r>
            <w:r w:rsidR="00362392" w:rsidRPr="00B36AA0">
              <w:rPr>
                <w:rFonts w:ascii="Calibri" w:eastAsia="Times New Roman" w:hAnsi="Calibri" w:cs="Calibri"/>
                <w:b/>
                <w:bCs/>
                <w:color w:val="FFFFFF"/>
                <w:sz w:val="20"/>
                <w:szCs w:val="20"/>
                <w:lang w:eastAsia="sk-SK"/>
              </w:rPr>
              <w:t>6</w:t>
            </w:r>
            <w:r w:rsidRPr="00B36AA0">
              <w:rPr>
                <w:rFonts w:ascii="Calibri" w:eastAsia="Times New Roman" w:hAnsi="Calibri" w:cs="Calibri"/>
                <w:b/>
                <w:bCs/>
                <w:color w:val="FFFFFF"/>
                <w:sz w:val="20"/>
                <w:szCs w:val="20"/>
                <w:lang w:eastAsia="sk-SK"/>
              </w:rPr>
              <w:t xml:space="preserve"> (N)</w:t>
            </w:r>
          </w:p>
        </w:tc>
        <w:tc>
          <w:tcPr>
            <w:tcW w:w="494" w:type="pct"/>
            <w:tcBorders>
              <w:top w:val="nil"/>
              <w:left w:val="nil"/>
              <w:bottom w:val="nil"/>
              <w:right w:val="nil"/>
            </w:tcBorders>
            <w:shd w:val="clear" w:color="000000" w:fill="366092"/>
            <w:noWrap/>
            <w:vAlign w:val="center"/>
            <w:hideMark/>
          </w:tcPr>
          <w:p w14:paraId="2AAB4AD3" w14:textId="6B7790FF" w:rsidR="00C664BA" w:rsidRPr="00B36AA0" w:rsidRDefault="00C664BA" w:rsidP="00C664BA">
            <w:pPr>
              <w:spacing w:after="0"/>
              <w:jc w:val="right"/>
              <w:rPr>
                <w:rFonts w:ascii="Calibri" w:hAnsi="Calibri" w:cs="Calibri"/>
                <w:b/>
                <w:bCs/>
                <w:color w:val="FFFFFF"/>
                <w:sz w:val="20"/>
                <w:szCs w:val="20"/>
              </w:rPr>
            </w:pPr>
            <w:r w:rsidRPr="00B36AA0">
              <w:rPr>
                <w:rFonts w:ascii="Calibri" w:eastAsia="Times New Roman" w:hAnsi="Calibri" w:cs="Calibri"/>
                <w:b/>
                <w:bCs/>
                <w:color w:val="FFFFFF"/>
                <w:sz w:val="20"/>
                <w:szCs w:val="20"/>
                <w:lang w:eastAsia="sk-SK"/>
              </w:rPr>
              <w:t>202</w:t>
            </w:r>
            <w:r w:rsidR="00362392" w:rsidRPr="00B36AA0">
              <w:rPr>
                <w:rFonts w:ascii="Calibri" w:eastAsia="Times New Roman" w:hAnsi="Calibri" w:cs="Calibri"/>
                <w:b/>
                <w:bCs/>
                <w:color w:val="FFFFFF"/>
                <w:sz w:val="20"/>
                <w:szCs w:val="20"/>
                <w:lang w:eastAsia="sk-SK"/>
              </w:rPr>
              <w:t>7</w:t>
            </w:r>
            <w:r w:rsidRPr="00B36AA0">
              <w:rPr>
                <w:rFonts w:ascii="Calibri" w:eastAsia="Times New Roman" w:hAnsi="Calibri" w:cs="Calibri"/>
                <w:b/>
                <w:bCs/>
                <w:color w:val="FFFFFF"/>
                <w:sz w:val="20"/>
                <w:szCs w:val="20"/>
                <w:lang w:eastAsia="sk-SK"/>
              </w:rPr>
              <w:t xml:space="preserve"> (N)</w:t>
            </w:r>
          </w:p>
        </w:tc>
      </w:tr>
      <w:tr w:rsidR="00362392" w:rsidRPr="00B36AA0" w14:paraId="3D3DE5CC" w14:textId="77777777" w:rsidTr="00362392">
        <w:trPr>
          <w:trHeight w:val="191"/>
        </w:trPr>
        <w:tc>
          <w:tcPr>
            <w:tcW w:w="1403" w:type="pct"/>
            <w:tcBorders>
              <w:top w:val="nil"/>
              <w:left w:val="nil"/>
              <w:bottom w:val="nil"/>
              <w:right w:val="nil"/>
            </w:tcBorders>
            <w:shd w:val="clear" w:color="000000" w:fill="8DB4E2"/>
            <w:noWrap/>
            <w:vAlign w:val="center"/>
            <w:hideMark/>
          </w:tcPr>
          <w:p w14:paraId="3B8A9B3F" w14:textId="77777777" w:rsidR="00362392" w:rsidRPr="00B36AA0" w:rsidRDefault="00362392" w:rsidP="00362392">
            <w:pPr>
              <w:spacing w:after="0" w:line="240" w:lineRule="auto"/>
              <w:rPr>
                <w:rFonts w:ascii="Calibri" w:eastAsia="Times New Roman" w:hAnsi="Calibri" w:cs="Calibri"/>
                <w:b/>
                <w:bCs/>
                <w:color w:val="000000"/>
                <w:sz w:val="20"/>
                <w:szCs w:val="20"/>
                <w:lang w:eastAsia="sk-SK"/>
              </w:rPr>
            </w:pPr>
            <w:r w:rsidRPr="00B36AA0">
              <w:rPr>
                <w:rFonts w:ascii="Calibri" w:eastAsia="Times New Roman" w:hAnsi="Calibri" w:cs="Calibri"/>
                <w:b/>
                <w:bCs/>
                <w:color w:val="000000"/>
                <w:sz w:val="20"/>
                <w:szCs w:val="20"/>
                <w:lang w:eastAsia="sk-SK"/>
              </w:rPr>
              <w:t>PRÍJMOVÉ FINANČNÉ OPERÁCIE</w:t>
            </w:r>
          </w:p>
        </w:tc>
        <w:tc>
          <w:tcPr>
            <w:tcW w:w="520" w:type="pct"/>
            <w:tcBorders>
              <w:top w:val="nil"/>
              <w:left w:val="nil"/>
              <w:bottom w:val="nil"/>
              <w:right w:val="nil"/>
            </w:tcBorders>
            <w:shd w:val="clear" w:color="000000" w:fill="8DB4E2"/>
            <w:noWrap/>
            <w:vAlign w:val="center"/>
            <w:hideMark/>
          </w:tcPr>
          <w:p w14:paraId="4F728D49" w14:textId="7C0754C6"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34 329 393</w:t>
            </w:r>
          </w:p>
        </w:tc>
        <w:tc>
          <w:tcPr>
            <w:tcW w:w="520" w:type="pct"/>
            <w:tcBorders>
              <w:top w:val="nil"/>
              <w:left w:val="nil"/>
              <w:bottom w:val="nil"/>
              <w:right w:val="nil"/>
            </w:tcBorders>
            <w:shd w:val="clear" w:color="000000" w:fill="8DB4E2"/>
            <w:noWrap/>
            <w:vAlign w:val="center"/>
            <w:hideMark/>
          </w:tcPr>
          <w:p w14:paraId="78A31BB5" w14:textId="42A93F16"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59 616 897</w:t>
            </w:r>
          </w:p>
        </w:tc>
        <w:tc>
          <w:tcPr>
            <w:tcW w:w="520" w:type="pct"/>
            <w:tcBorders>
              <w:top w:val="nil"/>
              <w:left w:val="nil"/>
              <w:bottom w:val="nil"/>
              <w:right w:val="nil"/>
            </w:tcBorders>
            <w:shd w:val="clear" w:color="000000" w:fill="8DB4E2"/>
            <w:noWrap/>
            <w:vAlign w:val="center"/>
            <w:hideMark/>
          </w:tcPr>
          <w:p w14:paraId="246AE811" w14:textId="204F8C2A"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56 930 336</w:t>
            </w:r>
          </w:p>
        </w:tc>
        <w:tc>
          <w:tcPr>
            <w:tcW w:w="520" w:type="pct"/>
            <w:tcBorders>
              <w:top w:val="nil"/>
              <w:left w:val="nil"/>
              <w:bottom w:val="nil"/>
              <w:right w:val="nil"/>
            </w:tcBorders>
            <w:shd w:val="clear" w:color="000000" w:fill="8DB4E2"/>
            <w:noWrap/>
            <w:vAlign w:val="center"/>
          </w:tcPr>
          <w:p w14:paraId="34558AA6" w14:textId="54BE747A"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29 050 766</w:t>
            </w:r>
          </w:p>
        </w:tc>
        <w:tc>
          <w:tcPr>
            <w:tcW w:w="511" w:type="pct"/>
            <w:tcBorders>
              <w:top w:val="nil"/>
              <w:left w:val="nil"/>
              <w:bottom w:val="nil"/>
              <w:right w:val="nil"/>
            </w:tcBorders>
            <w:shd w:val="clear" w:color="000000" w:fill="D9D9D9"/>
            <w:noWrap/>
            <w:vAlign w:val="center"/>
          </w:tcPr>
          <w:p w14:paraId="50B4DE2B" w14:textId="48E87E8B"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47 777 674</w:t>
            </w:r>
          </w:p>
        </w:tc>
        <w:tc>
          <w:tcPr>
            <w:tcW w:w="511" w:type="pct"/>
            <w:tcBorders>
              <w:top w:val="nil"/>
              <w:left w:val="nil"/>
              <w:bottom w:val="nil"/>
              <w:right w:val="nil"/>
            </w:tcBorders>
            <w:shd w:val="clear" w:color="000000" w:fill="8DB4E2"/>
            <w:noWrap/>
            <w:vAlign w:val="center"/>
          </w:tcPr>
          <w:p w14:paraId="45BBE59F" w14:textId="5E10BE03"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30 185 518</w:t>
            </w:r>
          </w:p>
        </w:tc>
        <w:tc>
          <w:tcPr>
            <w:tcW w:w="494" w:type="pct"/>
            <w:tcBorders>
              <w:top w:val="nil"/>
              <w:left w:val="nil"/>
              <w:bottom w:val="nil"/>
              <w:right w:val="nil"/>
            </w:tcBorders>
            <w:shd w:val="clear" w:color="000000" w:fill="8DB4E2"/>
            <w:noWrap/>
            <w:vAlign w:val="center"/>
          </w:tcPr>
          <w:p w14:paraId="5464E1F9" w14:textId="656CDB74"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40 190 518</w:t>
            </w:r>
          </w:p>
        </w:tc>
      </w:tr>
      <w:tr w:rsidR="00362392" w:rsidRPr="00B36AA0" w14:paraId="5EC56B5A" w14:textId="77777777" w:rsidTr="00362392">
        <w:trPr>
          <w:trHeight w:val="191"/>
        </w:trPr>
        <w:tc>
          <w:tcPr>
            <w:tcW w:w="1403" w:type="pct"/>
            <w:tcBorders>
              <w:top w:val="nil"/>
              <w:left w:val="nil"/>
              <w:bottom w:val="nil"/>
              <w:right w:val="nil"/>
            </w:tcBorders>
            <w:shd w:val="clear" w:color="000000" w:fill="DCE6F1"/>
            <w:noWrap/>
            <w:vAlign w:val="center"/>
            <w:hideMark/>
          </w:tcPr>
          <w:p w14:paraId="0AA5A2DF" w14:textId="77777777" w:rsidR="00362392" w:rsidRPr="00B36AA0" w:rsidRDefault="00362392" w:rsidP="00362392">
            <w:pPr>
              <w:spacing w:after="0" w:line="240" w:lineRule="auto"/>
              <w:ind w:firstLineChars="300" w:firstLine="602"/>
              <w:rPr>
                <w:rFonts w:ascii="Calibri" w:eastAsia="Times New Roman" w:hAnsi="Calibri" w:cs="Calibri"/>
                <w:b/>
                <w:bCs/>
                <w:color w:val="000000"/>
                <w:sz w:val="20"/>
                <w:szCs w:val="20"/>
                <w:lang w:eastAsia="sk-SK"/>
              </w:rPr>
            </w:pPr>
            <w:r w:rsidRPr="00B36AA0">
              <w:rPr>
                <w:rFonts w:ascii="Calibri" w:eastAsia="Times New Roman" w:hAnsi="Calibri" w:cs="Calibri"/>
                <w:b/>
                <w:bCs/>
                <w:color w:val="000000"/>
                <w:sz w:val="20"/>
                <w:szCs w:val="20"/>
                <w:lang w:eastAsia="sk-SK"/>
              </w:rPr>
              <w:t>Príjmy z transakcií</w:t>
            </w:r>
          </w:p>
        </w:tc>
        <w:tc>
          <w:tcPr>
            <w:tcW w:w="520" w:type="pct"/>
            <w:tcBorders>
              <w:top w:val="nil"/>
              <w:left w:val="nil"/>
              <w:bottom w:val="nil"/>
              <w:right w:val="nil"/>
            </w:tcBorders>
            <w:shd w:val="clear" w:color="000000" w:fill="DCE6F1"/>
            <w:noWrap/>
            <w:vAlign w:val="center"/>
            <w:hideMark/>
          </w:tcPr>
          <w:p w14:paraId="0F65FDBC" w14:textId="5A302D29"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20 329 393</w:t>
            </w:r>
          </w:p>
        </w:tc>
        <w:tc>
          <w:tcPr>
            <w:tcW w:w="520" w:type="pct"/>
            <w:tcBorders>
              <w:top w:val="nil"/>
              <w:left w:val="nil"/>
              <w:bottom w:val="nil"/>
              <w:right w:val="nil"/>
            </w:tcBorders>
            <w:shd w:val="clear" w:color="000000" w:fill="DCE6F1"/>
            <w:noWrap/>
            <w:vAlign w:val="center"/>
            <w:hideMark/>
          </w:tcPr>
          <w:p w14:paraId="56C3DC07" w14:textId="38C3C277"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17 516 897</w:t>
            </w:r>
          </w:p>
        </w:tc>
        <w:tc>
          <w:tcPr>
            <w:tcW w:w="520" w:type="pct"/>
            <w:tcBorders>
              <w:top w:val="nil"/>
              <w:left w:val="nil"/>
              <w:bottom w:val="nil"/>
              <w:right w:val="nil"/>
            </w:tcBorders>
            <w:shd w:val="clear" w:color="000000" w:fill="DCE6F1"/>
            <w:noWrap/>
            <w:vAlign w:val="center"/>
            <w:hideMark/>
          </w:tcPr>
          <w:p w14:paraId="32DCE45E" w14:textId="5AD1558D"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56 930 336</w:t>
            </w:r>
          </w:p>
        </w:tc>
        <w:tc>
          <w:tcPr>
            <w:tcW w:w="520" w:type="pct"/>
            <w:tcBorders>
              <w:top w:val="nil"/>
              <w:left w:val="nil"/>
              <w:bottom w:val="nil"/>
              <w:right w:val="nil"/>
            </w:tcBorders>
            <w:shd w:val="clear" w:color="000000" w:fill="DCE6F1"/>
            <w:noWrap/>
            <w:vAlign w:val="center"/>
          </w:tcPr>
          <w:p w14:paraId="5F31AC3C" w14:textId="4A91B7C6"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29 050 766</w:t>
            </w:r>
          </w:p>
        </w:tc>
        <w:tc>
          <w:tcPr>
            <w:tcW w:w="511" w:type="pct"/>
            <w:tcBorders>
              <w:top w:val="nil"/>
              <w:left w:val="nil"/>
              <w:bottom w:val="nil"/>
              <w:right w:val="nil"/>
            </w:tcBorders>
            <w:shd w:val="clear" w:color="000000" w:fill="D9D9D9"/>
            <w:noWrap/>
            <w:vAlign w:val="center"/>
          </w:tcPr>
          <w:p w14:paraId="0FA95B95" w14:textId="7106EC72"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28 797 674</w:t>
            </w:r>
          </w:p>
        </w:tc>
        <w:tc>
          <w:tcPr>
            <w:tcW w:w="511" w:type="pct"/>
            <w:tcBorders>
              <w:top w:val="nil"/>
              <w:left w:val="nil"/>
              <w:bottom w:val="nil"/>
              <w:right w:val="nil"/>
            </w:tcBorders>
            <w:shd w:val="clear" w:color="000000" w:fill="DCE6F1"/>
            <w:noWrap/>
            <w:vAlign w:val="center"/>
          </w:tcPr>
          <w:p w14:paraId="6F2B182D" w14:textId="5896C645"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15 185 518</w:t>
            </w:r>
          </w:p>
        </w:tc>
        <w:tc>
          <w:tcPr>
            <w:tcW w:w="494" w:type="pct"/>
            <w:tcBorders>
              <w:top w:val="nil"/>
              <w:left w:val="nil"/>
              <w:bottom w:val="nil"/>
              <w:right w:val="nil"/>
            </w:tcBorders>
            <w:shd w:val="clear" w:color="000000" w:fill="DCE6F1"/>
            <w:noWrap/>
            <w:vAlign w:val="center"/>
          </w:tcPr>
          <w:p w14:paraId="634B6743" w14:textId="7B8AE49D"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10 190 518</w:t>
            </w:r>
          </w:p>
        </w:tc>
      </w:tr>
      <w:tr w:rsidR="00362392" w:rsidRPr="00B36AA0" w14:paraId="22290C47" w14:textId="77777777" w:rsidTr="00362392">
        <w:trPr>
          <w:trHeight w:val="191"/>
        </w:trPr>
        <w:tc>
          <w:tcPr>
            <w:tcW w:w="1403" w:type="pct"/>
            <w:tcBorders>
              <w:top w:val="nil"/>
              <w:left w:val="nil"/>
              <w:bottom w:val="nil"/>
              <w:right w:val="nil"/>
            </w:tcBorders>
            <w:shd w:val="clear" w:color="auto" w:fill="auto"/>
            <w:noWrap/>
            <w:vAlign w:val="center"/>
            <w:hideMark/>
          </w:tcPr>
          <w:p w14:paraId="0BB5D7C1" w14:textId="77777777" w:rsidR="00362392" w:rsidRPr="00B36AA0" w:rsidRDefault="00362392" w:rsidP="00362392">
            <w:pPr>
              <w:rPr>
                <w:rFonts w:ascii="Calibri" w:hAnsi="Calibri" w:cs="Calibri"/>
                <w:color w:val="000000"/>
                <w:sz w:val="20"/>
                <w:szCs w:val="20"/>
              </w:rPr>
            </w:pPr>
            <w:r w:rsidRPr="00B36AA0">
              <w:rPr>
                <w:rFonts w:ascii="Calibri" w:hAnsi="Calibri" w:cs="Calibri"/>
                <w:color w:val="000000"/>
                <w:sz w:val="20"/>
                <w:szCs w:val="20"/>
              </w:rPr>
              <w:t>453 – Zostatky z minulých rokov</w:t>
            </w:r>
          </w:p>
        </w:tc>
        <w:tc>
          <w:tcPr>
            <w:tcW w:w="520" w:type="pct"/>
            <w:tcBorders>
              <w:top w:val="nil"/>
              <w:left w:val="nil"/>
              <w:bottom w:val="nil"/>
              <w:right w:val="nil"/>
            </w:tcBorders>
            <w:shd w:val="clear" w:color="auto" w:fill="auto"/>
            <w:noWrap/>
            <w:vAlign w:val="center"/>
            <w:hideMark/>
          </w:tcPr>
          <w:p w14:paraId="5A22C41B" w14:textId="0AD718B3"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7 912 301</w:t>
            </w:r>
          </w:p>
        </w:tc>
        <w:tc>
          <w:tcPr>
            <w:tcW w:w="520" w:type="pct"/>
            <w:tcBorders>
              <w:top w:val="nil"/>
              <w:left w:val="nil"/>
              <w:bottom w:val="nil"/>
              <w:right w:val="nil"/>
            </w:tcBorders>
            <w:shd w:val="clear" w:color="auto" w:fill="auto"/>
            <w:noWrap/>
            <w:vAlign w:val="center"/>
            <w:hideMark/>
          </w:tcPr>
          <w:p w14:paraId="02CA141B" w14:textId="0ED142D7"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4 460 766</w:t>
            </w:r>
          </w:p>
        </w:tc>
        <w:tc>
          <w:tcPr>
            <w:tcW w:w="520" w:type="pct"/>
            <w:tcBorders>
              <w:top w:val="nil"/>
              <w:left w:val="nil"/>
              <w:bottom w:val="nil"/>
              <w:right w:val="nil"/>
            </w:tcBorders>
            <w:shd w:val="clear" w:color="auto" w:fill="auto"/>
            <w:noWrap/>
            <w:vAlign w:val="center"/>
            <w:hideMark/>
          </w:tcPr>
          <w:p w14:paraId="1D72108D" w14:textId="02FB9B34"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34 760 336</w:t>
            </w:r>
          </w:p>
        </w:tc>
        <w:tc>
          <w:tcPr>
            <w:tcW w:w="520" w:type="pct"/>
            <w:tcBorders>
              <w:top w:val="nil"/>
              <w:left w:val="nil"/>
              <w:bottom w:val="nil"/>
              <w:right w:val="nil"/>
            </w:tcBorders>
            <w:shd w:val="clear" w:color="auto" w:fill="auto"/>
            <w:noWrap/>
            <w:vAlign w:val="center"/>
          </w:tcPr>
          <w:p w14:paraId="3BF1A24E" w14:textId="382B789F"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19 050 766</w:t>
            </w:r>
          </w:p>
        </w:tc>
        <w:tc>
          <w:tcPr>
            <w:tcW w:w="511" w:type="pct"/>
            <w:tcBorders>
              <w:top w:val="nil"/>
              <w:left w:val="nil"/>
              <w:bottom w:val="nil"/>
              <w:right w:val="nil"/>
            </w:tcBorders>
            <w:shd w:val="clear" w:color="000000" w:fill="D9D9D9"/>
            <w:noWrap/>
            <w:vAlign w:val="center"/>
          </w:tcPr>
          <w:p w14:paraId="3FEC53D7" w14:textId="1F26256A"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11 797 674</w:t>
            </w:r>
          </w:p>
        </w:tc>
        <w:tc>
          <w:tcPr>
            <w:tcW w:w="511" w:type="pct"/>
            <w:tcBorders>
              <w:top w:val="nil"/>
              <w:left w:val="nil"/>
              <w:bottom w:val="nil"/>
              <w:right w:val="nil"/>
            </w:tcBorders>
            <w:shd w:val="clear" w:color="auto" w:fill="auto"/>
            <w:noWrap/>
            <w:vAlign w:val="center"/>
          </w:tcPr>
          <w:p w14:paraId="68594036" w14:textId="6ECB22A0"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185 518</w:t>
            </w:r>
          </w:p>
        </w:tc>
        <w:tc>
          <w:tcPr>
            <w:tcW w:w="494" w:type="pct"/>
            <w:tcBorders>
              <w:top w:val="nil"/>
              <w:left w:val="nil"/>
              <w:bottom w:val="nil"/>
              <w:right w:val="nil"/>
            </w:tcBorders>
            <w:shd w:val="clear" w:color="auto" w:fill="auto"/>
            <w:noWrap/>
            <w:vAlign w:val="center"/>
          </w:tcPr>
          <w:p w14:paraId="4301410B" w14:textId="47C331B2" w:rsidR="00362392" w:rsidRPr="00B36AA0" w:rsidRDefault="00362392" w:rsidP="00362392">
            <w:pPr>
              <w:jc w:val="right"/>
              <w:rPr>
                <w:rFonts w:ascii="Calibri" w:hAnsi="Calibri" w:cs="Calibri"/>
                <w:b/>
                <w:bCs/>
                <w:color w:val="000000"/>
                <w:sz w:val="20"/>
                <w:szCs w:val="20"/>
              </w:rPr>
            </w:pPr>
            <w:r w:rsidRPr="00B36AA0">
              <w:rPr>
                <w:rFonts w:ascii="Calibri" w:hAnsi="Calibri" w:cs="Calibri"/>
                <w:color w:val="000000"/>
                <w:sz w:val="20"/>
                <w:szCs w:val="20"/>
              </w:rPr>
              <w:t>190 518</w:t>
            </w:r>
          </w:p>
        </w:tc>
      </w:tr>
      <w:tr w:rsidR="00362392" w:rsidRPr="00B36AA0" w14:paraId="12A68F8D" w14:textId="77777777" w:rsidTr="00362392">
        <w:trPr>
          <w:trHeight w:val="191"/>
        </w:trPr>
        <w:tc>
          <w:tcPr>
            <w:tcW w:w="1403" w:type="pct"/>
            <w:tcBorders>
              <w:top w:val="nil"/>
              <w:left w:val="nil"/>
              <w:bottom w:val="nil"/>
              <w:right w:val="nil"/>
            </w:tcBorders>
            <w:shd w:val="clear" w:color="auto" w:fill="auto"/>
            <w:noWrap/>
            <w:vAlign w:val="center"/>
            <w:hideMark/>
          </w:tcPr>
          <w:p w14:paraId="1BC8CBFF" w14:textId="77777777" w:rsidR="00362392" w:rsidRPr="00B36AA0" w:rsidRDefault="00362392" w:rsidP="00362392">
            <w:pPr>
              <w:rPr>
                <w:rFonts w:ascii="Calibri" w:hAnsi="Calibri" w:cs="Calibri"/>
                <w:color w:val="000000"/>
                <w:sz w:val="20"/>
                <w:szCs w:val="20"/>
              </w:rPr>
            </w:pPr>
            <w:r w:rsidRPr="00B36AA0">
              <w:rPr>
                <w:rFonts w:ascii="Calibri" w:hAnsi="Calibri" w:cs="Calibri"/>
                <w:color w:val="000000"/>
                <w:sz w:val="20"/>
                <w:szCs w:val="20"/>
              </w:rPr>
              <w:t>454 – Rezervný fond</w:t>
            </w:r>
          </w:p>
        </w:tc>
        <w:tc>
          <w:tcPr>
            <w:tcW w:w="520" w:type="pct"/>
            <w:tcBorders>
              <w:top w:val="nil"/>
              <w:left w:val="nil"/>
              <w:bottom w:val="nil"/>
              <w:right w:val="nil"/>
            </w:tcBorders>
            <w:shd w:val="clear" w:color="auto" w:fill="auto"/>
            <w:noWrap/>
            <w:vAlign w:val="center"/>
            <w:hideMark/>
          </w:tcPr>
          <w:p w14:paraId="0146C511" w14:textId="56F9D99E"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11 743 886</w:t>
            </w:r>
          </w:p>
        </w:tc>
        <w:tc>
          <w:tcPr>
            <w:tcW w:w="520" w:type="pct"/>
            <w:tcBorders>
              <w:top w:val="nil"/>
              <w:left w:val="nil"/>
              <w:bottom w:val="nil"/>
              <w:right w:val="nil"/>
            </w:tcBorders>
            <w:shd w:val="clear" w:color="auto" w:fill="auto"/>
            <w:noWrap/>
            <w:vAlign w:val="center"/>
            <w:hideMark/>
          </w:tcPr>
          <w:p w14:paraId="1302BEF9" w14:textId="0B469082"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12 528 719</w:t>
            </w:r>
          </w:p>
        </w:tc>
        <w:tc>
          <w:tcPr>
            <w:tcW w:w="520" w:type="pct"/>
            <w:tcBorders>
              <w:top w:val="nil"/>
              <w:left w:val="nil"/>
              <w:bottom w:val="nil"/>
              <w:right w:val="nil"/>
            </w:tcBorders>
            <w:shd w:val="clear" w:color="auto" w:fill="auto"/>
            <w:noWrap/>
            <w:vAlign w:val="center"/>
            <w:hideMark/>
          </w:tcPr>
          <w:p w14:paraId="6B6506DC" w14:textId="1D0DABF7"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22 170 000</w:t>
            </w:r>
          </w:p>
        </w:tc>
        <w:tc>
          <w:tcPr>
            <w:tcW w:w="520" w:type="pct"/>
            <w:tcBorders>
              <w:top w:val="nil"/>
              <w:left w:val="nil"/>
              <w:bottom w:val="nil"/>
              <w:right w:val="nil"/>
            </w:tcBorders>
            <w:shd w:val="clear" w:color="auto" w:fill="auto"/>
            <w:noWrap/>
            <w:vAlign w:val="center"/>
          </w:tcPr>
          <w:p w14:paraId="1DC5184D" w14:textId="5B312AF0"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10 000 000</w:t>
            </w:r>
          </w:p>
        </w:tc>
        <w:tc>
          <w:tcPr>
            <w:tcW w:w="511" w:type="pct"/>
            <w:tcBorders>
              <w:top w:val="nil"/>
              <w:left w:val="nil"/>
              <w:bottom w:val="nil"/>
              <w:right w:val="nil"/>
            </w:tcBorders>
            <w:shd w:val="clear" w:color="000000" w:fill="D9D9D9"/>
            <w:noWrap/>
            <w:vAlign w:val="center"/>
          </w:tcPr>
          <w:p w14:paraId="2D421345" w14:textId="7A99151A"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17 000 000</w:t>
            </w:r>
          </w:p>
        </w:tc>
        <w:tc>
          <w:tcPr>
            <w:tcW w:w="511" w:type="pct"/>
            <w:tcBorders>
              <w:top w:val="nil"/>
              <w:left w:val="nil"/>
              <w:bottom w:val="nil"/>
              <w:right w:val="nil"/>
            </w:tcBorders>
            <w:shd w:val="clear" w:color="auto" w:fill="auto"/>
            <w:noWrap/>
            <w:vAlign w:val="center"/>
          </w:tcPr>
          <w:p w14:paraId="5AEA1AFA" w14:textId="64219E3D"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15 000 000</w:t>
            </w:r>
          </w:p>
        </w:tc>
        <w:tc>
          <w:tcPr>
            <w:tcW w:w="494" w:type="pct"/>
            <w:tcBorders>
              <w:top w:val="nil"/>
              <w:left w:val="nil"/>
              <w:bottom w:val="nil"/>
              <w:right w:val="nil"/>
            </w:tcBorders>
            <w:shd w:val="clear" w:color="auto" w:fill="auto"/>
            <w:noWrap/>
            <w:vAlign w:val="center"/>
          </w:tcPr>
          <w:p w14:paraId="6219CBA6" w14:textId="0B9D5993" w:rsidR="00362392" w:rsidRPr="00B36AA0" w:rsidRDefault="00362392" w:rsidP="00362392">
            <w:pPr>
              <w:jc w:val="right"/>
              <w:rPr>
                <w:rFonts w:ascii="Calibri" w:hAnsi="Calibri" w:cs="Calibri"/>
                <w:b/>
                <w:bCs/>
                <w:color w:val="000000"/>
                <w:sz w:val="20"/>
                <w:szCs w:val="20"/>
              </w:rPr>
            </w:pPr>
            <w:r w:rsidRPr="00B36AA0">
              <w:rPr>
                <w:rFonts w:ascii="Calibri" w:hAnsi="Calibri" w:cs="Calibri"/>
                <w:color w:val="000000"/>
                <w:sz w:val="20"/>
                <w:szCs w:val="20"/>
              </w:rPr>
              <w:t>10 000 000</w:t>
            </w:r>
          </w:p>
        </w:tc>
      </w:tr>
      <w:tr w:rsidR="00362392" w:rsidRPr="00B36AA0" w14:paraId="506725D6" w14:textId="77777777" w:rsidTr="00362392">
        <w:trPr>
          <w:trHeight w:val="191"/>
        </w:trPr>
        <w:tc>
          <w:tcPr>
            <w:tcW w:w="1403" w:type="pct"/>
            <w:tcBorders>
              <w:top w:val="nil"/>
              <w:left w:val="nil"/>
              <w:bottom w:val="nil"/>
              <w:right w:val="nil"/>
            </w:tcBorders>
            <w:shd w:val="clear" w:color="auto" w:fill="auto"/>
            <w:noWrap/>
            <w:vAlign w:val="center"/>
            <w:hideMark/>
          </w:tcPr>
          <w:p w14:paraId="1ADDCB73" w14:textId="77777777" w:rsidR="00362392" w:rsidRPr="00B36AA0" w:rsidRDefault="00362392" w:rsidP="00362392">
            <w:pPr>
              <w:rPr>
                <w:rFonts w:ascii="Calibri" w:hAnsi="Calibri" w:cs="Calibri"/>
                <w:color w:val="000000"/>
                <w:sz w:val="20"/>
                <w:szCs w:val="20"/>
              </w:rPr>
            </w:pPr>
            <w:r w:rsidRPr="00B36AA0">
              <w:rPr>
                <w:rFonts w:ascii="Calibri" w:hAnsi="Calibri" w:cs="Calibri"/>
                <w:color w:val="000000"/>
                <w:sz w:val="20"/>
                <w:szCs w:val="20"/>
              </w:rPr>
              <w:t>456 – Prijaté zábezpeky</w:t>
            </w:r>
          </w:p>
        </w:tc>
        <w:tc>
          <w:tcPr>
            <w:tcW w:w="520" w:type="pct"/>
            <w:tcBorders>
              <w:top w:val="nil"/>
              <w:left w:val="nil"/>
              <w:bottom w:val="nil"/>
              <w:right w:val="nil"/>
            </w:tcBorders>
            <w:shd w:val="clear" w:color="auto" w:fill="auto"/>
            <w:noWrap/>
            <w:vAlign w:val="center"/>
            <w:hideMark/>
          </w:tcPr>
          <w:p w14:paraId="49D2A93C" w14:textId="50B8E49D"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673 206</w:t>
            </w:r>
          </w:p>
        </w:tc>
        <w:tc>
          <w:tcPr>
            <w:tcW w:w="520" w:type="pct"/>
            <w:tcBorders>
              <w:top w:val="nil"/>
              <w:left w:val="nil"/>
              <w:bottom w:val="nil"/>
              <w:right w:val="nil"/>
            </w:tcBorders>
            <w:shd w:val="clear" w:color="auto" w:fill="auto"/>
            <w:noWrap/>
            <w:vAlign w:val="center"/>
            <w:hideMark/>
          </w:tcPr>
          <w:p w14:paraId="31B32DF3" w14:textId="5C6BF84D"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527 412</w:t>
            </w:r>
          </w:p>
        </w:tc>
        <w:tc>
          <w:tcPr>
            <w:tcW w:w="520" w:type="pct"/>
            <w:tcBorders>
              <w:top w:val="nil"/>
              <w:left w:val="nil"/>
              <w:bottom w:val="nil"/>
              <w:right w:val="nil"/>
            </w:tcBorders>
            <w:shd w:val="clear" w:color="auto" w:fill="auto"/>
            <w:noWrap/>
            <w:vAlign w:val="center"/>
            <w:hideMark/>
          </w:tcPr>
          <w:p w14:paraId="41F6A43C" w14:textId="64DBFB17"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0</w:t>
            </w:r>
          </w:p>
        </w:tc>
        <w:tc>
          <w:tcPr>
            <w:tcW w:w="520" w:type="pct"/>
            <w:tcBorders>
              <w:top w:val="nil"/>
              <w:left w:val="nil"/>
              <w:bottom w:val="nil"/>
              <w:right w:val="nil"/>
            </w:tcBorders>
            <w:shd w:val="clear" w:color="auto" w:fill="auto"/>
            <w:noWrap/>
            <w:vAlign w:val="center"/>
          </w:tcPr>
          <w:p w14:paraId="2E076D49" w14:textId="3A4633B7"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0</w:t>
            </w:r>
          </w:p>
        </w:tc>
        <w:tc>
          <w:tcPr>
            <w:tcW w:w="511" w:type="pct"/>
            <w:tcBorders>
              <w:top w:val="nil"/>
              <w:left w:val="nil"/>
              <w:bottom w:val="nil"/>
              <w:right w:val="nil"/>
            </w:tcBorders>
            <w:shd w:val="clear" w:color="000000" w:fill="D9D9D9"/>
            <w:noWrap/>
            <w:vAlign w:val="center"/>
          </w:tcPr>
          <w:p w14:paraId="6DF85B0A" w14:textId="1373A505"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0</w:t>
            </w:r>
          </w:p>
        </w:tc>
        <w:tc>
          <w:tcPr>
            <w:tcW w:w="511" w:type="pct"/>
            <w:tcBorders>
              <w:top w:val="nil"/>
              <w:left w:val="nil"/>
              <w:bottom w:val="nil"/>
              <w:right w:val="nil"/>
            </w:tcBorders>
            <w:shd w:val="clear" w:color="auto" w:fill="auto"/>
            <w:noWrap/>
            <w:vAlign w:val="center"/>
          </w:tcPr>
          <w:p w14:paraId="6BC98072" w14:textId="2E293440"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0</w:t>
            </w:r>
          </w:p>
        </w:tc>
        <w:tc>
          <w:tcPr>
            <w:tcW w:w="494" w:type="pct"/>
            <w:tcBorders>
              <w:top w:val="nil"/>
              <w:left w:val="nil"/>
              <w:bottom w:val="nil"/>
              <w:right w:val="nil"/>
            </w:tcBorders>
            <w:shd w:val="clear" w:color="auto" w:fill="auto"/>
            <w:noWrap/>
            <w:vAlign w:val="center"/>
          </w:tcPr>
          <w:p w14:paraId="2C519252" w14:textId="392ECDE5" w:rsidR="00362392" w:rsidRPr="00B36AA0" w:rsidRDefault="00362392" w:rsidP="00362392">
            <w:pPr>
              <w:jc w:val="right"/>
              <w:rPr>
                <w:rFonts w:ascii="Calibri" w:hAnsi="Calibri" w:cs="Calibri"/>
                <w:b/>
                <w:bCs/>
                <w:color w:val="000000"/>
                <w:sz w:val="20"/>
                <w:szCs w:val="20"/>
              </w:rPr>
            </w:pPr>
            <w:r w:rsidRPr="00B36AA0">
              <w:rPr>
                <w:rFonts w:ascii="Calibri" w:hAnsi="Calibri" w:cs="Calibri"/>
                <w:color w:val="000000"/>
                <w:sz w:val="20"/>
                <w:szCs w:val="20"/>
              </w:rPr>
              <w:t>0</w:t>
            </w:r>
          </w:p>
        </w:tc>
      </w:tr>
      <w:tr w:rsidR="00362392" w:rsidRPr="00B36AA0" w14:paraId="29F722D9" w14:textId="77777777" w:rsidTr="00362392">
        <w:trPr>
          <w:trHeight w:val="191"/>
        </w:trPr>
        <w:tc>
          <w:tcPr>
            <w:tcW w:w="1403" w:type="pct"/>
            <w:tcBorders>
              <w:top w:val="nil"/>
              <w:left w:val="nil"/>
              <w:bottom w:val="nil"/>
              <w:right w:val="nil"/>
            </w:tcBorders>
            <w:shd w:val="clear" w:color="000000" w:fill="DCE6F1"/>
            <w:noWrap/>
            <w:vAlign w:val="center"/>
            <w:hideMark/>
          </w:tcPr>
          <w:p w14:paraId="2023589D" w14:textId="77777777" w:rsidR="00362392" w:rsidRPr="00B36AA0" w:rsidRDefault="00362392" w:rsidP="00362392">
            <w:pPr>
              <w:ind w:firstLineChars="300" w:firstLine="602"/>
              <w:rPr>
                <w:rFonts w:ascii="Calibri" w:hAnsi="Calibri" w:cs="Calibri"/>
                <w:b/>
                <w:bCs/>
                <w:color w:val="000000"/>
                <w:sz w:val="20"/>
                <w:szCs w:val="20"/>
              </w:rPr>
            </w:pPr>
            <w:r w:rsidRPr="00B36AA0">
              <w:rPr>
                <w:rFonts w:ascii="Calibri" w:hAnsi="Calibri" w:cs="Calibri"/>
                <w:b/>
                <w:bCs/>
                <w:color w:val="000000"/>
                <w:sz w:val="20"/>
                <w:szCs w:val="20"/>
              </w:rPr>
              <w:t>Prijaté úvery, pôžičky, NFV</w:t>
            </w:r>
          </w:p>
        </w:tc>
        <w:tc>
          <w:tcPr>
            <w:tcW w:w="520" w:type="pct"/>
            <w:tcBorders>
              <w:top w:val="nil"/>
              <w:left w:val="nil"/>
              <w:bottom w:val="nil"/>
              <w:right w:val="nil"/>
            </w:tcBorders>
            <w:shd w:val="clear" w:color="000000" w:fill="DCE6F1"/>
            <w:noWrap/>
            <w:vAlign w:val="center"/>
            <w:hideMark/>
          </w:tcPr>
          <w:p w14:paraId="070B38A9" w14:textId="614E9CB7"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14 000 000</w:t>
            </w:r>
          </w:p>
        </w:tc>
        <w:tc>
          <w:tcPr>
            <w:tcW w:w="520" w:type="pct"/>
            <w:tcBorders>
              <w:top w:val="nil"/>
              <w:left w:val="nil"/>
              <w:bottom w:val="nil"/>
              <w:right w:val="nil"/>
            </w:tcBorders>
            <w:shd w:val="clear" w:color="000000" w:fill="DCE6F1"/>
            <w:noWrap/>
            <w:vAlign w:val="center"/>
            <w:hideMark/>
          </w:tcPr>
          <w:p w14:paraId="548952A8" w14:textId="4975A945"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42 100 000</w:t>
            </w:r>
          </w:p>
        </w:tc>
        <w:tc>
          <w:tcPr>
            <w:tcW w:w="520" w:type="pct"/>
            <w:tcBorders>
              <w:top w:val="nil"/>
              <w:left w:val="nil"/>
              <w:bottom w:val="nil"/>
              <w:right w:val="nil"/>
            </w:tcBorders>
            <w:shd w:val="clear" w:color="000000" w:fill="DCE6F1"/>
            <w:noWrap/>
            <w:vAlign w:val="center"/>
            <w:hideMark/>
          </w:tcPr>
          <w:p w14:paraId="3334D7C4" w14:textId="036A5369"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0</w:t>
            </w:r>
          </w:p>
        </w:tc>
        <w:tc>
          <w:tcPr>
            <w:tcW w:w="520" w:type="pct"/>
            <w:tcBorders>
              <w:top w:val="nil"/>
              <w:left w:val="nil"/>
              <w:bottom w:val="nil"/>
              <w:right w:val="nil"/>
            </w:tcBorders>
            <w:shd w:val="clear" w:color="000000" w:fill="DCE6F1"/>
            <w:noWrap/>
            <w:vAlign w:val="center"/>
          </w:tcPr>
          <w:p w14:paraId="0D4640CA" w14:textId="45877C86"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0</w:t>
            </w:r>
          </w:p>
        </w:tc>
        <w:tc>
          <w:tcPr>
            <w:tcW w:w="511" w:type="pct"/>
            <w:tcBorders>
              <w:top w:val="nil"/>
              <w:left w:val="nil"/>
              <w:bottom w:val="nil"/>
              <w:right w:val="nil"/>
            </w:tcBorders>
            <w:shd w:val="clear" w:color="000000" w:fill="D9D9D9"/>
            <w:noWrap/>
            <w:vAlign w:val="center"/>
          </w:tcPr>
          <w:p w14:paraId="5B303CE7" w14:textId="7A5A9D5E"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18 980 000</w:t>
            </w:r>
          </w:p>
        </w:tc>
        <w:tc>
          <w:tcPr>
            <w:tcW w:w="511" w:type="pct"/>
            <w:tcBorders>
              <w:top w:val="nil"/>
              <w:left w:val="nil"/>
              <w:bottom w:val="nil"/>
              <w:right w:val="nil"/>
            </w:tcBorders>
            <w:shd w:val="clear" w:color="000000" w:fill="DCE6F1"/>
            <w:noWrap/>
            <w:vAlign w:val="center"/>
          </w:tcPr>
          <w:p w14:paraId="649D5A9C" w14:textId="1013362D"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15 000 000</w:t>
            </w:r>
          </w:p>
        </w:tc>
        <w:tc>
          <w:tcPr>
            <w:tcW w:w="494" w:type="pct"/>
            <w:tcBorders>
              <w:top w:val="nil"/>
              <w:left w:val="nil"/>
              <w:bottom w:val="nil"/>
              <w:right w:val="nil"/>
            </w:tcBorders>
            <w:shd w:val="clear" w:color="000000" w:fill="DCE6F1"/>
            <w:noWrap/>
            <w:vAlign w:val="center"/>
          </w:tcPr>
          <w:p w14:paraId="03A9F3B5" w14:textId="6A1BA42A" w:rsidR="00362392" w:rsidRPr="00B36AA0" w:rsidRDefault="00362392" w:rsidP="00362392">
            <w:pPr>
              <w:jc w:val="right"/>
              <w:rPr>
                <w:rFonts w:ascii="Calibri" w:hAnsi="Calibri" w:cs="Calibri"/>
                <w:b/>
                <w:bCs/>
                <w:color w:val="000000"/>
                <w:sz w:val="20"/>
                <w:szCs w:val="20"/>
              </w:rPr>
            </w:pPr>
            <w:r w:rsidRPr="00B36AA0">
              <w:rPr>
                <w:rFonts w:ascii="Calibri" w:hAnsi="Calibri" w:cs="Calibri"/>
                <w:b/>
                <w:bCs/>
                <w:color w:val="000000"/>
                <w:sz w:val="20"/>
                <w:szCs w:val="20"/>
              </w:rPr>
              <w:t>30 000 000</w:t>
            </w:r>
          </w:p>
        </w:tc>
      </w:tr>
      <w:tr w:rsidR="00362392" w:rsidRPr="00B36AA0" w14:paraId="37454910" w14:textId="77777777" w:rsidTr="00362392">
        <w:trPr>
          <w:trHeight w:val="191"/>
        </w:trPr>
        <w:tc>
          <w:tcPr>
            <w:tcW w:w="1403" w:type="pct"/>
            <w:tcBorders>
              <w:top w:val="nil"/>
              <w:left w:val="nil"/>
              <w:bottom w:val="nil"/>
              <w:right w:val="nil"/>
            </w:tcBorders>
            <w:shd w:val="clear" w:color="auto" w:fill="auto"/>
            <w:noWrap/>
            <w:vAlign w:val="center"/>
            <w:hideMark/>
          </w:tcPr>
          <w:p w14:paraId="0900AC3D" w14:textId="77777777" w:rsidR="00362392" w:rsidRPr="00B36AA0" w:rsidRDefault="00362392" w:rsidP="00362392">
            <w:pPr>
              <w:rPr>
                <w:rFonts w:ascii="Calibri" w:hAnsi="Calibri" w:cs="Calibri"/>
                <w:color w:val="000000"/>
                <w:sz w:val="20"/>
                <w:szCs w:val="20"/>
              </w:rPr>
            </w:pPr>
            <w:r w:rsidRPr="00B36AA0">
              <w:rPr>
                <w:rFonts w:ascii="Calibri" w:hAnsi="Calibri" w:cs="Calibri"/>
                <w:color w:val="000000"/>
                <w:sz w:val="20"/>
                <w:szCs w:val="20"/>
              </w:rPr>
              <w:t>510 - Úvery tuzemské</w:t>
            </w:r>
          </w:p>
        </w:tc>
        <w:tc>
          <w:tcPr>
            <w:tcW w:w="520" w:type="pct"/>
            <w:tcBorders>
              <w:top w:val="nil"/>
              <w:left w:val="nil"/>
              <w:bottom w:val="nil"/>
              <w:right w:val="nil"/>
            </w:tcBorders>
            <w:shd w:val="clear" w:color="auto" w:fill="auto"/>
            <w:noWrap/>
            <w:vAlign w:val="center"/>
            <w:hideMark/>
          </w:tcPr>
          <w:p w14:paraId="79DC459F" w14:textId="5CD79F6A"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11 000 000</w:t>
            </w:r>
          </w:p>
        </w:tc>
        <w:tc>
          <w:tcPr>
            <w:tcW w:w="520" w:type="pct"/>
            <w:tcBorders>
              <w:top w:val="nil"/>
              <w:left w:val="nil"/>
              <w:bottom w:val="nil"/>
              <w:right w:val="nil"/>
            </w:tcBorders>
            <w:shd w:val="clear" w:color="auto" w:fill="auto"/>
            <w:noWrap/>
            <w:vAlign w:val="center"/>
            <w:hideMark/>
          </w:tcPr>
          <w:p w14:paraId="1267DE13" w14:textId="734BBB05"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42 100 000</w:t>
            </w:r>
          </w:p>
        </w:tc>
        <w:tc>
          <w:tcPr>
            <w:tcW w:w="520" w:type="pct"/>
            <w:tcBorders>
              <w:top w:val="nil"/>
              <w:left w:val="nil"/>
              <w:bottom w:val="nil"/>
              <w:right w:val="nil"/>
            </w:tcBorders>
            <w:shd w:val="clear" w:color="auto" w:fill="auto"/>
            <w:noWrap/>
            <w:vAlign w:val="center"/>
            <w:hideMark/>
          </w:tcPr>
          <w:p w14:paraId="35BF3560" w14:textId="6ED77B90"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0</w:t>
            </w:r>
          </w:p>
        </w:tc>
        <w:tc>
          <w:tcPr>
            <w:tcW w:w="520" w:type="pct"/>
            <w:tcBorders>
              <w:top w:val="nil"/>
              <w:left w:val="nil"/>
              <w:bottom w:val="nil"/>
              <w:right w:val="nil"/>
            </w:tcBorders>
            <w:shd w:val="clear" w:color="auto" w:fill="auto"/>
            <w:noWrap/>
            <w:vAlign w:val="center"/>
          </w:tcPr>
          <w:p w14:paraId="036F7FBE" w14:textId="78372CD6"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0</w:t>
            </w:r>
          </w:p>
        </w:tc>
        <w:tc>
          <w:tcPr>
            <w:tcW w:w="511" w:type="pct"/>
            <w:tcBorders>
              <w:top w:val="nil"/>
              <w:left w:val="nil"/>
              <w:bottom w:val="nil"/>
              <w:right w:val="nil"/>
            </w:tcBorders>
            <w:shd w:val="clear" w:color="000000" w:fill="D9D9D9"/>
            <w:noWrap/>
            <w:vAlign w:val="center"/>
          </w:tcPr>
          <w:p w14:paraId="678443A9" w14:textId="1BF2851D"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3 980 000</w:t>
            </w:r>
          </w:p>
        </w:tc>
        <w:tc>
          <w:tcPr>
            <w:tcW w:w="511" w:type="pct"/>
            <w:tcBorders>
              <w:top w:val="nil"/>
              <w:left w:val="nil"/>
              <w:bottom w:val="nil"/>
              <w:right w:val="nil"/>
            </w:tcBorders>
            <w:shd w:val="clear" w:color="auto" w:fill="auto"/>
            <w:noWrap/>
            <w:vAlign w:val="center"/>
          </w:tcPr>
          <w:p w14:paraId="5824879B" w14:textId="304611E7"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5 000 000</w:t>
            </w:r>
          </w:p>
        </w:tc>
        <w:tc>
          <w:tcPr>
            <w:tcW w:w="494" w:type="pct"/>
            <w:tcBorders>
              <w:top w:val="nil"/>
              <w:left w:val="nil"/>
              <w:bottom w:val="nil"/>
              <w:right w:val="nil"/>
            </w:tcBorders>
            <w:shd w:val="clear" w:color="auto" w:fill="auto"/>
            <w:noWrap/>
            <w:vAlign w:val="center"/>
          </w:tcPr>
          <w:p w14:paraId="0C731DA7" w14:textId="54555E2B"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30 000 000</w:t>
            </w:r>
          </w:p>
        </w:tc>
      </w:tr>
      <w:tr w:rsidR="00362392" w:rsidRPr="00B36AA0" w14:paraId="56F92F73" w14:textId="77777777" w:rsidTr="00362392">
        <w:trPr>
          <w:trHeight w:val="191"/>
        </w:trPr>
        <w:tc>
          <w:tcPr>
            <w:tcW w:w="1403" w:type="pct"/>
            <w:tcBorders>
              <w:top w:val="nil"/>
              <w:left w:val="nil"/>
              <w:bottom w:val="nil"/>
              <w:right w:val="nil"/>
            </w:tcBorders>
            <w:shd w:val="clear" w:color="auto" w:fill="auto"/>
            <w:noWrap/>
            <w:vAlign w:val="center"/>
            <w:hideMark/>
          </w:tcPr>
          <w:p w14:paraId="7810C9E5" w14:textId="77777777" w:rsidR="00362392" w:rsidRPr="00B36AA0" w:rsidRDefault="00362392" w:rsidP="00362392">
            <w:pPr>
              <w:rPr>
                <w:rFonts w:ascii="Calibri" w:hAnsi="Calibri" w:cs="Calibri"/>
                <w:color w:val="000000"/>
                <w:sz w:val="20"/>
                <w:szCs w:val="20"/>
              </w:rPr>
            </w:pPr>
            <w:r w:rsidRPr="00B36AA0">
              <w:rPr>
                <w:rFonts w:ascii="Calibri" w:hAnsi="Calibri" w:cs="Calibri"/>
                <w:color w:val="000000"/>
                <w:sz w:val="20"/>
                <w:szCs w:val="20"/>
              </w:rPr>
              <w:t xml:space="preserve">520 – Úvery zahraničné </w:t>
            </w:r>
          </w:p>
        </w:tc>
        <w:tc>
          <w:tcPr>
            <w:tcW w:w="520" w:type="pct"/>
            <w:tcBorders>
              <w:top w:val="nil"/>
              <w:left w:val="nil"/>
              <w:bottom w:val="nil"/>
              <w:right w:val="nil"/>
            </w:tcBorders>
            <w:shd w:val="clear" w:color="auto" w:fill="auto"/>
            <w:noWrap/>
            <w:vAlign w:val="center"/>
            <w:hideMark/>
          </w:tcPr>
          <w:p w14:paraId="371E434A" w14:textId="30F6E7C7"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3 000 000</w:t>
            </w:r>
          </w:p>
        </w:tc>
        <w:tc>
          <w:tcPr>
            <w:tcW w:w="520" w:type="pct"/>
            <w:tcBorders>
              <w:top w:val="nil"/>
              <w:left w:val="nil"/>
              <w:bottom w:val="nil"/>
              <w:right w:val="nil"/>
            </w:tcBorders>
            <w:shd w:val="clear" w:color="auto" w:fill="auto"/>
            <w:noWrap/>
            <w:vAlign w:val="center"/>
            <w:hideMark/>
          </w:tcPr>
          <w:p w14:paraId="1F083358" w14:textId="60531E1C"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0</w:t>
            </w:r>
          </w:p>
        </w:tc>
        <w:tc>
          <w:tcPr>
            <w:tcW w:w="520" w:type="pct"/>
            <w:tcBorders>
              <w:top w:val="nil"/>
              <w:left w:val="nil"/>
              <w:bottom w:val="nil"/>
              <w:right w:val="nil"/>
            </w:tcBorders>
            <w:shd w:val="clear" w:color="auto" w:fill="auto"/>
            <w:noWrap/>
            <w:vAlign w:val="center"/>
            <w:hideMark/>
          </w:tcPr>
          <w:p w14:paraId="18A6790F" w14:textId="5D31F7ED"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0</w:t>
            </w:r>
          </w:p>
        </w:tc>
        <w:tc>
          <w:tcPr>
            <w:tcW w:w="520" w:type="pct"/>
            <w:tcBorders>
              <w:top w:val="nil"/>
              <w:left w:val="nil"/>
              <w:bottom w:val="nil"/>
              <w:right w:val="nil"/>
            </w:tcBorders>
            <w:shd w:val="clear" w:color="auto" w:fill="auto"/>
            <w:noWrap/>
            <w:vAlign w:val="center"/>
          </w:tcPr>
          <w:p w14:paraId="457EEFDE" w14:textId="04B5E361"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0</w:t>
            </w:r>
          </w:p>
        </w:tc>
        <w:tc>
          <w:tcPr>
            <w:tcW w:w="511" w:type="pct"/>
            <w:tcBorders>
              <w:top w:val="nil"/>
              <w:left w:val="nil"/>
              <w:bottom w:val="nil"/>
              <w:right w:val="nil"/>
            </w:tcBorders>
            <w:shd w:val="clear" w:color="000000" w:fill="D9D9D9"/>
            <w:noWrap/>
            <w:vAlign w:val="center"/>
          </w:tcPr>
          <w:p w14:paraId="31C4F310" w14:textId="5475A684"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15 000 000</w:t>
            </w:r>
          </w:p>
        </w:tc>
        <w:tc>
          <w:tcPr>
            <w:tcW w:w="511" w:type="pct"/>
            <w:tcBorders>
              <w:top w:val="nil"/>
              <w:left w:val="nil"/>
              <w:bottom w:val="nil"/>
              <w:right w:val="nil"/>
            </w:tcBorders>
            <w:shd w:val="clear" w:color="auto" w:fill="auto"/>
            <w:noWrap/>
            <w:vAlign w:val="center"/>
          </w:tcPr>
          <w:p w14:paraId="6BAD775D" w14:textId="57E3E1DC"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10 000 000</w:t>
            </w:r>
          </w:p>
        </w:tc>
        <w:tc>
          <w:tcPr>
            <w:tcW w:w="494" w:type="pct"/>
            <w:tcBorders>
              <w:top w:val="nil"/>
              <w:left w:val="nil"/>
              <w:bottom w:val="nil"/>
              <w:right w:val="nil"/>
            </w:tcBorders>
            <w:shd w:val="clear" w:color="auto" w:fill="auto"/>
            <w:noWrap/>
            <w:vAlign w:val="center"/>
          </w:tcPr>
          <w:p w14:paraId="78C920B8" w14:textId="67AF4B8F" w:rsidR="00362392" w:rsidRPr="00B36AA0" w:rsidRDefault="00362392" w:rsidP="00362392">
            <w:pPr>
              <w:jc w:val="right"/>
              <w:rPr>
                <w:rFonts w:ascii="Calibri" w:hAnsi="Calibri" w:cs="Calibri"/>
                <w:color w:val="000000"/>
                <w:sz w:val="20"/>
                <w:szCs w:val="20"/>
              </w:rPr>
            </w:pPr>
            <w:r w:rsidRPr="00B36AA0">
              <w:rPr>
                <w:rFonts w:ascii="Calibri" w:hAnsi="Calibri" w:cs="Calibri"/>
                <w:color w:val="000000"/>
                <w:sz w:val="20"/>
                <w:szCs w:val="20"/>
              </w:rPr>
              <w:t>0</w:t>
            </w:r>
          </w:p>
        </w:tc>
      </w:tr>
    </w:tbl>
    <w:p w14:paraId="773F127F" w14:textId="77777777" w:rsidR="00C017B9" w:rsidRDefault="00C017B9" w:rsidP="00C8280C">
      <w:pPr>
        <w:spacing w:before="360" w:after="120"/>
        <w:jc w:val="both"/>
        <w:rPr>
          <w:rFonts w:cstheme="minorHAnsi"/>
          <w:b/>
          <w:sz w:val="28"/>
          <w:szCs w:val="28"/>
        </w:rPr>
      </w:pPr>
    </w:p>
    <w:p w14:paraId="53D2E7EF" w14:textId="77777777" w:rsidR="00DC264B" w:rsidRDefault="00DC264B" w:rsidP="00C8280C">
      <w:pPr>
        <w:spacing w:before="360" w:after="120"/>
        <w:jc w:val="both"/>
        <w:rPr>
          <w:rFonts w:cstheme="minorHAnsi"/>
          <w:b/>
          <w:sz w:val="28"/>
          <w:szCs w:val="28"/>
        </w:rPr>
      </w:pPr>
    </w:p>
    <w:p w14:paraId="048277D4" w14:textId="77777777" w:rsidR="0096461C" w:rsidRDefault="0096461C" w:rsidP="00C8280C">
      <w:pPr>
        <w:spacing w:before="360" w:after="120"/>
        <w:jc w:val="both"/>
        <w:rPr>
          <w:rFonts w:cstheme="minorHAnsi"/>
          <w:b/>
          <w:sz w:val="28"/>
          <w:szCs w:val="28"/>
        </w:rPr>
      </w:pPr>
    </w:p>
    <w:p w14:paraId="309E2B51" w14:textId="12E18BEA" w:rsidR="00C8280C" w:rsidRDefault="00C8280C" w:rsidP="00C8280C">
      <w:pPr>
        <w:spacing w:before="360" w:after="120"/>
        <w:jc w:val="both"/>
        <w:rPr>
          <w:rFonts w:cstheme="minorHAnsi"/>
          <w:b/>
          <w:sz w:val="28"/>
          <w:szCs w:val="28"/>
        </w:rPr>
      </w:pPr>
      <w:r w:rsidRPr="008B3479">
        <w:rPr>
          <w:rFonts w:cstheme="minorHAnsi"/>
          <w:b/>
          <w:sz w:val="28"/>
          <w:szCs w:val="28"/>
        </w:rPr>
        <w:lastRenderedPageBreak/>
        <w:t>2.</w:t>
      </w:r>
      <w:r>
        <w:rPr>
          <w:rFonts w:cstheme="minorHAnsi"/>
          <w:b/>
          <w:sz w:val="28"/>
          <w:szCs w:val="28"/>
        </w:rPr>
        <w:t>5</w:t>
      </w:r>
      <w:r w:rsidRPr="008B3479">
        <w:rPr>
          <w:rFonts w:cstheme="minorHAnsi"/>
          <w:b/>
          <w:sz w:val="28"/>
          <w:szCs w:val="28"/>
        </w:rPr>
        <w:t xml:space="preserve"> </w:t>
      </w:r>
      <w:r>
        <w:rPr>
          <w:rFonts w:cstheme="minorHAnsi"/>
          <w:b/>
          <w:sz w:val="28"/>
          <w:szCs w:val="28"/>
        </w:rPr>
        <w:t>Návrh rozpočtu</w:t>
      </w:r>
      <w:r w:rsidRPr="008B3479">
        <w:rPr>
          <w:rFonts w:cstheme="minorHAnsi"/>
          <w:b/>
          <w:sz w:val="28"/>
          <w:szCs w:val="28"/>
        </w:rPr>
        <w:t xml:space="preserve"> organizácii v zriaďovateľskej pôsobnosti BSK na rok 202</w:t>
      </w:r>
      <w:r w:rsidR="00046F48">
        <w:rPr>
          <w:rFonts w:cstheme="minorHAnsi"/>
          <w:b/>
          <w:sz w:val="28"/>
          <w:szCs w:val="28"/>
        </w:rPr>
        <w:t>5</w:t>
      </w:r>
      <w:r w:rsidRPr="008B3479">
        <w:rPr>
          <w:rFonts w:cstheme="minorHAnsi"/>
          <w:b/>
          <w:sz w:val="28"/>
          <w:szCs w:val="28"/>
        </w:rPr>
        <w:t>:</w:t>
      </w:r>
    </w:p>
    <w:tbl>
      <w:tblPr>
        <w:tblW w:w="10571" w:type="dxa"/>
        <w:tblCellMar>
          <w:left w:w="70" w:type="dxa"/>
          <w:right w:w="70" w:type="dxa"/>
        </w:tblCellMar>
        <w:tblLook w:val="04A0" w:firstRow="1" w:lastRow="0" w:firstColumn="1" w:lastColumn="0" w:noHBand="0" w:noVBand="1"/>
      </w:tblPr>
      <w:tblGrid>
        <w:gridCol w:w="5310"/>
        <w:gridCol w:w="2533"/>
        <w:gridCol w:w="2728"/>
      </w:tblGrid>
      <w:tr w:rsidR="00C8280C" w:rsidRPr="000A0283" w14:paraId="31F4BDFD" w14:textId="77777777" w:rsidTr="0088385D">
        <w:trPr>
          <w:trHeight w:hRule="exact" w:val="282"/>
        </w:trPr>
        <w:tc>
          <w:tcPr>
            <w:tcW w:w="5310" w:type="dxa"/>
            <w:tcBorders>
              <w:top w:val="single" w:sz="8" w:space="0" w:color="95B3D7"/>
              <w:left w:val="single" w:sz="8" w:space="0" w:color="95B3D7"/>
              <w:bottom w:val="single" w:sz="8" w:space="0" w:color="95B3D7"/>
              <w:right w:val="nil"/>
            </w:tcBorders>
            <w:shd w:val="clear" w:color="000000" w:fill="2F5496"/>
            <w:noWrap/>
            <w:vAlign w:val="center"/>
            <w:hideMark/>
          </w:tcPr>
          <w:p w14:paraId="3EF0826A" w14:textId="77777777" w:rsidR="00C8280C" w:rsidRPr="000A0283" w:rsidRDefault="00C8280C" w:rsidP="00AD25B5">
            <w:pPr>
              <w:spacing w:after="0" w:line="240" w:lineRule="auto"/>
              <w:rPr>
                <w:rFonts w:ascii="Calibri" w:eastAsia="Times New Roman" w:hAnsi="Calibri" w:cs="Calibri"/>
                <w:b/>
                <w:bCs/>
                <w:color w:val="FFFFFF"/>
                <w:sz w:val="24"/>
                <w:szCs w:val="24"/>
                <w:lang w:eastAsia="sk-SK"/>
              </w:rPr>
            </w:pPr>
            <w:r w:rsidRPr="000A0283">
              <w:rPr>
                <w:rFonts w:ascii="Calibri" w:eastAsia="Times New Roman" w:hAnsi="Calibri" w:cs="Calibri"/>
                <w:b/>
                <w:bCs/>
                <w:color w:val="FFFFFF"/>
                <w:sz w:val="24"/>
                <w:szCs w:val="24"/>
                <w:lang w:eastAsia="sk-SK"/>
              </w:rPr>
              <w:t xml:space="preserve">Rozpočet </w:t>
            </w:r>
            <w:proofErr w:type="spellStart"/>
            <w:r w:rsidRPr="000A0283">
              <w:rPr>
                <w:rFonts w:ascii="Calibri" w:eastAsia="Times New Roman" w:hAnsi="Calibri" w:cs="Calibri"/>
                <w:b/>
                <w:bCs/>
                <w:color w:val="FFFFFF"/>
                <w:sz w:val="24"/>
                <w:szCs w:val="24"/>
                <w:lang w:eastAsia="sk-SK"/>
              </w:rPr>
              <w:t>OvZP</w:t>
            </w:r>
            <w:proofErr w:type="spellEnd"/>
            <w:r w:rsidRPr="000A0283">
              <w:rPr>
                <w:rFonts w:ascii="Calibri" w:eastAsia="Times New Roman" w:hAnsi="Calibri" w:cs="Calibri"/>
                <w:b/>
                <w:bCs/>
                <w:color w:val="FFFFFF"/>
                <w:sz w:val="24"/>
                <w:szCs w:val="24"/>
                <w:lang w:eastAsia="sk-SK"/>
              </w:rPr>
              <w:t xml:space="preserve"> BSK</w:t>
            </w:r>
          </w:p>
        </w:tc>
        <w:tc>
          <w:tcPr>
            <w:tcW w:w="5261" w:type="dxa"/>
            <w:gridSpan w:val="2"/>
            <w:tcBorders>
              <w:top w:val="nil"/>
              <w:left w:val="nil"/>
              <w:bottom w:val="nil"/>
              <w:right w:val="nil"/>
            </w:tcBorders>
            <w:shd w:val="clear" w:color="000000" w:fill="2F5496"/>
            <w:noWrap/>
            <w:vAlign w:val="center"/>
            <w:hideMark/>
          </w:tcPr>
          <w:p w14:paraId="2BC7FAFE" w14:textId="3F8B871C" w:rsidR="00C8280C" w:rsidRPr="000A0283" w:rsidRDefault="00C8280C" w:rsidP="00AD25B5">
            <w:pPr>
              <w:spacing w:after="0" w:line="240" w:lineRule="auto"/>
              <w:jc w:val="center"/>
              <w:rPr>
                <w:rFonts w:ascii="Calibri" w:eastAsia="Times New Roman" w:hAnsi="Calibri" w:cs="Calibri"/>
                <w:b/>
                <w:bCs/>
                <w:color w:val="FFFFFF"/>
                <w:sz w:val="24"/>
                <w:szCs w:val="24"/>
                <w:lang w:eastAsia="sk-SK"/>
              </w:rPr>
            </w:pPr>
            <w:r w:rsidRPr="000A0283">
              <w:rPr>
                <w:rFonts w:ascii="Calibri" w:eastAsia="Times New Roman" w:hAnsi="Calibri" w:cs="Calibri"/>
                <w:b/>
                <w:bCs/>
                <w:color w:val="FFFFFF"/>
                <w:sz w:val="24"/>
                <w:szCs w:val="24"/>
                <w:lang w:eastAsia="sk-SK"/>
              </w:rPr>
              <w:t>202</w:t>
            </w:r>
            <w:r w:rsidR="00FA2218">
              <w:rPr>
                <w:rFonts w:ascii="Calibri" w:eastAsia="Times New Roman" w:hAnsi="Calibri" w:cs="Calibri"/>
                <w:b/>
                <w:bCs/>
                <w:color w:val="FFFFFF"/>
                <w:sz w:val="24"/>
                <w:szCs w:val="24"/>
                <w:lang w:eastAsia="sk-SK"/>
              </w:rPr>
              <w:t>5</w:t>
            </w:r>
            <w:r w:rsidRPr="000A0283">
              <w:rPr>
                <w:rFonts w:ascii="Calibri" w:eastAsia="Times New Roman" w:hAnsi="Calibri" w:cs="Calibri"/>
                <w:b/>
                <w:bCs/>
                <w:color w:val="FFFFFF"/>
                <w:sz w:val="24"/>
                <w:szCs w:val="24"/>
                <w:lang w:eastAsia="sk-SK"/>
              </w:rPr>
              <w:t xml:space="preserve"> (N) v EUR</w:t>
            </w:r>
          </w:p>
        </w:tc>
      </w:tr>
      <w:tr w:rsidR="00C8280C" w:rsidRPr="000A0283" w14:paraId="50A695AC" w14:textId="77777777" w:rsidTr="0088385D">
        <w:trPr>
          <w:trHeight w:val="252"/>
        </w:trPr>
        <w:tc>
          <w:tcPr>
            <w:tcW w:w="5310" w:type="dxa"/>
            <w:tcBorders>
              <w:top w:val="nil"/>
              <w:left w:val="single" w:sz="8" w:space="0" w:color="95B3D7"/>
              <w:bottom w:val="single" w:sz="8" w:space="0" w:color="95B3D7"/>
              <w:right w:val="nil"/>
            </w:tcBorders>
            <w:shd w:val="clear" w:color="000000" w:fill="BDD6EE"/>
            <w:noWrap/>
            <w:vAlign w:val="center"/>
            <w:hideMark/>
          </w:tcPr>
          <w:p w14:paraId="152952FA" w14:textId="77777777" w:rsidR="00C8280C" w:rsidRPr="000A0283" w:rsidRDefault="00C8280C" w:rsidP="00AD25B5">
            <w:pPr>
              <w:spacing w:after="0" w:line="240" w:lineRule="auto"/>
              <w:ind w:firstLineChars="100" w:firstLine="201"/>
              <w:rPr>
                <w:rFonts w:ascii="Calibri" w:eastAsia="Times New Roman" w:hAnsi="Calibri" w:cs="Calibri"/>
                <w:b/>
                <w:bCs/>
                <w:color w:val="000000"/>
                <w:sz w:val="20"/>
                <w:szCs w:val="20"/>
                <w:lang w:eastAsia="sk-SK"/>
              </w:rPr>
            </w:pPr>
            <w:r w:rsidRPr="000A0283">
              <w:rPr>
                <w:rFonts w:ascii="Calibri" w:eastAsia="Times New Roman" w:hAnsi="Calibri" w:cs="Calibri"/>
                <w:b/>
                <w:bCs/>
                <w:color w:val="000000"/>
                <w:sz w:val="20"/>
                <w:szCs w:val="20"/>
                <w:lang w:eastAsia="sk-SK"/>
              </w:rPr>
              <w:t> </w:t>
            </w:r>
          </w:p>
        </w:tc>
        <w:tc>
          <w:tcPr>
            <w:tcW w:w="2533" w:type="dxa"/>
            <w:tcBorders>
              <w:top w:val="nil"/>
              <w:left w:val="nil"/>
              <w:bottom w:val="single" w:sz="8" w:space="0" w:color="95B3D7"/>
              <w:right w:val="single" w:sz="8" w:space="0" w:color="95B3D7"/>
            </w:tcBorders>
            <w:shd w:val="clear" w:color="000000" w:fill="BDD6EE"/>
            <w:vAlign w:val="center"/>
            <w:hideMark/>
          </w:tcPr>
          <w:p w14:paraId="6D60FFE8" w14:textId="66CB0C85" w:rsidR="00C8280C" w:rsidRPr="000A0283" w:rsidRDefault="00C8280C" w:rsidP="00FA2218">
            <w:pPr>
              <w:spacing w:after="0" w:line="240" w:lineRule="auto"/>
              <w:rPr>
                <w:rFonts w:ascii="Calibri" w:eastAsia="Times New Roman" w:hAnsi="Calibri" w:cs="Calibri"/>
                <w:b/>
                <w:bCs/>
                <w:color w:val="000000"/>
                <w:lang w:eastAsia="sk-SK"/>
              </w:rPr>
            </w:pPr>
            <w:r w:rsidRPr="000A0283">
              <w:rPr>
                <w:rFonts w:ascii="Calibri" w:eastAsia="Times New Roman" w:hAnsi="Calibri" w:cs="Calibri"/>
                <w:b/>
                <w:bCs/>
                <w:color w:val="000000"/>
                <w:lang w:eastAsia="sk-SK"/>
              </w:rPr>
              <w:t>SOCIÁLNE ZABEZPEČENIE</w:t>
            </w:r>
          </w:p>
        </w:tc>
        <w:tc>
          <w:tcPr>
            <w:tcW w:w="2727" w:type="dxa"/>
            <w:tcBorders>
              <w:top w:val="nil"/>
              <w:left w:val="nil"/>
              <w:bottom w:val="single" w:sz="8" w:space="0" w:color="95B3D7"/>
              <w:right w:val="single" w:sz="8" w:space="0" w:color="95B3D7"/>
            </w:tcBorders>
            <w:shd w:val="clear" w:color="000000" w:fill="BDD6EE"/>
            <w:vAlign w:val="center"/>
            <w:hideMark/>
          </w:tcPr>
          <w:p w14:paraId="3D46653C" w14:textId="77777777" w:rsidR="00C8280C" w:rsidRPr="000A0283" w:rsidRDefault="00C8280C" w:rsidP="00AD25B5">
            <w:pPr>
              <w:spacing w:after="0" w:line="240" w:lineRule="auto"/>
              <w:jc w:val="center"/>
              <w:rPr>
                <w:rFonts w:ascii="Calibri" w:eastAsia="Times New Roman" w:hAnsi="Calibri" w:cs="Calibri"/>
                <w:b/>
                <w:bCs/>
                <w:color w:val="000000"/>
                <w:lang w:eastAsia="sk-SK"/>
              </w:rPr>
            </w:pPr>
            <w:r w:rsidRPr="000A0283">
              <w:rPr>
                <w:rFonts w:ascii="Calibri" w:eastAsia="Times New Roman" w:hAnsi="Calibri" w:cs="Calibri"/>
                <w:b/>
                <w:bCs/>
                <w:color w:val="000000"/>
                <w:lang w:eastAsia="sk-SK"/>
              </w:rPr>
              <w:t>VZDELÁVANIE</w:t>
            </w:r>
          </w:p>
        </w:tc>
      </w:tr>
      <w:tr w:rsidR="00F77623" w:rsidRPr="000A0283" w14:paraId="2875D2FB" w14:textId="77777777" w:rsidTr="0088385D">
        <w:trPr>
          <w:trHeight w:hRule="exact" w:val="268"/>
        </w:trPr>
        <w:tc>
          <w:tcPr>
            <w:tcW w:w="5310" w:type="dxa"/>
            <w:tcBorders>
              <w:top w:val="nil"/>
              <w:left w:val="single" w:sz="8" w:space="0" w:color="95B3D7"/>
              <w:bottom w:val="single" w:sz="8" w:space="0" w:color="95B3D7"/>
              <w:right w:val="nil"/>
            </w:tcBorders>
            <w:shd w:val="clear" w:color="000000" w:fill="BDD6EE"/>
            <w:noWrap/>
            <w:vAlign w:val="center"/>
            <w:hideMark/>
          </w:tcPr>
          <w:p w14:paraId="21C8D063" w14:textId="77777777" w:rsidR="00F77623" w:rsidRPr="000A0283" w:rsidRDefault="00F77623" w:rsidP="00F77623">
            <w:pPr>
              <w:spacing w:after="0" w:line="240" w:lineRule="auto"/>
              <w:ind w:firstLineChars="100" w:firstLine="201"/>
              <w:rPr>
                <w:rFonts w:ascii="Calibri" w:eastAsia="Times New Roman" w:hAnsi="Calibri" w:cs="Calibri"/>
                <w:b/>
                <w:bCs/>
                <w:color w:val="000000"/>
                <w:sz w:val="20"/>
                <w:szCs w:val="20"/>
                <w:lang w:eastAsia="sk-SK"/>
              </w:rPr>
            </w:pPr>
            <w:r w:rsidRPr="000A0283">
              <w:rPr>
                <w:rFonts w:ascii="Calibri" w:eastAsia="Times New Roman" w:hAnsi="Calibri" w:cs="Calibri"/>
                <w:b/>
                <w:bCs/>
                <w:color w:val="000000"/>
                <w:sz w:val="20"/>
                <w:szCs w:val="20"/>
                <w:lang w:eastAsia="sk-SK"/>
              </w:rPr>
              <w:t xml:space="preserve">PRÍJMY </w:t>
            </w:r>
          </w:p>
        </w:tc>
        <w:tc>
          <w:tcPr>
            <w:tcW w:w="2533" w:type="dxa"/>
            <w:tcBorders>
              <w:top w:val="nil"/>
              <w:left w:val="nil"/>
              <w:bottom w:val="single" w:sz="8" w:space="0" w:color="95B3D7"/>
              <w:right w:val="single" w:sz="8" w:space="0" w:color="95B3D7"/>
            </w:tcBorders>
            <w:shd w:val="clear" w:color="000000" w:fill="BDD6EE"/>
            <w:noWrap/>
            <w:vAlign w:val="bottom"/>
            <w:hideMark/>
          </w:tcPr>
          <w:p w14:paraId="2FEF24D5" w14:textId="465746CD" w:rsidR="00F77623" w:rsidRPr="00F77623" w:rsidRDefault="00F77623" w:rsidP="00F77623">
            <w:pPr>
              <w:spacing w:after="0" w:line="240" w:lineRule="auto"/>
              <w:jc w:val="right"/>
              <w:rPr>
                <w:rFonts w:ascii="Calibri" w:eastAsia="Times New Roman" w:hAnsi="Calibri" w:cs="Calibri"/>
                <w:b/>
                <w:bCs/>
                <w:lang w:eastAsia="sk-SK"/>
              </w:rPr>
            </w:pPr>
            <w:r w:rsidRPr="00F77623">
              <w:rPr>
                <w:rFonts w:ascii="Calibri" w:hAnsi="Calibri" w:cs="Calibri"/>
                <w:b/>
                <w:bCs/>
              </w:rPr>
              <w:t>5 434 769</w:t>
            </w:r>
          </w:p>
        </w:tc>
        <w:tc>
          <w:tcPr>
            <w:tcW w:w="2727" w:type="dxa"/>
            <w:tcBorders>
              <w:top w:val="nil"/>
              <w:left w:val="nil"/>
              <w:bottom w:val="single" w:sz="8" w:space="0" w:color="95B3D7"/>
              <w:right w:val="single" w:sz="8" w:space="0" w:color="95B3D7"/>
            </w:tcBorders>
            <w:shd w:val="clear" w:color="000000" w:fill="BDD6EE"/>
            <w:noWrap/>
            <w:vAlign w:val="bottom"/>
            <w:hideMark/>
          </w:tcPr>
          <w:p w14:paraId="0464C212" w14:textId="52BEC666" w:rsidR="00F77623" w:rsidRPr="00F77623" w:rsidRDefault="00F77623" w:rsidP="00F77623">
            <w:pPr>
              <w:spacing w:after="0" w:line="240" w:lineRule="auto"/>
              <w:jc w:val="right"/>
              <w:rPr>
                <w:rFonts w:ascii="Calibri" w:eastAsia="Times New Roman" w:hAnsi="Calibri" w:cs="Calibri"/>
                <w:b/>
                <w:bCs/>
                <w:lang w:eastAsia="sk-SK"/>
              </w:rPr>
            </w:pPr>
            <w:r w:rsidRPr="00F77623">
              <w:rPr>
                <w:rFonts w:ascii="Calibri" w:hAnsi="Calibri" w:cs="Calibri"/>
                <w:b/>
                <w:bCs/>
              </w:rPr>
              <w:t>7 342 006</w:t>
            </w:r>
          </w:p>
        </w:tc>
      </w:tr>
      <w:tr w:rsidR="007F6504" w:rsidRPr="000A0283" w14:paraId="76DF6BC1" w14:textId="77777777" w:rsidTr="0088385D">
        <w:trPr>
          <w:trHeight w:hRule="exact" w:val="268"/>
        </w:trPr>
        <w:tc>
          <w:tcPr>
            <w:tcW w:w="5310" w:type="dxa"/>
            <w:tcBorders>
              <w:top w:val="nil"/>
              <w:left w:val="single" w:sz="8" w:space="0" w:color="95B3D7"/>
              <w:bottom w:val="single" w:sz="8" w:space="0" w:color="95B3D7"/>
              <w:right w:val="nil"/>
            </w:tcBorders>
            <w:shd w:val="clear" w:color="auto" w:fill="auto"/>
            <w:noWrap/>
            <w:vAlign w:val="center"/>
            <w:hideMark/>
          </w:tcPr>
          <w:p w14:paraId="4B2BA1A1" w14:textId="77777777" w:rsidR="007F6504" w:rsidRPr="000A0283" w:rsidRDefault="007F6504" w:rsidP="007F6504">
            <w:pPr>
              <w:spacing w:after="0" w:line="240" w:lineRule="auto"/>
              <w:ind w:firstLineChars="200" w:firstLine="360"/>
              <w:rPr>
                <w:rFonts w:ascii="Calibri" w:eastAsia="Times New Roman" w:hAnsi="Calibri" w:cs="Calibri"/>
                <w:color w:val="000000"/>
                <w:sz w:val="18"/>
                <w:szCs w:val="18"/>
                <w:lang w:eastAsia="sk-SK"/>
              </w:rPr>
            </w:pPr>
            <w:r w:rsidRPr="000A0283">
              <w:rPr>
                <w:rFonts w:ascii="Calibri" w:eastAsia="Times New Roman" w:hAnsi="Calibri" w:cs="Calibri"/>
                <w:color w:val="000000"/>
                <w:sz w:val="18"/>
                <w:szCs w:val="18"/>
                <w:lang w:eastAsia="sk-SK"/>
              </w:rPr>
              <w:t>210 - Príjmy z pod. a z vlas. majetku</w:t>
            </w:r>
          </w:p>
        </w:tc>
        <w:tc>
          <w:tcPr>
            <w:tcW w:w="2533" w:type="dxa"/>
            <w:tcBorders>
              <w:top w:val="nil"/>
              <w:left w:val="nil"/>
              <w:bottom w:val="single" w:sz="8" w:space="0" w:color="95B3D7"/>
              <w:right w:val="single" w:sz="8" w:space="0" w:color="95B3D7"/>
            </w:tcBorders>
            <w:shd w:val="clear" w:color="auto" w:fill="auto"/>
            <w:noWrap/>
            <w:vAlign w:val="bottom"/>
            <w:hideMark/>
          </w:tcPr>
          <w:p w14:paraId="63E46B0A" w14:textId="1FD4794A" w:rsidR="007F6504" w:rsidRPr="000A0283" w:rsidRDefault="007F6504" w:rsidP="007F6504">
            <w:pPr>
              <w:spacing w:after="0" w:line="240" w:lineRule="auto"/>
              <w:jc w:val="right"/>
              <w:rPr>
                <w:rFonts w:ascii="Calibri" w:eastAsia="Times New Roman" w:hAnsi="Calibri" w:cs="Calibri"/>
                <w:color w:val="000000"/>
                <w:lang w:eastAsia="sk-SK"/>
              </w:rPr>
            </w:pPr>
            <w:r>
              <w:rPr>
                <w:rFonts w:ascii="Calibri" w:hAnsi="Calibri" w:cs="Calibri"/>
                <w:color w:val="000000"/>
              </w:rPr>
              <w:t>407 321</w:t>
            </w:r>
          </w:p>
        </w:tc>
        <w:tc>
          <w:tcPr>
            <w:tcW w:w="2727" w:type="dxa"/>
            <w:tcBorders>
              <w:top w:val="nil"/>
              <w:left w:val="nil"/>
              <w:bottom w:val="single" w:sz="8" w:space="0" w:color="95B3D7"/>
              <w:right w:val="single" w:sz="8" w:space="0" w:color="95B3D7"/>
            </w:tcBorders>
            <w:shd w:val="clear" w:color="auto" w:fill="auto"/>
            <w:noWrap/>
            <w:vAlign w:val="bottom"/>
            <w:hideMark/>
          </w:tcPr>
          <w:p w14:paraId="4CEB3865" w14:textId="1FF69AA9" w:rsidR="007F6504" w:rsidRPr="000A0283" w:rsidRDefault="007F6504" w:rsidP="007F6504">
            <w:pPr>
              <w:spacing w:after="0" w:line="240" w:lineRule="auto"/>
              <w:jc w:val="right"/>
              <w:rPr>
                <w:rFonts w:ascii="Calibri" w:eastAsia="Times New Roman" w:hAnsi="Calibri" w:cs="Calibri"/>
                <w:color w:val="000000"/>
                <w:lang w:eastAsia="sk-SK"/>
              </w:rPr>
            </w:pPr>
            <w:r>
              <w:rPr>
                <w:rFonts w:ascii="Calibri" w:hAnsi="Calibri" w:cs="Calibri"/>
                <w:color w:val="000000"/>
              </w:rPr>
              <w:t>912 002</w:t>
            </w:r>
          </w:p>
        </w:tc>
      </w:tr>
      <w:tr w:rsidR="007F6504" w:rsidRPr="000A0283" w14:paraId="2372B5FE" w14:textId="77777777" w:rsidTr="0088385D">
        <w:trPr>
          <w:trHeight w:hRule="exact" w:val="268"/>
        </w:trPr>
        <w:tc>
          <w:tcPr>
            <w:tcW w:w="5310" w:type="dxa"/>
            <w:tcBorders>
              <w:top w:val="nil"/>
              <w:left w:val="single" w:sz="8" w:space="0" w:color="95B3D7"/>
              <w:bottom w:val="single" w:sz="8" w:space="0" w:color="95B3D7"/>
              <w:right w:val="nil"/>
            </w:tcBorders>
            <w:shd w:val="clear" w:color="auto" w:fill="auto"/>
            <w:noWrap/>
            <w:vAlign w:val="center"/>
            <w:hideMark/>
          </w:tcPr>
          <w:p w14:paraId="7435CEFC" w14:textId="77777777" w:rsidR="007F6504" w:rsidRPr="000A0283" w:rsidRDefault="007F6504" w:rsidP="007F6504">
            <w:pPr>
              <w:spacing w:after="0" w:line="240" w:lineRule="auto"/>
              <w:ind w:firstLineChars="200" w:firstLine="360"/>
              <w:rPr>
                <w:rFonts w:ascii="Calibri" w:eastAsia="Times New Roman" w:hAnsi="Calibri" w:cs="Calibri"/>
                <w:color w:val="000000"/>
                <w:sz w:val="18"/>
                <w:szCs w:val="18"/>
                <w:lang w:eastAsia="sk-SK"/>
              </w:rPr>
            </w:pPr>
            <w:r w:rsidRPr="000A0283">
              <w:rPr>
                <w:rFonts w:ascii="Calibri" w:eastAsia="Times New Roman" w:hAnsi="Calibri" w:cs="Calibri"/>
                <w:color w:val="000000"/>
                <w:sz w:val="18"/>
                <w:szCs w:val="18"/>
                <w:lang w:eastAsia="sk-SK"/>
              </w:rPr>
              <w:t>220 - Administratívne a iné poplatky</w:t>
            </w:r>
          </w:p>
        </w:tc>
        <w:tc>
          <w:tcPr>
            <w:tcW w:w="2533" w:type="dxa"/>
            <w:tcBorders>
              <w:top w:val="nil"/>
              <w:left w:val="nil"/>
              <w:bottom w:val="single" w:sz="8" w:space="0" w:color="95B3D7"/>
              <w:right w:val="single" w:sz="8" w:space="0" w:color="95B3D7"/>
            </w:tcBorders>
            <w:shd w:val="clear" w:color="auto" w:fill="auto"/>
            <w:noWrap/>
            <w:vAlign w:val="bottom"/>
            <w:hideMark/>
          </w:tcPr>
          <w:p w14:paraId="4F528DC3" w14:textId="2E63AFF5" w:rsidR="007F6504" w:rsidRPr="000A0283" w:rsidRDefault="007F6504" w:rsidP="007F6504">
            <w:pPr>
              <w:spacing w:after="0" w:line="240" w:lineRule="auto"/>
              <w:jc w:val="right"/>
              <w:rPr>
                <w:rFonts w:ascii="Calibri" w:eastAsia="Times New Roman" w:hAnsi="Calibri" w:cs="Calibri"/>
                <w:color w:val="000000"/>
                <w:lang w:eastAsia="sk-SK"/>
              </w:rPr>
            </w:pPr>
            <w:r>
              <w:rPr>
                <w:rFonts w:ascii="Calibri" w:hAnsi="Calibri" w:cs="Calibri"/>
                <w:color w:val="000000"/>
              </w:rPr>
              <w:t>4 569 957</w:t>
            </w:r>
          </w:p>
        </w:tc>
        <w:tc>
          <w:tcPr>
            <w:tcW w:w="2727" w:type="dxa"/>
            <w:tcBorders>
              <w:top w:val="nil"/>
              <w:left w:val="nil"/>
              <w:bottom w:val="single" w:sz="8" w:space="0" w:color="95B3D7"/>
              <w:right w:val="single" w:sz="8" w:space="0" w:color="95B3D7"/>
            </w:tcBorders>
            <w:shd w:val="clear" w:color="auto" w:fill="auto"/>
            <w:noWrap/>
            <w:vAlign w:val="bottom"/>
            <w:hideMark/>
          </w:tcPr>
          <w:p w14:paraId="2D154131" w14:textId="6A09498A" w:rsidR="007F6504" w:rsidRPr="000A0283" w:rsidRDefault="007F6504" w:rsidP="007F6504">
            <w:pPr>
              <w:spacing w:after="0" w:line="240" w:lineRule="auto"/>
              <w:jc w:val="right"/>
              <w:rPr>
                <w:rFonts w:ascii="Calibri" w:eastAsia="Times New Roman" w:hAnsi="Calibri" w:cs="Calibri"/>
                <w:color w:val="000000"/>
                <w:lang w:eastAsia="sk-SK"/>
              </w:rPr>
            </w:pPr>
            <w:r>
              <w:rPr>
                <w:rFonts w:ascii="Calibri" w:hAnsi="Calibri" w:cs="Calibri"/>
                <w:color w:val="000000"/>
              </w:rPr>
              <w:t>5 295 514</w:t>
            </w:r>
          </w:p>
        </w:tc>
      </w:tr>
      <w:tr w:rsidR="007F6504" w:rsidRPr="000A0283" w14:paraId="43FE4D31" w14:textId="77777777" w:rsidTr="0088385D">
        <w:trPr>
          <w:trHeight w:hRule="exact" w:val="268"/>
        </w:trPr>
        <w:tc>
          <w:tcPr>
            <w:tcW w:w="5310" w:type="dxa"/>
            <w:tcBorders>
              <w:top w:val="nil"/>
              <w:left w:val="single" w:sz="8" w:space="0" w:color="95B3D7"/>
              <w:bottom w:val="single" w:sz="8" w:space="0" w:color="95B3D7"/>
              <w:right w:val="nil"/>
            </w:tcBorders>
            <w:shd w:val="clear" w:color="auto" w:fill="auto"/>
            <w:noWrap/>
            <w:vAlign w:val="center"/>
            <w:hideMark/>
          </w:tcPr>
          <w:p w14:paraId="02BC85CD" w14:textId="77777777" w:rsidR="007F6504" w:rsidRPr="000A0283" w:rsidRDefault="007F6504" w:rsidP="007F6504">
            <w:pPr>
              <w:spacing w:after="0" w:line="240" w:lineRule="auto"/>
              <w:ind w:firstLineChars="200" w:firstLine="360"/>
              <w:rPr>
                <w:rFonts w:ascii="Calibri" w:eastAsia="Times New Roman" w:hAnsi="Calibri" w:cs="Calibri"/>
                <w:color w:val="000000"/>
                <w:sz w:val="18"/>
                <w:szCs w:val="18"/>
                <w:lang w:eastAsia="sk-SK"/>
              </w:rPr>
            </w:pPr>
            <w:r w:rsidRPr="000A0283">
              <w:rPr>
                <w:rFonts w:ascii="Calibri" w:eastAsia="Times New Roman" w:hAnsi="Calibri" w:cs="Calibri"/>
                <w:color w:val="000000"/>
                <w:sz w:val="18"/>
                <w:szCs w:val="18"/>
                <w:lang w:eastAsia="sk-SK"/>
              </w:rPr>
              <w:t>290 - Iné nedaňové príjmy</w:t>
            </w:r>
          </w:p>
        </w:tc>
        <w:tc>
          <w:tcPr>
            <w:tcW w:w="2533" w:type="dxa"/>
            <w:tcBorders>
              <w:top w:val="nil"/>
              <w:left w:val="nil"/>
              <w:bottom w:val="single" w:sz="8" w:space="0" w:color="95B3D7"/>
              <w:right w:val="single" w:sz="8" w:space="0" w:color="95B3D7"/>
            </w:tcBorders>
            <w:shd w:val="clear" w:color="auto" w:fill="auto"/>
            <w:noWrap/>
            <w:vAlign w:val="bottom"/>
            <w:hideMark/>
          </w:tcPr>
          <w:p w14:paraId="1565C99D" w14:textId="06D558E3" w:rsidR="007F6504" w:rsidRPr="000A0283" w:rsidRDefault="007F6504" w:rsidP="007F6504">
            <w:pPr>
              <w:spacing w:after="0" w:line="240" w:lineRule="auto"/>
              <w:jc w:val="right"/>
              <w:rPr>
                <w:rFonts w:ascii="Calibri" w:eastAsia="Times New Roman" w:hAnsi="Calibri" w:cs="Calibri"/>
                <w:color w:val="000000"/>
                <w:lang w:eastAsia="sk-SK"/>
              </w:rPr>
            </w:pPr>
            <w:r>
              <w:rPr>
                <w:rFonts w:ascii="Calibri" w:hAnsi="Calibri" w:cs="Calibri"/>
                <w:color w:val="000000"/>
              </w:rPr>
              <w:t>6 500</w:t>
            </w:r>
          </w:p>
        </w:tc>
        <w:tc>
          <w:tcPr>
            <w:tcW w:w="2727" w:type="dxa"/>
            <w:tcBorders>
              <w:top w:val="nil"/>
              <w:left w:val="nil"/>
              <w:bottom w:val="single" w:sz="8" w:space="0" w:color="95B3D7"/>
              <w:right w:val="single" w:sz="8" w:space="0" w:color="95B3D7"/>
            </w:tcBorders>
            <w:shd w:val="clear" w:color="auto" w:fill="auto"/>
            <w:noWrap/>
            <w:vAlign w:val="bottom"/>
            <w:hideMark/>
          </w:tcPr>
          <w:p w14:paraId="7CF45218" w14:textId="72184A5C" w:rsidR="007F6504" w:rsidRPr="000A0283" w:rsidRDefault="007F6504" w:rsidP="007F6504">
            <w:pPr>
              <w:spacing w:after="0" w:line="240" w:lineRule="auto"/>
              <w:jc w:val="right"/>
              <w:rPr>
                <w:rFonts w:ascii="Calibri" w:eastAsia="Times New Roman" w:hAnsi="Calibri" w:cs="Calibri"/>
                <w:color w:val="000000"/>
                <w:lang w:eastAsia="sk-SK"/>
              </w:rPr>
            </w:pPr>
            <w:r>
              <w:rPr>
                <w:rFonts w:ascii="Calibri" w:hAnsi="Calibri" w:cs="Calibri"/>
                <w:color w:val="000000"/>
              </w:rPr>
              <w:t>28 000</w:t>
            </w:r>
          </w:p>
        </w:tc>
      </w:tr>
      <w:tr w:rsidR="007F6504" w:rsidRPr="000A0283" w14:paraId="71685C90" w14:textId="77777777" w:rsidTr="0088385D">
        <w:trPr>
          <w:trHeight w:hRule="exact" w:val="268"/>
        </w:trPr>
        <w:tc>
          <w:tcPr>
            <w:tcW w:w="5310" w:type="dxa"/>
            <w:tcBorders>
              <w:top w:val="nil"/>
              <w:left w:val="single" w:sz="8" w:space="0" w:color="95B3D7"/>
              <w:bottom w:val="single" w:sz="8" w:space="0" w:color="95B3D7"/>
              <w:right w:val="nil"/>
            </w:tcBorders>
            <w:shd w:val="clear" w:color="auto" w:fill="auto"/>
            <w:noWrap/>
            <w:vAlign w:val="center"/>
            <w:hideMark/>
          </w:tcPr>
          <w:p w14:paraId="0DE42EFD" w14:textId="77777777" w:rsidR="007F6504" w:rsidRPr="000A0283" w:rsidRDefault="007F6504" w:rsidP="007F6504">
            <w:pPr>
              <w:spacing w:after="0" w:line="240" w:lineRule="auto"/>
              <w:ind w:firstLineChars="200" w:firstLine="360"/>
              <w:rPr>
                <w:rFonts w:ascii="Calibri" w:eastAsia="Times New Roman" w:hAnsi="Calibri" w:cs="Calibri"/>
                <w:color w:val="000000"/>
                <w:sz w:val="18"/>
                <w:szCs w:val="18"/>
                <w:lang w:eastAsia="sk-SK"/>
              </w:rPr>
            </w:pPr>
            <w:r w:rsidRPr="000A0283">
              <w:rPr>
                <w:rFonts w:ascii="Calibri" w:eastAsia="Times New Roman" w:hAnsi="Calibri" w:cs="Calibri"/>
                <w:color w:val="000000"/>
                <w:sz w:val="18"/>
                <w:szCs w:val="18"/>
                <w:lang w:eastAsia="sk-SK"/>
              </w:rPr>
              <w:t>310  - Bežné granty a transfery</w:t>
            </w:r>
          </w:p>
        </w:tc>
        <w:tc>
          <w:tcPr>
            <w:tcW w:w="2533" w:type="dxa"/>
            <w:tcBorders>
              <w:top w:val="nil"/>
              <w:left w:val="nil"/>
              <w:bottom w:val="single" w:sz="8" w:space="0" w:color="95B3D7"/>
              <w:right w:val="single" w:sz="8" w:space="0" w:color="95B3D7"/>
            </w:tcBorders>
            <w:shd w:val="clear" w:color="auto" w:fill="auto"/>
            <w:noWrap/>
            <w:vAlign w:val="bottom"/>
            <w:hideMark/>
          </w:tcPr>
          <w:p w14:paraId="05EB5FC1" w14:textId="24FA2703" w:rsidR="007F6504" w:rsidRPr="000A0283" w:rsidRDefault="007F6504" w:rsidP="007F6504">
            <w:pPr>
              <w:spacing w:after="0" w:line="240" w:lineRule="auto"/>
              <w:jc w:val="right"/>
              <w:rPr>
                <w:rFonts w:ascii="Calibri" w:eastAsia="Times New Roman" w:hAnsi="Calibri" w:cs="Calibri"/>
                <w:color w:val="000000"/>
                <w:lang w:eastAsia="sk-SK"/>
              </w:rPr>
            </w:pPr>
            <w:r>
              <w:rPr>
                <w:rFonts w:ascii="Calibri" w:hAnsi="Calibri" w:cs="Calibri"/>
                <w:color w:val="000000"/>
              </w:rPr>
              <w:t>411 872</w:t>
            </w:r>
          </w:p>
        </w:tc>
        <w:tc>
          <w:tcPr>
            <w:tcW w:w="2727" w:type="dxa"/>
            <w:tcBorders>
              <w:top w:val="nil"/>
              <w:left w:val="nil"/>
              <w:bottom w:val="single" w:sz="8" w:space="0" w:color="95B3D7"/>
              <w:right w:val="single" w:sz="8" w:space="0" w:color="95B3D7"/>
            </w:tcBorders>
            <w:shd w:val="clear" w:color="auto" w:fill="auto"/>
            <w:noWrap/>
            <w:vAlign w:val="bottom"/>
            <w:hideMark/>
          </w:tcPr>
          <w:p w14:paraId="31C5194D" w14:textId="368F6D82" w:rsidR="007F6504" w:rsidRPr="000A0283" w:rsidRDefault="007F6504" w:rsidP="007F6504">
            <w:pPr>
              <w:spacing w:after="0" w:line="240" w:lineRule="auto"/>
              <w:jc w:val="right"/>
              <w:rPr>
                <w:rFonts w:ascii="Calibri" w:eastAsia="Times New Roman" w:hAnsi="Calibri" w:cs="Calibri"/>
                <w:color w:val="000000"/>
                <w:lang w:eastAsia="sk-SK"/>
              </w:rPr>
            </w:pPr>
            <w:r>
              <w:rPr>
                <w:rFonts w:ascii="Calibri" w:hAnsi="Calibri" w:cs="Calibri"/>
                <w:color w:val="000000"/>
              </w:rPr>
              <w:t>857 236</w:t>
            </w:r>
          </w:p>
        </w:tc>
      </w:tr>
      <w:tr w:rsidR="007438C2" w:rsidRPr="000A0283" w14:paraId="6CA3E04A" w14:textId="77777777" w:rsidTr="0088385D">
        <w:trPr>
          <w:trHeight w:hRule="exact" w:val="268"/>
        </w:trPr>
        <w:tc>
          <w:tcPr>
            <w:tcW w:w="5310" w:type="dxa"/>
            <w:tcBorders>
              <w:top w:val="nil"/>
              <w:left w:val="single" w:sz="8" w:space="0" w:color="95B3D7"/>
              <w:bottom w:val="single" w:sz="8" w:space="0" w:color="95B3D7"/>
              <w:right w:val="nil"/>
            </w:tcBorders>
            <w:shd w:val="clear" w:color="auto" w:fill="auto"/>
            <w:noWrap/>
            <w:vAlign w:val="center"/>
            <w:hideMark/>
          </w:tcPr>
          <w:p w14:paraId="4BB3E5FD" w14:textId="77777777" w:rsidR="007438C2" w:rsidRPr="000A0283" w:rsidRDefault="007438C2" w:rsidP="007438C2">
            <w:pPr>
              <w:spacing w:after="0" w:line="240" w:lineRule="auto"/>
              <w:ind w:firstLineChars="200" w:firstLine="360"/>
              <w:rPr>
                <w:rFonts w:ascii="Calibri" w:eastAsia="Times New Roman" w:hAnsi="Calibri" w:cs="Calibri"/>
                <w:color w:val="000000"/>
                <w:sz w:val="18"/>
                <w:szCs w:val="18"/>
                <w:lang w:eastAsia="sk-SK"/>
              </w:rPr>
            </w:pPr>
            <w:r w:rsidRPr="000A0283">
              <w:rPr>
                <w:rFonts w:ascii="Calibri" w:eastAsia="Times New Roman" w:hAnsi="Calibri" w:cs="Calibri"/>
                <w:color w:val="000000"/>
                <w:sz w:val="18"/>
                <w:szCs w:val="18"/>
                <w:lang w:eastAsia="sk-SK"/>
              </w:rPr>
              <w:t>453 – Z</w:t>
            </w:r>
            <w:r>
              <w:rPr>
                <w:rFonts w:ascii="Calibri" w:eastAsia="Times New Roman" w:hAnsi="Calibri" w:cs="Calibri"/>
                <w:color w:val="000000"/>
                <w:sz w:val="18"/>
                <w:szCs w:val="18"/>
                <w:lang w:eastAsia="sk-SK"/>
              </w:rPr>
              <w:t>o</w:t>
            </w:r>
            <w:r w:rsidRPr="000A0283">
              <w:rPr>
                <w:rFonts w:ascii="Calibri" w:eastAsia="Times New Roman" w:hAnsi="Calibri" w:cs="Calibri"/>
                <w:color w:val="000000"/>
                <w:sz w:val="18"/>
                <w:szCs w:val="18"/>
                <w:lang w:eastAsia="sk-SK"/>
              </w:rPr>
              <w:t>statky z minulých rokov</w:t>
            </w:r>
          </w:p>
        </w:tc>
        <w:tc>
          <w:tcPr>
            <w:tcW w:w="2533" w:type="dxa"/>
            <w:tcBorders>
              <w:top w:val="nil"/>
              <w:left w:val="nil"/>
              <w:bottom w:val="single" w:sz="8" w:space="0" w:color="95B3D7"/>
              <w:right w:val="single" w:sz="8" w:space="0" w:color="95B3D7"/>
            </w:tcBorders>
            <w:shd w:val="clear" w:color="auto" w:fill="auto"/>
            <w:noWrap/>
            <w:vAlign w:val="bottom"/>
            <w:hideMark/>
          </w:tcPr>
          <w:p w14:paraId="4F8B077B" w14:textId="093F60A3" w:rsidR="007438C2" w:rsidRPr="000A0283" w:rsidRDefault="007438C2" w:rsidP="007438C2">
            <w:pPr>
              <w:spacing w:after="0" w:line="240" w:lineRule="auto"/>
              <w:jc w:val="right"/>
              <w:rPr>
                <w:rFonts w:ascii="Calibri" w:eastAsia="Times New Roman" w:hAnsi="Calibri" w:cs="Calibri"/>
                <w:color w:val="000000"/>
                <w:lang w:eastAsia="sk-SK"/>
              </w:rPr>
            </w:pPr>
            <w:r>
              <w:rPr>
                <w:rFonts w:ascii="Calibri" w:hAnsi="Calibri" w:cs="Calibri"/>
                <w:color w:val="000000"/>
              </w:rPr>
              <w:t>39 118</w:t>
            </w:r>
          </w:p>
        </w:tc>
        <w:tc>
          <w:tcPr>
            <w:tcW w:w="2727" w:type="dxa"/>
            <w:tcBorders>
              <w:top w:val="nil"/>
              <w:left w:val="nil"/>
              <w:bottom w:val="single" w:sz="8" w:space="0" w:color="95B3D7"/>
              <w:right w:val="single" w:sz="8" w:space="0" w:color="95B3D7"/>
            </w:tcBorders>
            <w:shd w:val="clear" w:color="auto" w:fill="auto"/>
            <w:noWrap/>
            <w:vAlign w:val="bottom"/>
            <w:hideMark/>
          </w:tcPr>
          <w:p w14:paraId="23AADB18" w14:textId="24B9127D" w:rsidR="007438C2" w:rsidRPr="000A0283" w:rsidRDefault="007438C2" w:rsidP="007438C2">
            <w:pPr>
              <w:spacing w:after="0" w:line="240" w:lineRule="auto"/>
              <w:jc w:val="right"/>
              <w:rPr>
                <w:rFonts w:ascii="Calibri" w:eastAsia="Times New Roman" w:hAnsi="Calibri" w:cs="Calibri"/>
                <w:color w:val="000000"/>
                <w:lang w:eastAsia="sk-SK"/>
              </w:rPr>
            </w:pPr>
            <w:r>
              <w:rPr>
                <w:rFonts w:ascii="Calibri" w:hAnsi="Calibri" w:cs="Calibri"/>
                <w:color w:val="000000"/>
              </w:rPr>
              <w:t>249 254</w:t>
            </w:r>
          </w:p>
        </w:tc>
      </w:tr>
      <w:tr w:rsidR="007438C2" w:rsidRPr="000A0283" w14:paraId="0DD16965" w14:textId="77777777" w:rsidTr="0088385D">
        <w:trPr>
          <w:trHeight w:hRule="exact" w:val="268"/>
        </w:trPr>
        <w:tc>
          <w:tcPr>
            <w:tcW w:w="5310" w:type="dxa"/>
            <w:tcBorders>
              <w:top w:val="nil"/>
              <w:left w:val="single" w:sz="8" w:space="0" w:color="95B3D7"/>
              <w:bottom w:val="single" w:sz="8" w:space="0" w:color="95B3D7"/>
              <w:right w:val="nil"/>
            </w:tcBorders>
            <w:shd w:val="clear" w:color="000000" w:fill="BDD6EE"/>
            <w:noWrap/>
            <w:vAlign w:val="center"/>
            <w:hideMark/>
          </w:tcPr>
          <w:p w14:paraId="65E0560A" w14:textId="77777777" w:rsidR="007438C2" w:rsidRPr="000A0283" w:rsidRDefault="007438C2" w:rsidP="007438C2">
            <w:pPr>
              <w:spacing w:after="0" w:line="240" w:lineRule="auto"/>
              <w:ind w:firstLineChars="100" w:firstLine="201"/>
              <w:rPr>
                <w:rFonts w:ascii="Calibri" w:eastAsia="Times New Roman" w:hAnsi="Calibri" w:cs="Calibri"/>
                <w:b/>
                <w:bCs/>
                <w:color w:val="000000"/>
                <w:sz w:val="20"/>
                <w:szCs w:val="20"/>
                <w:lang w:eastAsia="sk-SK"/>
              </w:rPr>
            </w:pPr>
            <w:r w:rsidRPr="000A0283">
              <w:rPr>
                <w:rFonts w:ascii="Calibri" w:eastAsia="Times New Roman" w:hAnsi="Calibri" w:cs="Calibri"/>
                <w:b/>
                <w:bCs/>
                <w:color w:val="000000"/>
                <w:sz w:val="20"/>
                <w:szCs w:val="20"/>
                <w:lang w:eastAsia="sk-SK"/>
              </w:rPr>
              <w:t>VÝDAVKY</w:t>
            </w:r>
          </w:p>
        </w:tc>
        <w:tc>
          <w:tcPr>
            <w:tcW w:w="2533" w:type="dxa"/>
            <w:tcBorders>
              <w:top w:val="nil"/>
              <w:left w:val="nil"/>
              <w:bottom w:val="single" w:sz="8" w:space="0" w:color="95B3D7"/>
              <w:right w:val="single" w:sz="8" w:space="0" w:color="95B3D7"/>
            </w:tcBorders>
            <w:shd w:val="clear" w:color="000000" w:fill="BDD6EE"/>
            <w:noWrap/>
            <w:vAlign w:val="bottom"/>
            <w:hideMark/>
          </w:tcPr>
          <w:p w14:paraId="6A51B1D8" w14:textId="5EC73EF3" w:rsidR="007438C2" w:rsidRPr="007438C2" w:rsidRDefault="007438C2" w:rsidP="007438C2">
            <w:pPr>
              <w:spacing w:after="0" w:line="240" w:lineRule="auto"/>
              <w:jc w:val="right"/>
              <w:rPr>
                <w:rFonts w:ascii="Calibri" w:eastAsia="Times New Roman" w:hAnsi="Calibri" w:cs="Calibri"/>
                <w:b/>
                <w:bCs/>
                <w:lang w:eastAsia="sk-SK"/>
              </w:rPr>
            </w:pPr>
            <w:r w:rsidRPr="007438C2">
              <w:rPr>
                <w:rFonts w:ascii="Calibri" w:hAnsi="Calibri" w:cs="Calibri"/>
              </w:rPr>
              <w:t>32 566 763</w:t>
            </w:r>
          </w:p>
        </w:tc>
        <w:tc>
          <w:tcPr>
            <w:tcW w:w="2727" w:type="dxa"/>
            <w:tcBorders>
              <w:top w:val="nil"/>
              <w:left w:val="nil"/>
              <w:bottom w:val="single" w:sz="8" w:space="0" w:color="95B3D7"/>
              <w:right w:val="single" w:sz="8" w:space="0" w:color="95B3D7"/>
            </w:tcBorders>
            <w:shd w:val="clear" w:color="000000" w:fill="BDD6EE"/>
            <w:noWrap/>
            <w:vAlign w:val="bottom"/>
            <w:hideMark/>
          </w:tcPr>
          <w:p w14:paraId="5B20A11B" w14:textId="155B0380" w:rsidR="007438C2" w:rsidRPr="007438C2" w:rsidRDefault="007438C2" w:rsidP="007438C2">
            <w:pPr>
              <w:spacing w:after="0" w:line="240" w:lineRule="auto"/>
              <w:jc w:val="right"/>
              <w:rPr>
                <w:rFonts w:ascii="Calibri" w:eastAsia="Times New Roman" w:hAnsi="Calibri" w:cs="Calibri"/>
                <w:b/>
                <w:bCs/>
                <w:lang w:eastAsia="sk-SK"/>
              </w:rPr>
            </w:pPr>
            <w:r w:rsidRPr="007438C2">
              <w:rPr>
                <w:rFonts w:ascii="Calibri" w:hAnsi="Calibri" w:cs="Calibri"/>
              </w:rPr>
              <w:t>89 044 186</w:t>
            </w:r>
          </w:p>
        </w:tc>
      </w:tr>
      <w:tr w:rsidR="007438C2" w:rsidRPr="000A0283" w14:paraId="3342596F" w14:textId="77777777" w:rsidTr="0088385D">
        <w:trPr>
          <w:trHeight w:hRule="exact" w:val="268"/>
        </w:trPr>
        <w:tc>
          <w:tcPr>
            <w:tcW w:w="5310" w:type="dxa"/>
            <w:tcBorders>
              <w:top w:val="nil"/>
              <w:left w:val="single" w:sz="8" w:space="0" w:color="95B3D7"/>
              <w:bottom w:val="single" w:sz="8" w:space="0" w:color="95B3D7"/>
              <w:right w:val="nil"/>
            </w:tcBorders>
            <w:shd w:val="clear" w:color="auto" w:fill="auto"/>
            <w:noWrap/>
            <w:vAlign w:val="center"/>
            <w:hideMark/>
          </w:tcPr>
          <w:p w14:paraId="35C50057" w14:textId="77777777" w:rsidR="007438C2" w:rsidRPr="000A0283" w:rsidRDefault="007438C2" w:rsidP="007438C2">
            <w:pPr>
              <w:spacing w:after="0" w:line="240" w:lineRule="auto"/>
              <w:ind w:firstLineChars="200" w:firstLine="360"/>
              <w:rPr>
                <w:rFonts w:ascii="Calibri" w:eastAsia="Times New Roman" w:hAnsi="Calibri" w:cs="Calibri"/>
                <w:color w:val="000000"/>
                <w:sz w:val="18"/>
                <w:szCs w:val="18"/>
                <w:lang w:eastAsia="sk-SK"/>
              </w:rPr>
            </w:pPr>
            <w:r w:rsidRPr="000A0283">
              <w:rPr>
                <w:rFonts w:ascii="Calibri" w:eastAsia="Times New Roman" w:hAnsi="Calibri" w:cs="Calibri"/>
                <w:color w:val="000000"/>
                <w:sz w:val="18"/>
                <w:szCs w:val="18"/>
                <w:lang w:eastAsia="sk-SK"/>
              </w:rPr>
              <w:t>610 - Príjmy z pod. a z vlas. majetku</w:t>
            </w:r>
          </w:p>
        </w:tc>
        <w:tc>
          <w:tcPr>
            <w:tcW w:w="2533" w:type="dxa"/>
            <w:tcBorders>
              <w:top w:val="nil"/>
              <w:left w:val="nil"/>
              <w:bottom w:val="single" w:sz="8" w:space="0" w:color="95B3D7"/>
              <w:right w:val="single" w:sz="8" w:space="0" w:color="95B3D7"/>
            </w:tcBorders>
            <w:shd w:val="clear" w:color="auto" w:fill="auto"/>
            <w:noWrap/>
            <w:vAlign w:val="bottom"/>
            <w:hideMark/>
          </w:tcPr>
          <w:p w14:paraId="61AAC95E" w14:textId="4A23FE70" w:rsidR="007438C2" w:rsidRPr="000A0283" w:rsidRDefault="007438C2" w:rsidP="007438C2">
            <w:pPr>
              <w:spacing w:after="0" w:line="240" w:lineRule="auto"/>
              <w:jc w:val="right"/>
              <w:rPr>
                <w:rFonts w:ascii="Calibri" w:eastAsia="Times New Roman" w:hAnsi="Calibri" w:cs="Calibri"/>
                <w:color w:val="000000"/>
                <w:lang w:eastAsia="sk-SK"/>
              </w:rPr>
            </w:pPr>
            <w:r>
              <w:rPr>
                <w:rFonts w:ascii="Calibri" w:hAnsi="Calibri" w:cs="Calibri"/>
                <w:color w:val="000000"/>
              </w:rPr>
              <w:t>18 197 752</w:t>
            </w:r>
          </w:p>
        </w:tc>
        <w:tc>
          <w:tcPr>
            <w:tcW w:w="2727" w:type="dxa"/>
            <w:tcBorders>
              <w:top w:val="nil"/>
              <w:left w:val="nil"/>
              <w:bottom w:val="single" w:sz="8" w:space="0" w:color="95B3D7"/>
              <w:right w:val="single" w:sz="8" w:space="0" w:color="95B3D7"/>
            </w:tcBorders>
            <w:shd w:val="clear" w:color="auto" w:fill="auto"/>
            <w:noWrap/>
            <w:vAlign w:val="bottom"/>
            <w:hideMark/>
          </w:tcPr>
          <w:p w14:paraId="6FFC0B17" w14:textId="2737A384" w:rsidR="007438C2" w:rsidRPr="000A0283" w:rsidRDefault="007438C2" w:rsidP="007438C2">
            <w:pPr>
              <w:spacing w:after="0" w:line="240" w:lineRule="auto"/>
              <w:jc w:val="right"/>
              <w:rPr>
                <w:rFonts w:ascii="Calibri" w:eastAsia="Times New Roman" w:hAnsi="Calibri" w:cs="Calibri"/>
                <w:color w:val="000000"/>
                <w:lang w:eastAsia="sk-SK"/>
              </w:rPr>
            </w:pPr>
            <w:r>
              <w:rPr>
                <w:rFonts w:ascii="Calibri" w:hAnsi="Calibri" w:cs="Calibri"/>
                <w:color w:val="000000"/>
              </w:rPr>
              <w:t>48 650 682</w:t>
            </w:r>
          </w:p>
        </w:tc>
      </w:tr>
      <w:tr w:rsidR="007438C2" w:rsidRPr="000A0283" w14:paraId="43A0F8E8" w14:textId="77777777" w:rsidTr="0088385D">
        <w:trPr>
          <w:trHeight w:hRule="exact" w:val="268"/>
        </w:trPr>
        <w:tc>
          <w:tcPr>
            <w:tcW w:w="5310" w:type="dxa"/>
            <w:tcBorders>
              <w:top w:val="nil"/>
              <w:left w:val="single" w:sz="8" w:space="0" w:color="95B3D7"/>
              <w:bottom w:val="single" w:sz="8" w:space="0" w:color="95B3D7"/>
              <w:right w:val="nil"/>
            </w:tcBorders>
            <w:shd w:val="clear" w:color="auto" w:fill="auto"/>
            <w:noWrap/>
            <w:vAlign w:val="center"/>
            <w:hideMark/>
          </w:tcPr>
          <w:p w14:paraId="136DB658" w14:textId="77777777" w:rsidR="007438C2" w:rsidRPr="000A0283" w:rsidRDefault="007438C2" w:rsidP="007438C2">
            <w:pPr>
              <w:spacing w:after="0" w:line="240" w:lineRule="auto"/>
              <w:ind w:firstLineChars="200" w:firstLine="360"/>
              <w:rPr>
                <w:rFonts w:ascii="Calibri" w:eastAsia="Times New Roman" w:hAnsi="Calibri" w:cs="Calibri"/>
                <w:color w:val="000000"/>
                <w:sz w:val="18"/>
                <w:szCs w:val="18"/>
                <w:lang w:eastAsia="sk-SK"/>
              </w:rPr>
            </w:pPr>
            <w:r w:rsidRPr="000A0283">
              <w:rPr>
                <w:rFonts w:ascii="Calibri" w:eastAsia="Times New Roman" w:hAnsi="Calibri" w:cs="Calibri"/>
                <w:color w:val="000000"/>
                <w:sz w:val="18"/>
                <w:szCs w:val="18"/>
                <w:lang w:eastAsia="sk-SK"/>
              </w:rPr>
              <w:t>620 - Administratívne a iné poplatky</w:t>
            </w:r>
          </w:p>
        </w:tc>
        <w:tc>
          <w:tcPr>
            <w:tcW w:w="2533" w:type="dxa"/>
            <w:tcBorders>
              <w:top w:val="nil"/>
              <w:left w:val="nil"/>
              <w:bottom w:val="single" w:sz="8" w:space="0" w:color="95B3D7"/>
              <w:right w:val="single" w:sz="8" w:space="0" w:color="95B3D7"/>
            </w:tcBorders>
            <w:shd w:val="clear" w:color="auto" w:fill="auto"/>
            <w:noWrap/>
            <w:vAlign w:val="bottom"/>
            <w:hideMark/>
          </w:tcPr>
          <w:p w14:paraId="72F8F83A" w14:textId="4739E934" w:rsidR="007438C2" w:rsidRPr="000A0283" w:rsidRDefault="007438C2" w:rsidP="007438C2">
            <w:pPr>
              <w:spacing w:after="0" w:line="240" w:lineRule="auto"/>
              <w:jc w:val="right"/>
              <w:rPr>
                <w:rFonts w:ascii="Calibri" w:eastAsia="Times New Roman" w:hAnsi="Calibri" w:cs="Calibri"/>
                <w:color w:val="000000"/>
                <w:lang w:eastAsia="sk-SK"/>
              </w:rPr>
            </w:pPr>
            <w:r>
              <w:rPr>
                <w:rFonts w:ascii="Calibri" w:hAnsi="Calibri" w:cs="Calibri"/>
                <w:color w:val="000000"/>
              </w:rPr>
              <w:t>6 742 783</w:t>
            </w:r>
          </w:p>
        </w:tc>
        <w:tc>
          <w:tcPr>
            <w:tcW w:w="2727" w:type="dxa"/>
            <w:tcBorders>
              <w:top w:val="nil"/>
              <w:left w:val="nil"/>
              <w:bottom w:val="single" w:sz="8" w:space="0" w:color="95B3D7"/>
              <w:right w:val="single" w:sz="8" w:space="0" w:color="95B3D7"/>
            </w:tcBorders>
            <w:shd w:val="clear" w:color="auto" w:fill="auto"/>
            <w:noWrap/>
            <w:vAlign w:val="bottom"/>
            <w:hideMark/>
          </w:tcPr>
          <w:p w14:paraId="5457B3FE" w14:textId="08ED208C" w:rsidR="007438C2" w:rsidRPr="000A0283" w:rsidRDefault="007438C2" w:rsidP="007438C2">
            <w:pPr>
              <w:spacing w:after="0" w:line="240" w:lineRule="auto"/>
              <w:jc w:val="right"/>
              <w:rPr>
                <w:rFonts w:ascii="Calibri" w:eastAsia="Times New Roman" w:hAnsi="Calibri" w:cs="Calibri"/>
                <w:color w:val="000000"/>
                <w:lang w:eastAsia="sk-SK"/>
              </w:rPr>
            </w:pPr>
            <w:r>
              <w:rPr>
                <w:rFonts w:ascii="Calibri" w:hAnsi="Calibri" w:cs="Calibri"/>
                <w:color w:val="000000"/>
              </w:rPr>
              <w:t>18 124 339</w:t>
            </w:r>
          </w:p>
        </w:tc>
      </w:tr>
      <w:tr w:rsidR="007438C2" w:rsidRPr="000A0283" w14:paraId="333350C0" w14:textId="77777777" w:rsidTr="0088385D">
        <w:trPr>
          <w:trHeight w:hRule="exact" w:val="268"/>
        </w:trPr>
        <w:tc>
          <w:tcPr>
            <w:tcW w:w="5310" w:type="dxa"/>
            <w:tcBorders>
              <w:top w:val="nil"/>
              <w:left w:val="single" w:sz="8" w:space="0" w:color="95B3D7"/>
              <w:bottom w:val="single" w:sz="8" w:space="0" w:color="95B3D7"/>
              <w:right w:val="nil"/>
            </w:tcBorders>
            <w:shd w:val="clear" w:color="auto" w:fill="auto"/>
            <w:noWrap/>
            <w:vAlign w:val="center"/>
            <w:hideMark/>
          </w:tcPr>
          <w:p w14:paraId="1179A9C3" w14:textId="77777777" w:rsidR="007438C2" w:rsidRPr="000A0283" w:rsidRDefault="007438C2" w:rsidP="007438C2">
            <w:pPr>
              <w:spacing w:after="0" w:line="240" w:lineRule="auto"/>
              <w:ind w:firstLineChars="200" w:firstLine="360"/>
              <w:rPr>
                <w:rFonts w:ascii="Calibri" w:eastAsia="Times New Roman" w:hAnsi="Calibri" w:cs="Calibri"/>
                <w:color w:val="000000"/>
                <w:sz w:val="18"/>
                <w:szCs w:val="18"/>
                <w:lang w:eastAsia="sk-SK"/>
              </w:rPr>
            </w:pPr>
            <w:r w:rsidRPr="000A0283">
              <w:rPr>
                <w:rFonts w:ascii="Calibri" w:eastAsia="Times New Roman" w:hAnsi="Calibri" w:cs="Calibri"/>
                <w:color w:val="000000"/>
                <w:sz w:val="18"/>
                <w:szCs w:val="18"/>
                <w:lang w:eastAsia="sk-SK"/>
              </w:rPr>
              <w:t>630 - Iné nedaňové príjmy</w:t>
            </w:r>
          </w:p>
        </w:tc>
        <w:tc>
          <w:tcPr>
            <w:tcW w:w="2533" w:type="dxa"/>
            <w:tcBorders>
              <w:top w:val="nil"/>
              <w:left w:val="nil"/>
              <w:bottom w:val="single" w:sz="8" w:space="0" w:color="95B3D7"/>
              <w:right w:val="single" w:sz="8" w:space="0" w:color="95B3D7"/>
            </w:tcBorders>
            <w:shd w:val="clear" w:color="auto" w:fill="auto"/>
            <w:noWrap/>
            <w:vAlign w:val="bottom"/>
            <w:hideMark/>
          </w:tcPr>
          <w:p w14:paraId="03724A47" w14:textId="671DC040" w:rsidR="007438C2" w:rsidRPr="000A0283" w:rsidRDefault="007438C2" w:rsidP="007438C2">
            <w:pPr>
              <w:spacing w:after="0" w:line="240" w:lineRule="auto"/>
              <w:jc w:val="right"/>
              <w:rPr>
                <w:rFonts w:ascii="Calibri" w:eastAsia="Times New Roman" w:hAnsi="Calibri" w:cs="Calibri"/>
                <w:color w:val="000000"/>
                <w:lang w:eastAsia="sk-SK"/>
              </w:rPr>
            </w:pPr>
            <w:r>
              <w:rPr>
                <w:rFonts w:ascii="Calibri" w:hAnsi="Calibri" w:cs="Calibri"/>
                <w:color w:val="000000"/>
              </w:rPr>
              <w:t>7 396 771</w:t>
            </w:r>
          </w:p>
        </w:tc>
        <w:tc>
          <w:tcPr>
            <w:tcW w:w="2727" w:type="dxa"/>
            <w:tcBorders>
              <w:top w:val="nil"/>
              <w:left w:val="nil"/>
              <w:bottom w:val="single" w:sz="8" w:space="0" w:color="95B3D7"/>
              <w:right w:val="single" w:sz="8" w:space="0" w:color="95B3D7"/>
            </w:tcBorders>
            <w:shd w:val="clear" w:color="auto" w:fill="auto"/>
            <w:noWrap/>
            <w:vAlign w:val="bottom"/>
            <w:hideMark/>
          </w:tcPr>
          <w:p w14:paraId="52982E41" w14:textId="783241D2" w:rsidR="007438C2" w:rsidRPr="000A0283" w:rsidRDefault="007438C2" w:rsidP="007438C2">
            <w:pPr>
              <w:spacing w:after="0" w:line="240" w:lineRule="auto"/>
              <w:jc w:val="right"/>
              <w:rPr>
                <w:rFonts w:ascii="Calibri" w:eastAsia="Times New Roman" w:hAnsi="Calibri" w:cs="Calibri"/>
                <w:color w:val="000000"/>
                <w:lang w:eastAsia="sk-SK"/>
              </w:rPr>
            </w:pPr>
            <w:r>
              <w:rPr>
                <w:rFonts w:ascii="Calibri" w:hAnsi="Calibri" w:cs="Calibri"/>
                <w:color w:val="000000"/>
              </w:rPr>
              <w:t>21 799 427</w:t>
            </w:r>
          </w:p>
        </w:tc>
      </w:tr>
      <w:tr w:rsidR="007438C2" w:rsidRPr="000A0283" w14:paraId="7D853AA2" w14:textId="77777777" w:rsidTr="0088385D">
        <w:trPr>
          <w:trHeight w:hRule="exact" w:val="268"/>
        </w:trPr>
        <w:tc>
          <w:tcPr>
            <w:tcW w:w="5310" w:type="dxa"/>
            <w:tcBorders>
              <w:top w:val="nil"/>
              <w:left w:val="single" w:sz="8" w:space="0" w:color="95B3D7"/>
              <w:bottom w:val="single" w:sz="8" w:space="0" w:color="95B3D7"/>
              <w:right w:val="nil"/>
            </w:tcBorders>
            <w:shd w:val="clear" w:color="auto" w:fill="auto"/>
            <w:noWrap/>
            <w:vAlign w:val="center"/>
            <w:hideMark/>
          </w:tcPr>
          <w:p w14:paraId="52ADA71F" w14:textId="77777777" w:rsidR="007438C2" w:rsidRPr="000A0283" w:rsidRDefault="007438C2" w:rsidP="007438C2">
            <w:pPr>
              <w:spacing w:after="0" w:line="240" w:lineRule="auto"/>
              <w:ind w:firstLineChars="200" w:firstLine="360"/>
              <w:rPr>
                <w:rFonts w:ascii="Calibri" w:eastAsia="Times New Roman" w:hAnsi="Calibri" w:cs="Calibri"/>
                <w:color w:val="000000"/>
                <w:sz w:val="18"/>
                <w:szCs w:val="18"/>
                <w:lang w:eastAsia="sk-SK"/>
              </w:rPr>
            </w:pPr>
            <w:r w:rsidRPr="000A0283">
              <w:rPr>
                <w:rFonts w:ascii="Calibri" w:eastAsia="Times New Roman" w:hAnsi="Calibri" w:cs="Calibri"/>
                <w:color w:val="000000"/>
                <w:sz w:val="18"/>
                <w:szCs w:val="18"/>
                <w:lang w:eastAsia="sk-SK"/>
              </w:rPr>
              <w:t>640  - Bežné granty a transfery</w:t>
            </w:r>
          </w:p>
        </w:tc>
        <w:tc>
          <w:tcPr>
            <w:tcW w:w="2533" w:type="dxa"/>
            <w:tcBorders>
              <w:top w:val="nil"/>
              <w:left w:val="nil"/>
              <w:bottom w:val="single" w:sz="8" w:space="0" w:color="95B3D7"/>
              <w:right w:val="single" w:sz="8" w:space="0" w:color="95B3D7"/>
            </w:tcBorders>
            <w:shd w:val="clear" w:color="auto" w:fill="auto"/>
            <w:noWrap/>
            <w:vAlign w:val="bottom"/>
            <w:hideMark/>
          </w:tcPr>
          <w:p w14:paraId="6AF13424" w14:textId="0B476302" w:rsidR="007438C2" w:rsidRPr="000A0283" w:rsidRDefault="007438C2" w:rsidP="007438C2">
            <w:pPr>
              <w:spacing w:after="0" w:line="240" w:lineRule="auto"/>
              <w:jc w:val="right"/>
              <w:rPr>
                <w:rFonts w:ascii="Calibri" w:eastAsia="Times New Roman" w:hAnsi="Calibri" w:cs="Calibri"/>
                <w:color w:val="000000"/>
                <w:lang w:eastAsia="sk-SK"/>
              </w:rPr>
            </w:pPr>
            <w:r>
              <w:rPr>
                <w:rFonts w:ascii="Calibri" w:hAnsi="Calibri" w:cs="Calibri"/>
                <w:color w:val="000000"/>
              </w:rPr>
              <w:t>229 458</w:t>
            </w:r>
          </w:p>
        </w:tc>
        <w:tc>
          <w:tcPr>
            <w:tcW w:w="2727" w:type="dxa"/>
            <w:tcBorders>
              <w:top w:val="nil"/>
              <w:left w:val="nil"/>
              <w:bottom w:val="single" w:sz="8" w:space="0" w:color="95B3D7"/>
              <w:right w:val="single" w:sz="8" w:space="0" w:color="95B3D7"/>
            </w:tcBorders>
            <w:shd w:val="clear" w:color="auto" w:fill="auto"/>
            <w:noWrap/>
            <w:vAlign w:val="bottom"/>
            <w:hideMark/>
          </w:tcPr>
          <w:p w14:paraId="426A27CA" w14:textId="4A196A3E" w:rsidR="007438C2" w:rsidRPr="000A0283" w:rsidRDefault="007438C2" w:rsidP="007438C2">
            <w:pPr>
              <w:spacing w:after="0" w:line="240" w:lineRule="auto"/>
              <w:jc w:val="right"/>
              <w:rPr>
                <w:rFonts w:ascii="Calibri" w:eastAsia="Times New Roman" w:hAnsi="Calibri" w:cs="Calibri"/>
                <w:color w:val="000000"/>
                <w:lang w:eastAsia="sk-SK"/>
              </w:rPr>
            </w:pPr>
            <w:r>
              <w:rPr>
                <w:rFonts w:ascii="Calibri" w:hAnsi="Calibri" w:cs="Calibri"/>
                <w:color w:val="000000"/>
              </w:rPr>
              <w:t>469 738</w:t>
            </w:r>
          </w:p>
        </w:tc>
      </w:tr>
      <w:tr w:rsidR="007438C2" w:rsidRPr="000A0283" w14:paraId="70838D22" w14:textId="77777777" w:rsidTr="0088385D">
        <w:trPr>
          <w:trHeight w:val="268"/>
        </w:trPr>
        <w:tc>
          <w:tcPr>
            <w:tcW w:w="5310" w:type="dxa"/>
            <w:tcBorders>
              <w:top w:val="nil"/>
              <w:left w:val="single" w:sz="8" w:space="0" w:color="95B3D7"/>
              <w:bottom w:val="nil"/>
              <w:right w:val="nil"/>
            </w:tcBorders>
            <w:shd w:val="clear" w:color="000000" w:fill="BDD6EE"/>
            <w:noWrap/>
            <w:vAlign w:val="center"/>
            <w:hideMark/>
          </w:tcPr>
          <w:p w14:paraId="7B275946" w14:textId="77777777" w:rsidR="007438C2" w:rsidRPr="000A0283" w:rsidRDefault="007438C2" w:rsidP="007438C2">
            <w:pPr>
              <w:spacing w:after="0" w:line="240" w:lineRule="auto"/>
              <w:ind w:firstLineChars="100" w:firstLine="201"/>
              <w:rPr>
                <w:rFonts w:ascii="Calibri" w:eastAsia="Times New Roman" w:hAnsi="Calibri" w:cs="Calibri"/>
                <w:b/>
                <w:bCs/>
                <w:color w:val="000000"/>
                <w:sz w:val="20"/>
                <w:szCs w:val="20"/>
                <w:lang w:eastAsia="sk-SK"/>
              </w:rPr>
            </w:pPr>
            <w:r w:rsidRPr="000A0283">
              <w:rPr>
                <w:rFonts w:ascii="Calibri" w:eastAsia="Times New Roman" w:hAnsi="Calibri" w:cs="Calibri"/>
                <w:b/>
                <w:bCs/>
                <w:color w:val="000000"/>
                <w:sz w:val="20"/>
                <w:szCs w:val="20"/>
                <w:lang w:eastAsia="sk-SK"/>
              </w:rPr>
              <w:t xml:space="preserve">Rozdiel P-V </w:t>
            </w:r>
            <w:r>
              <w:rPr>
                <w:rFonts w:ascii="Calibri" w:eastAsia="Times New Roman" w:hAnsi="Calibri" w:cs="Calibri"/>
                <w:b/>
                <w:bCs/>
                <w:color w:val="000000"/>
                <w:sz w:val="20"/>
                <w:szCs w:val="20"/>
                <w:lang w:eastAsia="sk-SK"/>
              </w:rPr>
              <w:t xml:space="preserve"> </w:t>
            </w:r>
            <w:proofErr w:type="spellStart"/>
            <w:r>
              <w:rPr>
                <w:rFonts w:ascii="Calibri" w:eastAsia="Times New Roman" w:hAnsi="Calibri" w:cs="Calibri"/>
                <w:b/>
                <w:bCs/>
                <w:color w:val="000000"/>
                <w:sz w:val="20"/>
                <w:szCs w:val="20"/>
                <w:lang w:eastAsia="sk-SK"/>
              </w:rPr>
              <w:t>Ov</w:t>
            </w:r>
            <w:r w:rsidRPr="000A0283">
              <w:rPr>
                <w:rFonts w:ascii="Calibri" w:eastAsia="Times New Roman" w:hAnsi="Calibri" w:cs="Calibri"/>
                <w:b/>
                <w:bCs/>
                <w:color w:val="000000"/>
                <w:sz w:val="20"/>
                <w:szCs w:val="20"/>
                <w:lang w:eastAsia="sk-SK"/>
              </w:rPr>
              <w:t>ZP</w:t>
            </w:r>
            <w:proofErr w:type="spellEnd"/>
          </w:p>
        </w:tc>
        <w:tc>
          <w:tcPr>
            <w:tcW w:w="2533" w:type="dxa"/>
            <w:tcBorders>
              <w:top w:val="nil"/>
              <w:left w:val="nil"/>
              <w:bottom w:val="nil"/>
              <w:right w:val="single" w:sz="8" w:space="0" w:color="95B3D7"/>
            </w:tcBorders>
            <w:shd w:val="clear" w:color="000000" w:fill="BDD6EE"/>
            <w:noWrap/>
            <w:vAlign w:val="bottom"/>
            <w:hideMark/>
          </w:tcPr>
          <w:p w14:paraId="2F98DF85" w14:textId="0EDB846D" w:rsidR="007438C2" w:rsidRPr="007438C2" w:rsidRDefault="007438C2" w:rsidP="007438C2">
            <w:pPr>
              <w:spacing w:after="0" w:line="240" w:lineRule="auto"/>
              <w:jc w:val="right"/>
              <w:rPr>
                <w:rFonts w:ascii="Calibri" w:eastAsia="Times New Roman" w:hAnsi="Calibri" w:cs="Calibri"/>
                <w:b/>
                <w:bCs/>
                <w:color w:val="000000"/>
                <w:lang w:eastAsia="sk-SK"/>
              </w:rPr>
            </w:pPr>
            <w:r w:rsidRPr="007438C2">
              <w:rPr>
                <w:rFonts w:ascii="Calibri" w:hAnsi="Calibri" w:cs="Calibri"/>
                <w:b/>
                <w:bCs/>
                <w:color w:val="000000"/>
              </w:rPr>
              <w:t>-27 131 995</w:t>
            </w:r>
          </w:p>
        </w:tc>
        <w:tc>
          <w:tcPr>
            <w:tcW w:w="2727" w:type="dxa"/>
            <w:tcBorders>
              <w:top w:val="nil"/>
              <w:left w:val="nil"/>
              <w:bottom w:val="nil"/>
              <w:right w:val="single" w:sz="8" w:space="0" w:color="95B3D7"/>
            </w:tcBorders>
            <w:shd w:val="clear" w:color="000000" w:fill="BDD6EE"/>
            <w:noWrap/>
            <w:vAlign w:val="bottom"/>
            <w:hideMark/>
          </w:tcPr>
          <w:p w14:paraId="16C3CC5B" w14:textId="7DCB9086" w:rsidR="007438C2" w:rsidRPr="007438C2" w:rsidRDefault="007438C2" w:rsidP="007438C2">
            <w:pPr>
              <w:spacing w:after="0" w:line="240" w:lineRule="auto"/>
              <w:jc w:val="right"/>
              <w:rPr>
                <w:rFonts w:ascii="Calibri" w:eastAsia="Times New Roman" w:hAnsi="Calibri" w:cs="Calibri"/>
                <w:b/>
                <w:bCs/>
                <w:color w:val="000000"/>
                <w:lang w:eastAsia="sk-SK"/>
              </w:rPr>
            </w:pPr>
            <w:r w:rsidRPr="007438C2">
              <w:rPr>
                <w:rFonts w:ascii="Calibri" w:hAnsi="Calibri" w:cs="Calibri"/>
                <w:b/>
                <w:bCs/>
                <w:color w:val="000000"/>
              </w:rPr>
              <w:t>-81 702 180</w:t>
            </w:r>
          </w:p>
        </w:tc>
      </w:tr>
    </w:tbl>
    <w:p w14:paraId="1DD52A20" w14:textId="403A608E" w:rsidR="00C8280C" w:rsidRPr="003354D0" w:rsidRDefault="00C8280C" w:rsidP="003354D0">
      <w:pPr>
        <w:pStyle w:val="Odsekzoznamu"/>
        <w:numPr>
          <w:ilvl w:val="0"/>
          <w:numId w:val="1"/>
        </w:numPr>
        <w:rPr>
          <w:rFonts w:asciiTheme="minorHAnsi" w:hAnsiTheme="minorHAnsi" w:cstheme="minorHAnsi"/>
          <w:b/>
          <w:sz w:val="32"/>
          <w:szCs w:val="32"/>
        </w:rPr>
      </w:pPr>
      <w:r w:rsidRPr="003354D0">
        <w:rPr>
          <w:rFonts w:asciiTheme="minorHAnsi" w:hAnsiTheme="minorHAnsi" w:cstheme="minorHAnsi"/>
          <w:b/>
          <w:sz w:val="32"/>
          <w:szCs w:val="32"/>
        </w:rPr>
        <w:t>Výdavky a výdavkové finančné operácie rozpočtu BSK</w:t>
      </w:r>
    </w:p>
    <w:p w14:paraId="270A7F24" w14:textId="012BF799" w:rsidR="00C8280C" w:rsidRPr="00E8238C" w:rsidRDefault="00C8280C" w:rsidP="00E8238C">
      <w:pPr>
        <w:jc w:val="both"/>
        <w:rPr>
          <w:rFonts w:ascii="Calibri" w:eastAsia="Times New Roman" w:hAnsi="Calibri" w:cs="Calibri"/>
          <w:color w:val="000000"/>
          <w:sz w:val="16"/>
          <w:szCs w:val="16"/>
          <w:lang w:eastAsia="sk-SK"/>
        </w:rPr>
      </w:pPr>
      <w:r w:rsidRPr="00433778">
        <w:rPr>
          <w:rFonts w:cstheme="minorHAnsi"/>
          <w:b/>
          <w:sz w:val="24"/>
          <w:szCs w:val="24"/>
        </w:rPr>
        <w:t>Výdavky v</w:t>
      </w:r>
      <w:r>
        <w:rPr>
          <w:rFonts w:cstheme="minorHAnsi"/>
          <w:b/>
          <w:sz w:val="24"/>
          <w:szCs w:val="24"/>
        </w:rPr>
        <w:t> </w:t>
      </w:r>
      <w:r w:rsidRPr="00433778">
        <w:rPr>
          <w:rFonts w:cstheme="minorHAnsi"/>
          <w:b/>
          <w:sz w:val="24"/>
          <w:szCs w:val="24"/>
        </w:rPr>
        <w:t>roku</w:t>
      </w:r>
      <w:r>
        <w:rPr>
          <w:rFonts w:cstheme="minorHAnsi"/>
          <w:b/>
          <w:sz w:val="24"/>
          <w:szCs w:val="24"/>
        </w:rPr>
        <w:t xml:space="preserve"> 202</w:t>
      </w:r>
      <w:r w:rsidR="00D22B87">
        <w:rPr>
          <w:rFonts w:cstheme="minorHAnsi"/>
          <w:b/>
          <w:sz w:val="24"/>
          <w:szCs w:val="24"/>
        </w:rPr>
        <w:t>5</w:t>
      </w:r>
      <w:r>
        <w:rPr>
          <w:rFonts w:cstheme="minorHAnsi"/>
          <w:b/>
          <w:sz w:val="24"/>
          <w:szCs w:val="24"/>
        </w:rPr>
        <w:t xml:space="preserve"> </w:t>
      </w:r>
      <w:r w:rsidRPr="00433778">
        <w:rPr>
          <w:rFonts w:cstheme="minorHAnsi"/>
          <w:sz w:val="24"/>
          <w:szCs w:val="24"/>
        </w:rPr>
        <w:t xml:space="preserve">sú plánované vo výške </w:t>
      </w:r>
      <w:r w:rsidR="00E87B8A" w:rsidRPr="00E87B8A">
        <w:rPr>
          <w:rFonts w:cstheme="minorHAnsi"/>
          <w:b/>
          <w:sz w:val="24"/>
          <w:szCs w:val="24"/>
        </w:rPr>
        <w:t>320 544</w:t>
      </w:r>
      <w:r w:rsidR="00E87B8A">
        <w:rPr>
          <w:rFonts w:cstheme="minorHAnsi"/>
          <w:b/>
          <w:sz w:val="24"/>
          <w:szCs w:val="24"/>
        </w:rPr>
        <w:t> </w:t>
      </w:r>
      <w:r w:rsidR="00E87B8A" w:rsidRPr="00E87B8A">
        <w:rPr>
          <w:rFonts w:cstheme="minorHAnsi"/>
          <w:b/>
          <w:sz w:val="24"/>
          <w:szCs w:val="24"/>
        </w:rPr>
        <w:t>295</w:t>
      </w:r>
      <w:r w:rsidR="00E87B8A">
        <w:rPr>
          <w:rFonts w:cstheme="minorHAnsi"/>
          <w:b/>
          <w:sz w:val="24"/>
          <w:szCs w:val="24"/>
        </w:rPr>
        <w:t xml:space="preserve"> </w:t>
      </w:r>
      <w:r>
        <w:rPr>
          <w:rFonts w:cstheme="minorHAnsi"/>
          <w:b/>
          <w:sz w:val="24"/>
          <w:szCs w:val="24"/>
        </w:rPr>
        <w:t xml:space="preserve">€. </w:t>
      </w:r>
      <w:r>
        <w:rPr>
          <w:rFonts w:ascii="Calibri" w:eastAsia="Times New Roman" w:hAnsi="Calibri" w:cs="Calibri"/>
          <w:color w:val="000000"/>
          <w:lang w:eastAsia="sk-SK"/>
        </w:rPr>
        <w:t>Z</w:t>
      </w:r>
      <w:r w:rsidRPr="00433778">
        <w:rPr>
          <w:rFonts w:cstheme="minorHAnsi"/>
          <w:sz w:val="24"/>
          <w:szCs w:val="24"/>
        </w:rPr>
        <w:t xml:space="preserve"> toho bežné výdavky vo výške </w:t>
      </w:r>
      <w:r w:rsidR="00E87B8A" w:rsidRPr="00E87B8A">
        <w:rPr>
          <w:rFonts w:cstheme="minorHAnsi"/>
          <w:sz w:val="24"/>
          <w:szCs w:val="24"/>
        </w:rPr>
        <w:t>240 483</w:t>
      </w:r>
      <w:r w:rsidR="00A90291">
        <w:rPr>
          <w:rFonts w:cstheme="minorHAnsi"/>
          <w:sz w:val="24"/>
          <w:szCs w:val="24"/>
        </w:rPr>
        <w:t> </w:t>
      </w:r>
      <w:r w:rsidR="00E87B8A" w:rsidRPr="00E87B8A">
        <w:rPr>
          <w:rFonts w:cstheme="minorHAnsi"/>
          <w:sz w:val="24"/>
          <w:szCs w:val="24"/>
        </w:rPr>
        <w:t>346</w:t>
      </w:r>
      <w:r w:rsidR="00A90291">
        <w:rPr>
          <w:rFonts w:cstheme="minorHAnsi"/>
          <w:sz w:val="24"/>
          <w:szCs w:val="24"/>
        </w:rPr>
        <w:t xml:space="preserve"> </w:t>
      </w:r>
      <w:r w:rsidRPr="00433778">
        <w:rPr>
          <w:rFonts w:cstheme="minorHAnsi"/>
          <w:sz w:val="24"/>
          <w:szCs w:val="24"/>
        </w:rPr>
        <w:t>€ (</w:t>
      </w:r>
      <w:r w:rsidR="003D36D3">
        <w:rPr>
          <w:rFonts w:cstheme="minorHAnsi"/>
          <w:sz w:val="24"/>
          <w:szCs w:val="24"/>
        </w:rPr>
        <w:t>7</w:t>
      </w:r>
      <w:r w:rsidR="00005734">
        <w:rPr>
          <w:rFonts w:cstheme="minorHAnsi"/>
          <w:sz w:val="24"/>
          <w:szCs w:val="24"/>
        </w:rPr>
        <w:t>5,02</w:t>
      </w:r>
      <w:r>
        <w:rPr>
          <w:rFonts w:cstheme="minorHAnsi"/>
          <w:sz w:val="24"/>
          <w:szCs w:val="24"/>
        </w:rPr>
        <w:t>%</w:t>
      </w:r>
      <w:r w:rsidRPr="00433778">
        <w:rPr>
          <w:rFonts w:cstheme="minorHAnsi"/>
          <w:sz w:val="24"/>
          <w:szCs w:val="24"/>
        </w:rPr>
        <w:t xml:space="preserve"> podiel z celkových výdavkov) a kapitálové výdavky vo výške </w:t>
      </w:r>
      <w:r w:rsidR="002F29A9" w:rsidRPr="002F29A9">
        <w:rPr>
          <w:rFonts w:cstheme="minorHAnsi"/>
          <w:sz w:val="24"/>
          <w:szCs w:val="24"/>
        </w:rPr>
        <w:t>73 962</w:t>
      </w:r>
      <w:r w:rsidR="002F29A9">
        <w:rPr>
          <w:rFonts w:cstheme="minorHAnsi"/>
          <w:sz w:val="24"/>
          <w:szCs w:val="24"/>
        </w:rPr>
        <w:t> </w:t>
      </w:r>
      <w:r w:rsidR="002F29A9" w:rsidRPr="002F29A9">
        <w:rPr>
          <w:rFonts w:cstheme="minorHAnsi"/>
          <w:sz w:val="24"/>
          <w:szCs w:val="24"/>
        </w:rPr>
        <w:t>958</w:t>
      </w:r>
      <w:r w:rsidR="002F29A9">
        <w:rPr>
          <w:rFonts w:cstheme="minorHAnsi"/>
          <w:sz w:val="24"/>
          <w:szCs w:val="24"/>
        </w:rPr>
        <w:t xml:space="preserve"> </w:t>
      </w:r>
      <w:r w:rsidRPr="00433778">
        <w:rPr>
          <w:rFonts w:cstheme="minorHAnsi"/>
          <w:sz w:val="24"/>
          <w:szCs w:val="24"/>
        </w:rPr>
        <w:t>€ (</w:t>
      </w:r>
      <w:r>
        <w:rPr>
          <w:rFonts w:cstheme="minorHAnsi"/>
          <w:sz w:val="24"/>
          <w:szCs w:val="24"/>
        </w:rPr>
        <w:t>2</w:t>
      </w:r>
      <w:r w:rsidR="002F29A9">
        <w:rPr>
          <w:rFonts w:cstheme="minorHAnsi"/>
          <w:sz w:val="24"/>
          <w:szCs w:val="24"/>
        </w:rPr>
        <w:t>3,07</w:t>
      </w:r>
      <w:r w:rsidRPr="00DE3165">
        <w:rPr>
          <w:rFonts w:cstheme="minorHAnsi"/>
          <w:sz w:val="24"/>
          <w:szCs w:val="24"/>
        </w:rPr>
        <w:t>%</w:t>
      </w:r>
      <w:r w:rsidRPr="00433778">
        <w:rPr>
          <w:rFonts w:cstheme="minorHAnsi"/>
          <w:sz w:val="24"/>
          <w:szCs w:val="24"/>
        </w:rPr>
        <w:t xml:space="preserve"> podiel z celkových výdavkov)</w:t>
      </w:r>
      <w:r>
        <w:rPr>
          <w:rFonts w:cstheme="minorHAnsi"/>
          <w:sz w:val="24"/>
          <w:szCs w:val="24"/>
        </w:rPr>
        <w:t xml:space="preserve"> a výdavkové finančné operácie vo výške </w:t>
      </w:r>
      <w:r w:rsidR="00241BA4" w:rsidRPr="00241BA4">
        <w:rPr>
          <w:rFonts w:cstheme="minorHAnsi"/>
          <w:sz w:val="24"/>
          <w:szCs w:val="24"/>
        </w:rPr>
        <w:t>6 097</w:t>
      </w:r>
      <w:r w:rsidR="00241BA4">
        <w:rPr>
          <w:rFonts w:cstheme="minorHAnsi"/>
          <w:sz w:val="24"/>
          <w:szCs w:val="24"/>
        </w:rPr>
        <w:t> </w:t>
      </w:r>
      <w:r w:rsidR="00241BA4" w:rsidRPr="00241BA4">
        <w:rPr>
          <w:rFonts w:cstheme="minorHAnsi"/>
          <w:sz w:val="24"/>
          <w:szCs w:val="24"/>
        </w:rPr>
        <w:t>991</w:t>
      </w:r>
      <w:r w:rsidR="00241BA4">
        <w:rPr>
          <w:rFonts w:cstheme="minorHAnsi"/>
          <w:sz w:val="24"/>
          <w:szCs w:val="24"/>
        </w:rPr>
        <w:t xml:space="preserve"> </w:t>
      </w:r>
      <w:r>
        <w:rPr>
          <w:rFonts w:cstheme="minorHAnsi"/>
          <w:sz w:val="24"/>
          <w:szCs w:val="24"/>
        </w:rPr>
        <w:t xml:space="preserve">€ </w:t>
      </w:r>
      <w:r w:rsidRPr="00433778">
        <w:rPr>
          <w:rFonts w:cstheme="minorHAnsi"/>
          <w:sz w:val="24"/>
          <w:szCs w:val="24"/>
        </w:rPr>
        <w:t>(</w:t>
      </w:r>
      <w:r w:rsidR="00241BA4">
        <w:rPr>
          <w:rFonts w:cstheme="minorHAnsi"/>
          <w:sz w:val="24"/>
          <w:szCs w:val="24"/>
        </w:rPr>
        <w:t>1,90</w:t>
      </w:r>
      <w:r w:rsidR="00005734">
        <w:rPr>
          <w:rFonts w:cstheme="minorHAnsi"/>
          <w:sz w:val="24"/>
          <w:szCs w:val="24"/>
        </w:rPr>
        <w:t>%</w:t>
      </w:r>
      <w:r w:rsidRPr="00433778">
        <w:rPr>
          <w:rFonts w:cstheme="minorHAnsi"/>
          <w:sz w:val="24"/>
          <w:szCs w:val="24"/>
        </w:rPr>
        <w:t xml:space="preserve"> podiel z celkových výdavkov</w:t>
      </w:r>
      <w:r>
        <w:rPr>
          <w:rFonts w:cstheme="minorHAnsi"/>
          <w:sz w:val="24"/>
          <w:szCs w:val="24"/>
        </w:rPr>
        <w:t>)</w:t>
      </w:r>
      <w:r w:rsidRPr="00433778">
        <w:rPr>
          <w:rFonts w:cstheme="minorHAnsi"/>
          <w:sz w:val="24"/>
          <w:szCs w:val="24"/>
        </w:rPr>
        <w:t>.</w:t>
      </w:r>
    </w:p>
    <w:p w14:paraId="64373CF8" w14:textId="0C498290" w:rsidR="00FB1490" w:rsidRPr="000345AC" w:rsidRDefault="000345AC" w:rsidP="000345AC">
      <w:pPr>
        <w:spacing w:before="120" w:after="120"/>
        <w:jc w:val="both"/>
        <w:rPr>
          <w:rFonts w:cstheme="minorHAnsi"/>
          <w:sz w:val="24"/>
          <w:szCs w:val="24"/>
        </w:rPr>
      </w:pPr>
      <w:r w:rsidRPr="00433778">
        <w:rPr>
          <w:rFonts w:cstheme="minorHAnsi"/>
          <w:sz w:val="24"/>
          <w:szCs w:val="24"/>
        </w:rPr>
        <w:t xml:space="preserve">Odhadovaný vývoj </w:t>
      </w:r>
      <w:r>
        <w:rPr>
          <w:rFonts w:cstheme="minorHAnsi"/>
          <w:sz w:val="24"/>
          <w:szCs w:val="24"/>
        </w:rPr>
        <w:t>výdavkov</w:t>
      </w:r>
      <w:r w:rsidRPr="00433778">
        <w:rPr>
          <w:rFonts w:cstheme="minorHAnsi"/>
          <w:sz w:val="24"/>
          <w:szCs w:val="24"/>
        </w:rPr>
        <w:t xml:space="preserve"> BSK </w:t>
      </w:r>
      <w:r>
        <w:rPr>
          <w:rFonts w:cstheme="minorHAnsi"/>
          <w:sz w:val="24"/>
          <w:szCs w:val="24"/>
        </w:rPr>
        <w:t>v roku 202</w:t>
      </w:r>
      <w:r w:rsidR="00E8238C">
        <w:rPr>
          <w:rFonts w:cstheme="minorHAnsi"/>
          <w:sz w:val="24"/>
          <w:szCs w:val="24"/>
        </w:rPr>
        <w:t>5</w:t>
      </w:r>
      <w:r>
        <w:rPr>
          <w:rFonts w:cstheme="minorHAnsi"/>
          <w:sz w:val="24"/>
          <w:szCs w:val="24"/>
        </w:rPr>
        <w:t xml:space="preserve"> </w:t>
      </w:r>
      <w:r w:rsidR="00577E25">
        <w:rPr>
          <w:rFonts w:cstheme="minorHAnsi"/>
          <w:sz w:val="24"/>
          <w:szCs w:val="24"/>
        </w:rPr>
        <w:t>až 202</w:t>
      </w:r>
      <w:r w:rsidR="00E8238C">
        <w:rPr>
          <w:rFonts w:cstheme="minorHAnsi"/>
          <w:sz w:val="24"/>
          <w:szCs w:val="24"/>
        </w:rPr>
        <w:t>7</w:t>
      </w:r>
      <w:r w:rsidR="00577E25">
        <w:rPr>
          <w:rFonts w:cstheme="minorHAnsi"/>
          <w:sz w:val="24"/>
          <w:szCs w:val="24"/>
        </w:rPr>
        <w:t xml:space="preserve"> </w:t>
      </w:r>
      <w:r w:rsidRPr="00433778">
        <w:rPr>
          <w:rFonts w:cstheme="minorHAnsi"/>
          <w:sz w:val="24"/>
          <w:szCs w:val="24"/>
        </w:rPr>
        <w:t xml:space="preserve">v porovnaní s očakávanou skutočnosťou </w:t>
      </w:r>
      <w:r w:rsidR="00532157">
        <w:rPr>
          <w:rFonts w:cstheme="minorHAnsi"/>
          <w:sz w:val="24"/>
          <w:szCs w:val="24"/>
        </w:rPr>
        <w:t xml:space="preserve">v </w:t>
      </w:r>
      <w:r w:rsidRPr="00433778">
        <w:rPr>
          <w:rFonts w:cstheme="minorHAnsi"/>
          <w:sz w:val="24"/>
          <w:szCs w:val="24"/>
        </w:rPr>
        <w:t>rok</w:t>
      </w:r>
      <w:r w:rsidR="00532157">
        <w:rPr>
          <w:rFonts w:cstheme="minorHAnsi"/>
          <w:sz w:val="24"/>
          <w:szCs w:val="24"/>
        </w:rPr>
        <w:t>u</w:t>
      </w:r>
      <w:r w:rsidRPr="00433778">
        <w:rPr>
          <w:rFonts w:cstheme="minorHAnsi"/>
          <w:sz w:val="24"/>
          <w:szCs w:val="24"/>
        </w:rPr>
        <w:t xml:space="preserve"> 20</w:t>
      </w:r>
      <w:r>
        <w:rPr>
          <w:rFonts w:cstheme="minorHAnsi"/>
          <w:sz w:val="24"/>
          <w:szCs w:val="24"/>
        </w:rPr>
        <w:t>2</w:t>
      </w:r>
      <w:r w:rsidR="00E8238C">
        <w:rPr>
          <w:rFonts w:cstheme="minorHAnsi"/>
          <w:sz w:val="24"/>
          <w:szCs w:val="24"/>
        </w:rPr>
        <w:t>4</w:t>
      </w:r>
      <w:r w:rsidRPr="00433778">
        <w:rPr>
          <w:rFonts w:cstheme="minorHAnsi"/>
          <w:sz w:val="24"/>
          <w:szCs w:val="24"/>
        </w:rPr>
        <w:t xml:space="preserve"> a skutočnosťou za roky 20</w:t>
      </w:r>
      <w:r>
        <w:rPr>
          <w:rFonts w:cstheme="minorHAnsi"/>
          <w:sz w:val="24"/>
          <w:szCs w:val="24"/>
        </w:rPr>
        <w:t>2</w:t>
      </w:r>
      <w:r w:rsidR="00E8238C">
        <w:rPr>
          <w:rFonts w:cstheme="minorHAnsi"/>
          <w:sz w:val="24"/>
          <w:szCs w:val="24"/>
        </w:rPr>
        <w:t>2</w:t>
      </w:r>
      <w:r>
        <w:rPr>
          <w:rFonts w:cstheme="minorHAnsi"/>
          <w:sz w:val="24"/>
          <w:szCs w:val="24"/>
        </w:rPr>
        <w:t xml:space="preserve"> </w:t>
      </w:r>
      <w:r w:rsidRPr="00433778">
        <w:rPr>
          <w:rFonts w:cstheme="minorHAnsi"/>
          <w:sz w:val="24"/>
          <w:szCs w:val="24"/>
        </w:rPr>
        <w:t>a 20</w:t>
      </w:r>
      <w:r>
        <w:rPr>
          <w:rFonts w:cstheme="minorHAnsi"/>
          <w:sz w:val="24"/>
          <w:szCs w:val="24"/>
        </w:rPr>
        <w:t>2</w:t>
      </w:r>
      <w:r w:rsidR="00E8238C">
        <w:rPr>
          <w:rFonts w:cstheme="minorHAnsi"/>
          <w:sz w:val="24"/>
          <w:szCs w:val="24"/>
        </w:rPr>
        <w:t>3</w:t>
      </w:r>
      <w:r>
        <w:rPr>
          <w:rFonts w:cstheme="minorHAnsi"/>
          <w:sz w:val="24"/>
          <w:szCs w:val="24"/>
        </w:rPr>
        <w:t xml:space="preserve"> je nasledovný:</w:t>
      </w:r>
    </w:p>
    <w:tbl>
      <w:tblPr>
        <w:tblW w:w="5079" w:type="pct"/>
        <w:tblCellMar>
          <w:left w:w="70" w:type="dxa"/>
          <w:right w:w="70" w:type="dxa"/>
        </w:tblCellMar>
        <w:tblLook w:val="04A0" w:firstRow="1" w:lastRow="0" w:firstColumn="1" w:lastColumn="0" w:noHBand="0" w:noVBand="1"/>
      </w:tblPr>
      <w:tblGrid>
        <w:gridCol w:w="3008"/>
        <w:gridCol w:w="1099"/>
        <w:gridCol w:w="1100"/>
        <w:gridCol w:w="1076"/>
        <w:gridCol w:w="1076"/>
        <w:gridCol w:w="1143"/>
        <w:gridCol w:w="1055"/>
        <w:gridCol w:w="1074"/>
      </w:tblGrid>
      <w:tr w:rsidR="00E87B8A" w:rsidRPr="008A42D5" w14:paraId="4ED2E566" w14:textId="77777777" w:rsidTr="00ED7309">
        <w:trPr>
          <w:trHeight w:val="304"/>
        </w:trPr>
        <w:tc>
          <w:tcPr>
            <w:tcW w:w="1419" w:type="pct"/>
            <w:tcBorders>
              <w:top w:val="single" w:sz="8" w:space="0" w:color="366092"/>
              <w:left w:val="nil"/>
              <w:bottom w:val="single" w:sz="8" w:space="0" w:color="F2F2F2"/>
              <w:right w:val="nil"/>
            </w:tcBorders>
            <w:shd w:val="clear" w:color="000000" w:fill="366092"/>
            <w:noWrap/>
            <w:vAlign w:val="center"/>
            <w:hideMark/>
          </w:tcPr>
          <w:p w14:paraId="5963C15D" w14:textId="7D88BFF6" w:rsidR="00E87B8A" w:rsidRPr="008A42D5" w:rsidRDefault="00E87B8A" w:rsidP="00E87B8A">
            <w:pPr>
              <w:spacing w:after="0" w:line="240" w:lineRule="auto"/>
              <w:rPr>
                <w:rFonts w:ascii="Calibri" w:eastAsia="Times New Roman" w:hAnsi="Calibri" w:cs="Calibri"/>
                <w:b/>
                <w:bCs/>
                <w:color w:val="FFFFFF"/>
                <w:sz w:val="16"/>
                <w:szCs w:val="16"/>
                <w:lang w:eastAsia="sk-SK"/>
              </w:rPr>
            </w:pPr>
            <w:r>
              <w:rPr>
                <w:rFonts w:ascii="Calibri" w:eastAsia="Times New Roman" w:hAnsi="Calibri" w:cs="Calibri"/>
                <w:b/>
                <w:bCs/>
                <w:color w:val="FFFFFF"/>
                <w:sz w:val="16"/>
                <w:szCs w:val="16"/>
                <w:lang w:eastAsia="sk-SK"/>
              </w:rPr>
              <w:t>U</w:t>
            </w:r>
            <w:r w:rsidRPr="008A42D5">
              <w:rPr>
                <w:rFonts w:ascii="Calibri" w:eastAsia="Times New Roman" w:hAnsi="Calibri" w:cs="Calibri"/>
                <w:b/>
                <w:bCs/>
                <w:color w:val="FFFFFF"/>
                <w:sz w:val="16"/>
                <w:szCs w:val="16"/>
                <w:lang w:eastAsia="sk-SK"/>
              </w:rPr>
              <w:t>kazovateľ</w:t>
            </w:r>
          </w:p>
        </w:tc>
        <w:tc>
          <w:tcPr>
            <w:tcW w:w="521" w:type="pct"/>
            <w:tcBorders>
              <w:top w:val="nil"/>
              <w:left w:val="nil"/>
              <w:bottom w:val="single" w:sz="8" w:space="0" w:color="F2F2F2"/>
              <w:right w:val="nil"/>
            </w:tcBorders>
            <w:shd w:val="clear" w:color="000000" w:fill="366092"/>
            <w:vAlign w:val="center"/>
          </w:tcPr>
          <w:p w14:paraId="0855A99E" w14:textId="0BCC932F" w:rsidR="00E87B8A" w:rsidRDefault="00E87B8A" w:rsidP="00E87B8A">
            <w:pPr>
              <w:spacing w:after="0" w:line="240" w:lineRule="auto"/>
              <w:jc w:val="center"/>
              <w:rPr>
                <w:rFonts w:ascii="Calibri" w:hAnsi="Calibri" w:cs="Calibri"/>
                <w:b/>
                <w:bCs/>
                <w:color w:val="FFFFFF"/>
                <w:sz w:val="16"/>
                <w:szCs w:val="16"/>
              </w:rPr>
            </w:pPr>
            <w:r w:rsidRPr="00B36AA0">
              <w:rPr>
                <w:rFonts w:ascii="Calibri" w:eastAsia="Times New Roman" w:hAnsi="Calibri" w:cs="Calibri"/>
                <w:b/>
                <w:bCs/>
                <w:color w:val="FFFFFF"/>
                <w:sz w:val="20"/>
                <w:szCs w:val="20"/>
                <w:lang w:eastAsia="sk-SK"/>
              </w:rPr>
              <w:t>2022 (S)</w:t>
            </w:r>
          </w:p>
        </w:tc>
        <w:tc>
          <w:tcPr>
            <w:tcW w:w="521" w:type="pct"/>
            <w:tcBorders>
              <w:top w:val="nil"/>
              <w:left w:val="nil"/>
              <w:bottom w:val="single" w:sz="8" w:space="0" w:color="F2F2F2"/>
              <w:right w:val="nil"/>
            </w:tcBorders>
            <w:shd w:val="clear" w:color="000000" w:fill="366092"/>
            <w:noWrap/>
            <w:vAlign w:val="center"/>
            <w:hideMark/>
          </w:tcPr>
          <w:p w14:paraId="62FDE2CD" w14:textId="57C82DFB" w:rsidR="00E87B8A" w:rsidRPr="008A42D5" w:rsidRDefault="00E87B8A" w:rsidP="00E87B8A">
            <w:pPr>
              <w:spacing w:after="0" w:line="240" w:lineRule="auto"/>
              <w:jc w:val="center"/>
              <w:rPr>
                <w:rFonts w:ascii="Calibri" w:eastAsia="Times New Roman" w:hAnsi="Calibri" w:cs="Calibri"/>
                <w:b/>
                <w:bCs/>
                <w:color w:val="FFFFFF"/>
                <w:sz w:val="16"/>
                <w:szCs w:val="16"/>
                <w:lang w:eastAsia="sk-SK"/>
              </w:rPr>
            </w:pPr>
            <w:r w:rsidRPr="00B36AA0">
              <w:rPr>
                <w:rFonts w:ascii="Calibri" w:eastAsia="Times New Roman" w:hAnsi="Calibri" w:cs="Calibri"/>
                <w:b/>
                <w:bCs/>
                <w:color w:val="FFFFFF"/>
                <w:sz w:val="20"/>
                <w:szCs w:val="20"/>
                <w:lang w:eastAsia="sk-SK"/>
              </w:rPr>
              <w:t>2023 (S)</w:t>
            </w:r>
          </w:p>
        </w:tc>
        <w:tc>
          <w:tcPr>
            <w:tcW w:w="510" w:type="pct"/>
            <w:tcBorders>
              <w:top w:val="nil"/>
              <w:left w:val="nil"/>
              <w:bottom w:val="single" w:sz="8" w:space="0" w:color="F2F2F2"/>
              <w:right w:val="nil"/>
            </w:tcBorders>
            <w:shd w:val="clear" w:color="000000" w:fill="366092"/>
            <w:noWrap/>
            <w:vAlign w:val="center"/>
            <w:hideMark/>
          </w:tcPr>
          <w:p w14:paraId="3BCBA813" w14:textId="448DAF8A" w:rsidR="00E87B8A" w:rsidRPr="008A42D5" w:rsidRDefault="00E87B8A" w:rsidP="00E87B8A">
            <w:pPr>
              <w:spacing w:after="0" w:line="240" w:lineRule="auto"/>
              <w:jc w:val="center"/>
              <w:rPr>
                <w:rFonts w:ascii="Calibri" w:eastAsia="Times New Roman" w:hAnsi="Calibri" w:cs="Calibri"/>
                <w:b/>
                <w:bCs/>
                <w:color w:val="FFFFFF"/>
                <w:sz w:val="16"/>
                <w:szCs w:val="16"/>
                <w:lang w:eastAsia="sk-SK"/>
              </w:rPr>
            </w:pPr>
            <w:r w:rsidRPr="00B36AA0">
              <w:rPr>
                <w:rFonts w:ascii="Calibri" w:eastAsia="Times New Roman" w:hAnsi="Calibri" w:cs="Calibri"/>
                <w:b/>
                <w:bCs/>
                <w:color w:val="FFFFFF"/>
                <w:sz w:val="20"/>
                <w:szCs w:val="20"/>
                <w:lang w:eastAsia="sk-SK"/>
              </w:rPr>
              <w:t>2024 (SR)</w:t>
            </w:r>
          </w:p>
        </w:tc>
        <w:tc>
          <w:tcPr>
            <w:tcW w:w="510" w:type="pct"/>
            <w:tcBorders>
              <w:top w:val="nil"/>
              <w:left w:val="nil"/>
              <w:bottom w:val="single" w:sz="8" w:space="0" w:color="F2F2F2"/>
              <w:right w:val="nil"/>
            </w:tcBorders>
            <w:shd w:val="clear" w:color="000000" w:fill="366092"/>
            <w:noWrap/>
            <w:vAlign w:val="center"/>
            <w:hideMark/>
          </w:tcPr>
          <w:p w14:paraId="0EFBC263" w14:textId="6DAAE1D6" w:rsidR="00E87B8A" w:rsidRPr="008A42D5" w:rsidRDefault="00E87B8A" w:rsidP="00E87B8A">
            <w:pPr>
              <w:spacing w:after="0" w:line="240" w:lineRule="auto"/>
              <w:jc w:val="center"/>
              <w:rPr>
                <w:rFonts w:ascii="Calibri" w:eastAsia="Times New Roman" w:hAnsi="Calibri" w:cs="Calibri"/>
                <w:b/>
                <w:bCs/>
                <w:color w:val="FFFFFF"/>
                <w:sz w:val="16"/>
                <w:szCs w:val="16"/>
                <w:lang w:eastAsia="sk-SK"/>
              </w:rPr>
            </w:pPr>
            <w:r w:rsidRPr="00B36AA0">
              <w:rPr>
                <w:rFonts w:ascii="Calibri" w:eastAsia="Times New Roman" w:hAnsi="Calibri" w:cs="Calibri"/>
                <w:b/>
                <w:bCs/>
                <w:color w:val="FFFFFF"/>
                <w:sz w:val="20"/>
                <w:szCs w:val="20"/>
                <w:lang w:eastAsia="sk-SK"/>
              </w:rPr>
              <w:t>2024 (OS)</w:t>
            </w:r>
          </w:p>
        </w:tc>
        <w:tc>
          <w:tcPr>
            <w:tcW w:w="510" w:type="pct"/>
            <w:tcBorders>
              <w:top w:val="nil"/>
              <w:left w:val="nil"/>
              <w:bottom w:val="single" w:sz="8" w:space="0" w:color="F2F2F2"/>
              <w:right w:val="nil"/>
            </w:tcBorders>
            <w:shd w:val="clear" w:color="000000" w:fill="366092"/>
            <w:noWrap/>
            <w:vAlign w:val="center"/>
            <w:hideMark/>
          </w:tcPr>
          <w:p w14:paraId="6B5D0F80" w14:textId="49C6150B" w:rsidR="00E87B8A" w:rsidRPr="008A42D5" w:rsidRDefault="00E87B8A" w:rsidP="00E87B8A">
            <w:pPr>
              <w:spacing w:after="0" w:line="240" w:lineRule="auto"/>
              <w:jc w:val="center"/>
              <w:rPr>
                <w:rFonts w:ascii="Calibri" w:eastAsia="Times New Roman" w:hAnsi="Calibri" w:cs="Calibri"/>
                <w:b/>
                <w:bCs/>
                <w:color w:val="FFFFFF"/>
                <w:sz w:val="16"/>
                <w:szCs w:val="16"/>
                <w:lang w:eastAsia="sk-SK"/>
              </w:rPr>
            </w:pPr>
            <w:r w:rsidRPr="00B36AA0">
              <w:rPr>
                <w:rFonts w:ascii="Calibri" w:eastAsia="Times New Roman" w:hAnsi="Calibri" w:cs="Calibri"/>
                <w:b/>
                <w:bCs/>
                <w:color w:val="FFFFFF"/>
                <w:sz w:val="20"/>
                <w:szCs w:val="20"/>
                <w:lang w:eastAsia="sk-SK"/>
              </w:rPr>
              <w:t>2025 (N)</w:t>
            </w:r>
          </w:p>
        </w:tc>
        <w:tc>
          <w:tcPr>
            <w:tcW w:w="500" w:type="pct"/>
            <w:tcBorders>
              <w:top w:val="nil"/>
              <w:left w:val="nil"/>
              <w:bottom w:val="single" w:sz="8" w:space="0" w:color="F2F2F2"/>
              <w:right w:val="nil"/>
            </w:tcBorders>
            <w:shd w:val="clear" w:color="000000" w:fill="366092"/>
            <w:noWrap/>
            <w:vAlign w:val="center"/>
            <w:hideMark/>
          </w:tcPr>
          <w:p w14:paraId="6C28A2E6" w14:textId="6E747F54" w:rsidR="00E87B8A" w:rsidRPr="008A42D5" w:rsidRDefault="00E87B8A" w:rsidP="00E87B8A">
            <w:pPr>
              <w:spacing w:after="0" w:line="240" w:lineRule="auto"/>
              <w:jc w:val="center"/>
              <w:rPr>
                <w:rFonts w:ascii="Calibri" w:eastAsia="Times New Roman" w:hAnsi="Calibri" w:cs="Calibri"/>
                <w:b/>
                <w:bCs/>
                <w:color w:val="FFFFFF"/>
                <w:sz w:val="16"/>
                <w:szCs w:val="16"/>
                <w:lang w:eastAsia="sk-SK"/>
              </w:rPr>
            </w:pPr>
            <w:r w:rsidRPr="00B36AA0">
              <w:rPr>
                <w:rFonts w:ascii="Calibri" w:eastAsia="Times New Roman" w:hAnsi="Calibri" w:cs="Calibri"/>
                <w:b/>
                <w:bCs/>
                <w:color w:val="FFFFFF"/>
                <w:sz w:val="20"/>
                <w:szCs w:val="20"/>
                <w:lang w:eastAsia="sk-SK"/>
              </w:rPr>
              <w:t>2026 (N)</w:t>
            </w:r>
          </w:p>
        </w:tc>
        <w:tc>
          <w:tcPr>
            <w:tcW w:w="509" w:type="pct"/>
            <w:tcBorders>
              <w:top w:val="single" w:sz="8" w:space="0" w:color="366092"/>
              <w:left w:val="nil"/>
              <w:bottom w:val="single" w:sz="8" w:space="0" w:color="F2F2F2"/>
              <w:right w:val="nil"/>
            </w:tcBorders>
            <w:shd w:val="clear" w:color="000000" w:fill="366092"/>
            <w:noWrap/>
            <w:vAlign w:val="center"/>
            <w:hideMark/>
          </w:tcPr>
          <w:p w14:paraId="6DFE4611" w14:textId="3C0C785A" w:rsidR="00E87B8A" w:rsidRPr="008A42D5" w:rsidRDefault="00E87B8A" w:rsidP="00E87B8A">
            <w:pPr>
              <w:spacing w:after="0" w:line="240" w:lineRule="auto"/>
              <w:jc w:val="center"/>
              <w:rPr>
                <w:rFonts w:ascii="Calibri" w:eastAsia="Times New Roman" w:hAnsi="Calibri" w:cs="Calibri"/>
                <w:b/>
                <w:bCs/>
                <w:color w:val="FFFFFF"/>
                <w:sz w:val="16"/>
                <w:szCs w:val="16"/>
                <w:lang w:eastAsia="sk-SK"/>
              </w:rPr>
            </w:pPr>
            <w:r w:rsidRPr="00B36AA0">
              <w:rPr>
                <w:rFonts w:ascii="Calibri" w:eastAsia="Times New Roman" w:hAnsi="Calibri" w:cs="Calibri"/>
                <w:b/>
                <w:bCs/>
                <w:color w:val="FFFFFF"/>
                <w:sz w:val="20"/>
                <w:szCs w:val="20"/>
                <w:lang w:eastAsia="sk-SK"/>
              </w:rPr>
              <w:t>2027 (N)</w:t>
            </w:r>
          </w:p>
        </w:tc>
      </w:tr>
      <w:tr w:rsidR="00382246" w:rsidRPr="008A42D5" w14:paraId="50394281" w14:textId="77777777" w:rsidTr="001D62C0">
        <w:trPr>
          <w:trHeight w:val="290"/>
        </w:trPr>
        <w:tc>
          <w:tcPr>
            <w:tcW w:w="1419" w:type="pct"/>
            <w:tcBorders>
              <w:top w:val="nil"/>
              <w:left w:val="nil"/>
              <w:bottom w:val="nil"/>
              <w:right w:val="nil"/>
            </w:tcBorders>
            <w:shd w:val="clear" w:color="000000" w:fill="DCE6F1"/>
            <w:noWrap/>
            <w:vAlign w:val="center"/>
            <w:hideMark/>
          </w:tcPr>
          <w:p w14:paraId="0BB75133" w14:textId="77777777" w:rsidR="00382246" w:rsidRPr="008A42D5" w:rsidRDefault="00382246" w:rsidP="00382246">
            <w:pPr>
              <w:spacing w:after="0" w:line="240" w:lineRule="auto"/>
              <w:rPr>
                <w:rFonts w:ascii="Calibri" w:eastAsia="Times New Roman" w:hAnsi="Calibri" w:cs="Calibri"/>
                <w:b/>
                <w:bCs/>
                <w:color w:val="000000"/>
                <w:sz w:val="20"/>
                <w:szCs w:val="20"/>
                <w:lang w:eastAsia="sk-SK"/>
              </w:rPr>
            </w:pPr>
            <w:r w:rsidRPr="008A42D5">
              <w:rPr>
                <w:rFonts w:ascii="Calibri" w:eastAsia="Times New Roman" w:hAnsi="Calibri" w:cs="Calibri"/>
                <w:b/>
                <w:bCs/>
                <w:color w:val="000000"/>
                <w:sz w:val="20"/>
                <w:szCs w:val="20"/>
                <w:lang w:eastAsia="sk-SK"/>
              </w:rPr>
              <w:t>VÝDAVKY v EUR</w:t>
            </w:r>
          </w:p>
        </w:tc>
        <w:tc>
          <w:tcPr>
            <w:tcW w:w="521" w:type="pct"/>
            <w:tcBorders>
              <w:top w:val="nil"/>
              <w:left w:val="nil"/>
              <w:bottom w:val="nil"/>
              <w:right w:val="nil"/>
            </w:tcBorders>
            <w:shd w:val="clear" w:color="000000" w:fill="DCE6F1"/>
            <w:vAlign w:val="center"/>
          </w:tcPr>
          <w:p w14:paraId="408BD2F1" w14:textId="460D00A8" w:rsidR="00382246" w:rsidRDefault="00382246" w:rsidP="00382246">
            <w:pPr>
              <w:spacing w:after="0" w:line="240" w:lineRule="auto"/>
              <w:jc w:val="right"/>
              <w:rPr>
                <w:rFonts w:ascii="Calibri" w:hAnsi="Calibri" w:cs="Calibri"/>
                <w:b/>
                <w:bCs/>
                <w:color w:val="000000"/>
                <w:sz w:val="18"/>
                <w:szCs w:val="18"/>
              </w:rPr>
            </w:pPr>
            <w:r>
              <w:rPr>
                <w:rFonts w:ascii="Calibri" w:hAnsi="Calibri" w:cs="Calibri"/>
                <w:b/>
                <w:bCs/>
                <w:color w:val="000000"/>
                <w:sz w:val="18"/>
                <w:szCs w:val="18"/>
              </w:rPr>
              <w:t>239 608 658</w:t>
            </w:r>
          </w:p>
        </w:tc>
        <w:tc>
          <w:tcPr>
            <w:tcW w:w="521" w:type="pct"/>
            <w:tcBorders>
              <w:top w:val="nil"/>
              <w:left w:val="nil"/>
              <w:bottom w:val="nil"/>
              <w:right w:val="nil"/>
            </w:tcBorders>
            <w:shd w:val="clear" w:color="000000" w:fill="DCE6F1"/>
            <w:noWrap/>
            <w:vAlign w:val="center"/>
          </w:tcPr>
          <w:p w14:paraId="12B2CE86" w14:textId="384AD156"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264 936 980</w:t>
            </w:r>
          </w:p>
        </w:tc>
        <w:tc>
          <w:tcPr>
            <w:tcW w:w="510" w:type="pct"/>
            <w:tcBorders>
              <w:top w:val="nil"/>
              <w:left w:val="nil"/>
              <w:bottom w:val="nil"/>
              <w:right w:val="nil"/>
            </w:tcBorders>
            <w:shd w:val="clear" w:color="000000" w:fill="DCE6F1"/>
            <w:noWrap/>
            <w:vAlign w:val="center"/>
            <w:hideMark/>
          </w:tcPr>
          <w:p w14:paraId="35507FC6" w14:textId="2326BD71"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300 558 006</w:t>
            </w:r>
          </w:p>
        </w:tc>
        <w:tc>
          <w:tcPr>
            <w:tcW w:w="510" w:type="pct"/>
            <w:tcBorders>
              <w:top w:val="nil"/>
              <w:left w:val="nil"/>
              <w:bottom w:val="nil"/>
              <w:right w:val="nil"/>
            </w:tcBorders>
            <w:shd w:val="clear" w:color="000000" w:fill="DCE6F1"/>
            <w:noWrap/>
            <w:vAlign w:val="center"/>
          </w:tcPr>
          <w:p w14:paraId="6C42A65E" w14:textId="1356EF86"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275 190 478</w:t>
            </w:r>
          </w:p>
        </w:tc>
        <w:tc>
          <w:tcPr>
            <w:tcW w:w="510" w:type="pct"/>
            <w:tcBorders>
              <w:top w:val="nil"/>
              <w:left w:val="nil"/>
              <w:bottom w:val="nil"/>
              <w:right w:val="nil"/>
            </w:tcBorders>
            <w:shd w:val="clear" w:color="000000" w:fill="D9D9D9"/>
            <w:noWrap/>
            <w:vAlign w:val="bottom"/>
          </w:tcPr>
          <w:p w14:paraId="53F56360" w14:textId="6748B60E"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320 544 295</w:t>
            </w:r>
          </w:p>
        </w:tc>
        <w:tc>
          <w:tcPr>
            <w:tcW w:w="500" w:type="pct"/>
            <w:tcBorders>
              <w:top w:val="nil"/>
              <w:left w:val="nil"/>
              <w:bottom w:val="nil"/>
              <w:right w:val="nil"/>
            </w:tcBorders>
            <w:shd w:val="clear" w:color="000000" w:fill="DCE6F1"/>
            <w:noWrap/>
            <w:vAlign w:val="center"/>
          </w:tcPr>
          <w:p w14:paraId="07F24434" w14:textId="3A55FE97"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345 485 364</w:t>
            </w:r>
          </w:p>
        </w:tc>
        <w:tc>
          <w:tcPr>
            <w:tcW w:w="509" w:type="pct"/>
            <w:tcBorders>
              <w:top w:val="nil"/>
              <w:left w:val="nil"/>
              <w:bottom w:val="nil"/>
              <w:right w:val="nil"/>
            </w:tcBorders>
            <w:shd w:val="clear" w:color="000000" w:fill="DCE6F1"/>
            <w:noWrap/>
            <w:vAlign w:val="center"/>
          </w:tcPr>
          <w:p w14:paraId="742F28B3" w14:textId="063449B8"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360 454 035</w:t>
            </w:r>
          </w:p>
        </w:tc>
      </w:tr>
      <w:tr w:rsidR="00382246" w:rsidRPr="008A42D5" w14:paraId="421B398C" w14:textId="77777777" w:rsidTr="001D62C0">
        <w:trPr>
          <w:trHeight w:val="290"/>
        </w:trPr>
        <w:tc>
          <w:tcPr>
            <w:tcW w:w="1419" w:type="pct"/>
            <w:tcBorders>
              <w:top w:val="nil"/>
              <w:left w:val="nil"/>
              <w:bottom w:val="nil"/>
              <w:right w:val="nil"/>
            </w:tcBorders>
            <w:shd w:val="clear" w:color="000000" w:fill="8DB4E2"/>
            <w:noWrap/>
            <w:vAlign w:val="center"/>
            <w:hideMark/>
          </w:tcPr>
          <w:p w14:paraId="3FB922DC" w14:textId="77777777" w:rsidR="00382246" w:rsidRPr="008A42D5" w:rsidRDefault="00382246" w:rsidP="00382246">
            <w:pPr>
              <w:spacing w:after="0" w:line="240" w:lineRule="auto"/>
              <w:rPr>
                <w:rFonts w:ascii="Calibri" w:eastAsia="Times New Roman" w:hAnsi="Calibri" w:cs="Calibri"/>
                <w:b/>
                <w:bCs/>
                <w:color w:val="000000"/>
                <w:sz w:val="16"/>
                <w:szCs w:val="16"/>
                <w:lang w:eastAsia="sk-SK"/>
              </w:rPr>
            </w:pPr>
            <w:r w:rsidRPr="008A42D5">
              <w:rPr>
                <w:rFonts w:ascii="Calibri" w:eastAsia="Times New Roman" w:hAnsi="Calibri" w:cs="Calibri"/>
                <w:b/>
                <w:bCs/>
                <w:color w:val="000000"/>
                <w:sz w:val="16"/>
                <w:szCs w:val="16"/>
                <w:lang w:eastAsia="sk-SK"/>
              </w:rPr>
              <w:t>BEŽNÉ VÝDAVKY</w:t>
            </w:r>
          </w:p>
        </w:tc>
        <w:tc>
          <w:tcPr>
            <w:tcW w:w="521" w:type="pct"/>
            <w:tcBorders>
              <w:top w:val="nil"/>
              <w:left w:val="nil"/>
              <w:bottom w:val="nil"/>
              <w:right w:val="nil"/>
            </w:tcBorders>
            <w:shd w:val="clear" w:color="000000" w:fill="8DB4E2"/>
            <w:vAlign w:val="center"/>
          </w:tcPr>
          <w:p w14:paraId="53704CE2" w14:textId="659A7D3B" w:rsidR="00382246" w:rsidRDefault="00382246" w:rsidP="00382246">
            <w:pPr>
              <w:spacing w:after="0" w:line="240" w:lineRule="auto"/>
              <w:jc w:val="right"/>
              <w:rPr>
                <w:rFonts w:ascii="Calibri" w:hAnsi="Calibri" w:cs="Calibri"/>
                <w:b/>
                <w:bCs/>
                <w:color w:val="000000"/>
                <w:sz w:val="18"/>
                <w:szCs w:val="18"/>
              </w:rPr>
            </w:pPr>
            <w:r>
              <w:rPr>
                <w:rFonts w:ascii="Calibri" w:hAnsi="Calibri" w:cs="Calibri"/>
                <w:b/>
                <w:bCs/>
                <w:color w:val="000000"/>
                <w:sz w:val="18"/>
                <w:szCs w:val="18"/>
              </w:rPr>
              <w:t>186 104 448</w:t>
            </w:r>
          </w:p>
        </w:tc>
        <w:tc>
          <w:tcPr>
            <w:tcW w:w="521" w:type="pct"/>
            <w:tcBorders>
              <w:top w:val="nil"/>
              <w:left w:val="nil"/>
              <w:bottom w:val="nil"/>
              <w:right w:val="nil"/>
            </w:tcBorders>
            <w:shd w:val="clear" w:color="000000" w:fill="8DB4E2"/>
            <w:noWrap/>
            <w:vAlign w:val="center"/>
          </w:tcPr>
          <w:p w14:paraId="3C7B1D27" w14:textId="45EA1207"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206 732 437</w:t>
            </w:r>
          </w:p>
        </w:tc>
        <w:tc>
          <w:tcPr>
            <w:tcW w:w="510" w:type="pct"/>
            <w:tcBorders>
              <w:top w:val="nil"/>
              <w:left w:val="nil"/>
              <w:bottom w:val="nil"/>
              <w:right w:val="nil"/>
            </w:tcBorders>
            <w:shd w:val="clear" w:color="000000" w:fill="8DB4E2"/>
            <w:noWrap/>
            <w:vAlign w:val="center"/>
            <w:hideMark/>
          </w:tcPr>
          <w:p w14:paraId="37B3374D" w14:textId="20BD3885"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222 022 429</w:t>
            </w:r>
          </w:p>
        </w:tc>
        <w:tc>
          <w:tcPr>
            <w:tcW w:w="510" w:type="pct"/>
            <w:tcBorders>
              <w:top w:val="nil"/>
              <w:left w:val="nil"/>
              <w:bottom w:val="nil"/>
              <w:right w:val="nil"/>
            </w:tcBorders>
            <w:shd w:val="clear" w:color="000000" w:fill="8DB4E2"/>
            <w:noWrap/>
            <w:vAlign w:val="center"/>
          </w:tcPr>
          <w:p w14:paraId="715D56DE" w14:textId="7CDA7228"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228 150 491</w:t>
            </w:r>
          </w:p>
        </w:tc>
        <w:tc>
          <w:tcPr>
            <w:tcW w:w="510" w:type="pct"/>
            <w:tcBorders>
              <w:top w:val="nil"/>
              <w:left w:val="nil"/>
              <w:bottom w:val="nil"/>
              <w:right w:val="nil"/>
            </w:tcBorders>
            <w:shd w:val="clear" w:color="000000" w:fill="D9D9D9"/>
            <w:noWrap/>
            <w:vAlign w:val="bottom"/>
          </w:tcPr>
          <w:p w14:paraId="24DA70F2" w14:textId="3BB0DB39"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240 483 346</w:t>
            </w:r>
          </w:p>
        </w:tc>
        <w:tc>
          <w:tcPr>
            <w:tcW w:w="500" w:type="pct"/>
            <w:tcBorders>
              <w:top w:val="nil"/>
              <w:left w:val="nil"/>
              <w:bottom w:val="nil"/>
              <w:right w:val="nil"/>
            </w:tcBorders>
            <w:shd w:val="clear" w:color="000000" w:fill="8DB4E2"/>
            <w:noWrap/>
            <w:vAlign w:val="center"/>
          </w:tcPr>
          <w:p w14:paraId="6B2BB5C6" w14:textId="7B6A39A3"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246 348 715</w:t>
            </w:r>
          </w:p>
        </w:tc>
        <w:tc>
          <w:tcPr>
            <w:tcW w:w="509" w:type="pct"/>
            <w:tcBorders>
              <w:top w:val="nil"/>
              <w:left w:val="nil"/>
              <w:bottom w:val="nil"/>
              <w:right w:val="nil"/>
            </w:tcBorders>
            <w:shd w:val="clear" w:color="000000" w:fill="8DB4E2"/>
            <w:noWrap/>
            <w:vAlign w:val="center"/>
          </w:tcPr>
          <w:p w14:paraId="06E9602C" w14:textId="610E6138"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254 851 720</w:t>
            </w:r>
          </w:p>
        </w:tc>
      </w:tr>
      <w:tr w:rsidR="00382246" w:rsidRPr="008A42D5" w14:paraId="1C0F0CF4" w14:textId="77777777" w:rsidTr="001D62C0">
        <w:trPr>
          <w:trHeight w:val="290"/>
        </w:trPr>
        <w:tc>
          <w:tcPr>
            <w:tcW w:w="1419" w:type="pct"/>
            <w:tcBorders>
              <w:top w:val="nil"/>
              <w:left w:val="nil"/>
              <w:bottom w:val="nil"/>
              <w:right w:val="nil"/>
            </w:tcBorders>
            <w:shd w:val="clear" w:color="auto" w:fill="auto"/>
            <w:vAlign w:val="center"/>
            <w:hideMark/>
          </w:tcPr>
          <w:p w14:paraId="297B873A" w14:textId="77777777" w:rsidR="00382246" w:rsidRPr="008A42D5" w:rsidRDefault="00382246" w:rsidP="00382246">
            <w:pPr>
              <w:spacing w:after="0" w:line="240" w:lineRule="auto"/>
              <w:rPr>
                <w:rFonts w:ascii="Calibri" w:eastAsia="Times New Roman" w:hAnsi="Calibri" w:cs="Calibri"/>
                <w:color w:val="000000"/>
                <w:sz w:val="16"/>
                <w:szCs w:val="16"/>
                <w:lang w:eastAsia="sk-SK"/>
              </w:rPr>
            </w:pPr>
            <w:r w:rsidRPr="008A42D5">
              <w:rPr>
                <w:rFonts w:ascii="Calibri" w:eastAsia="Times New Roman" w:hAnsi="Calibri" w:cs="Calibri"/>
                <w:color w:val="000000"/>
                <w:sz w:val="16"/>
                <w:szCs w:val="16"/>
                <w:lang w:eastAsia="sk-SK"/>
              </w:rPr>
              <w:t>610 - Mzdy, platy,...</w:t>
            </w:r>
          </w:p>
        </w:tc>
        <w:tc>
          <w:tcPr>
            <w:tcW w:w="521" w:type="pct"/>
            <w:tcBorders>
              <w:top w:val="nil"/>
              <w:left w:val="nil"/>
              <w:bottom w:val="nil"/>
              <w:right w:val="nil"/>
            </w:tcBorders>
            <w:vAlign w:val="center"/>
          </w:tcPr>
          <w:p w14:paraId="0A5E8D6F" w14:textId="4A39E7FF" w:rsidR="00382246" w:rsidRDefault="00382246" w:rsidP="00382246">
            <w:pPr>
              <w:spacing w:after="0" w:line="240" w:lineRule="auto"/>
              <w:jc w:val="right"/>
              <w:rPr>
                <w:rFonts w:ascii="Calibri" w:hAnsi="Calibri" w:cs="Calibri"/>
                <w:color w:val="000000"/>
                <w:sz w:val="18"/>
                <w:szCs w:val="18"/>
              </w:rPr>
            </w:pPr>
            <w:r>
              <w:rPr>
                <w:rFonts w:ascii="Calibri" w:hAnsi="Calibri" w:cs="Calibri"/>
                <w:color w:val="000000"/>
                <w:sz w:val="18"/>
                <w:szCs w:val="18"/>
              </w:rPr>
              <w:t>62 297 936</w:t>
            </w:r>
          </w:p>
        </w:tc>
        <w:tc>
          <w:tcPr>
            <w:tcW w:w="521" w:type="pct"/>
            <w:tcBorders>
              <w:top w:val="nil"/>
              <w:left w:val="nil"/>
              <w:bottom w:val="nil"/>
              <w:right w:val="nil"/>
            </w:tcBorders>
            <w:shd w:val="clear" w:color="auto" w:fill="auto"/>
            <w:noWrap/>
            <w:vAlign w:val="center"/>
          </w:tcPr>
          <w:p w14:paraId="02FF8DF9" w14:textId="70555144"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68 762 030</w:t>
            </w:r>
          </w:p>
        </w:tc>
        <w:tc>
          <w:tcPr>
            <w:tcW w:w="510" w:type="pct"/>
            <w:tcBorders>
              <w:top w:val="nil"/>
              <w:left w:val="nil"/>
              <w:bottom w:val="nil"/>
              <w:right w:val="nil"/>
            </w:tcBorders>
            <w:shd w:val="clear" w:color="auto" w:fill="auto"/>
            <w:noWrap/>
            <w:vAlign w:val="center"/>
            <w:hideMark/>
          </w:tcPr>
          <w:p w14:paraId="1EDD6D69" w14:textId="01BC6816"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71 560 965</w:t>
            </w:r>
          </w:p>
        </w:tc>
        <w:tc>
          <w:tcPr>
            <w:tcW w:w="510" w:type="pct"/>
            <w:tcBorders>
              <w:top w:val="nil"/>
              <w:left w:val="nil"/>
              <w:bottom w:val="nil"/>
              <w:right w:val="nil"/>
            </w:tcBorders>
            <w:shd w:val="clear" w:color="auto" w:fill="auto"/>
            <w:noWrap/>
            <w:vAlign w:val="center"/>
          </w:tcPr>
          <w:p w14:paraId="2FBB12A9" w14:textId="5BB50CD4"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75 817 666</w:t>
            </w:r>
          </w:p>
        </w:tc>
        <w:tc>
          <w:tcPr>
            <w:tcW w:w="510" w:type="pct"/>
            <w:tcBorders>
              <w:top w:val="nil"/>
              <w:left w:val="nil"/>
              <w:bottom w:val="nil"/>
              <w:right w:val="nil"/>
            </w:tcBorders>
            <w:shd w:val="clear" w:color="000000" w:fill="D9D9D9"/>
            <w:noWrap/>
            <w:vAlign w:val="bottom"/>
          </w:tcPr>
          <w:p w14:paraId="36C7BC1B" w14:textId="7144AACF"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77 447 083</w:t>
            </w:r>
          </w:p>
        </w:tc>
        <w:tc>
          <w:tcPr>
            <w:tcW w:w="500" w:type="pct"/>
            <w:tcBorders>
              <w:top w:val="nil"/>
              <w:left w:val="nil"/>
              <w:bottom w:val="nil"/>
              <w:right w:val="nil"/>
            </w:tcBorders>
            <w:shd w:val="clear" w:color="auto" w:fill="auto"/>
            <w:noWrap/>
            <w:vAlign w:val="center"/>
          </w:tcPr>
          <w:p w14:paraId="27882210" w14:textId="0B3E5F3A"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79 807 997</w:t>
            </w:r>
          </w:p>
        </w:tc>
        <w:tc>
          <w:tcPr>
            <w:tcW w:w="509" w:type="pct"/>
            <w:tcBorders>
              <w:top w:val="nil"/>
              <w:left w:val="nil"/>
              <w:bottom w:val="nil"/>
              <w:right w:val="nil"/>
            </w:tcBorders>
            <w:shd w:val="clear" w:color="auto" w:fill="auto"/>
            <w:noWrap/>
            <w:vAlign w:val="center"/>
          </w:tcPr>
          <w:p w14:paraId="2C8F99E1" w14:textId="613967C0"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81 796 789</w:t>
            </w:r>
          </w:p>
        </w:tc>
      </w:tr>
      <w:tr w:rsidR="00382246" w:rsidRPr="008A42D5" w14:paraId="0424E05B" w14:textId="77777777" w:rsidTr="001D62C0">
        <w:trPr>
          <w:trHeight w:val="290"/>
        </w:trPr>
        <w:tc>
          <w:tcPr>
            <w:tcW w:w="1419" w:type="pct"/>
            <w:tcBorders>
              <w:top w:val="nil"/>
              <w:left w:val="nil"/>
              <w:bottom w:val="nil"/>
              <w:right w:val="nil"/>
            </w:tcBorders>
            <w:shd w:val="clear" w:color="auto" w:fill="auto"/>
            <w:noWrap/>
            <w:vAlign w:val="center"/>
            <w:hideMark/>
          </w:tcPr>
          <w:p w14:paraId="0870B9AC" w14:textId="77777777" w:rsidR="00382246" w:rsidRPr="008A42D5" w:rsidRDefault="00382246" w:rsidP="00382246">
            <w:pPr>
              <w:spacing w:after="0" w:line="240" w:lineRule="auto"/>
              <w:rPr>
                <w:rFonts w:ascii="Calibri" w:eastAsia="Times New Roman" w:hAnsi="Calibri" w:cs="Calibri"/>
                <w:color w:val="000000"/>
                <w:sz w:val="16"/>
                <w:szCs w:val="16"/>
                <w:lang w:eastAsia="sk-SK"/>
              </w:rPr>
            </w:pPr>
            <w:r w:rsidRPr="008A42D5">
              <w:rPr>
                <w:rFonts w:ascii="Calibri" w:eastAsia="Times New Roman" w:hAnsi="Calibri" w:cs="Calibri"/>
                <w:color w:val="000000"/>
                <w:sz w:val="16"/>
                <w:szCs w:val="16"/>
                <w:lang w:eastAsia="sk-SK"/>
              </w:rPr>
              <w:t>620 - Poistné do poisťovní</w:t>
            </w:r>
          </w:p>
        </w:tc>
        <w:tc>
          <w:tcPr>
            <w:tcW w:w="521" w:type="pct"/>
            <w:tcBorders>
              <w:top w:val="nil"/>
              <w:left w:val="nil"/>
              <w:bottom w:val="nil"/>
              <w:right w:val="nil"/>
            </w:tcBorders>
            <w:vAlign w:val="center"/>
          </w:tcPr>
          <w:p w14:paraId="72F57518" w14:textId="3C0C5A13" w:rsidR="00382246" w:rsidRDefault="00382246" w:rsidP="00382246">
            <w:pPr>
              <w:spacing w:after="0" w:line="240" w:lineRule="auto"/>
              <w:jc w:val="right"/>
              <w:rPr>
                <w:rFonts w:ascii="Calibri" w:hAnsi="Calibri" w:cs="Calibri"/>
                <w:color w:val="000000"/>
                <w:sz w:val="18"/>
                <w:szCs w:val="18"/>
              </w:rPr>
            </w:pPr>
            <w:r>
              <w:rPr>
                <w:rFonts w:ascii="Calibri" w:hAnsi="Calibri" w:cs="Calibri"/>
                <w:color w:val="000000"/>
                <w:sz w:val="18"/>
                <w:szCs w:val="18"/>
              </w:rPr>
              <w:t>22 826 035</w:t>
            </w:r>
          </w:p>
        </w:tc>
        <w:tc>
          <w:tcPr>
            <w:tcW w:w="521" w:type="pct"/>
            <w:tcBorders>
              <w:top w:val="nil"/>
              <w:left w:val="nil"/>
              <w:bottom w:val="nil"/>
              <w:right w:val="nil"/>
            </w:tcBorders>
            <w:shd w:val="clear" w:color="auto" w:fill="auto"/>
            <w:noWrap/>
            <w:vAlign w:val="center"/>
          </w:tcPr>
          <w:p w14:paraId="678FA478" w14:textId="2B31C3F1"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25 249 214</w:t>
            </w:r>
          </w:p>
        </w:tc>
        <w:tc>
          <w:tcPr>
            <w:tcW w:w="510" w:type="pct"/>
            <w:tcBorders>
              <w:top w:val="nil"/>
              <w:left w:val="nil"/>
              <w:bottom w:val="nil"/>
              <w:right w:val="nil"/>
            </w:tcBorders>
            <w:shd w:val="clear" w:color="auto" w:fill="auto"/>
            <w:noWrap/>
            <w:vAlign w:val="center"/>
            <w:hideMark/>
          </w:tcPr>
          <w:p w14:paraId="42D8A154" w14:textId="642B68EA"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26 032 577</w:t>
            </w:r>
          </w:p>
        </w:tc>
        <w:tc>
          <w:tcPr>
            <w:tcW w:w="510" w:type="pct"/>
            <w:tcBorders>
              <w:top w:val="nil"/>
              <w:left w:val="nil"/>
              <w:bottom w:val="nil"/>
              <w:right w:val="nil"/>
            </w:tcBorders>
            <w:shd w:val="clear" w:color="auto" w:fill="auto"/>
            <w:noWrap/>
            <w:vAlign w:val="center"/>
          </w:tcPr>
          <w:p w14:paraId="0BB1FA05" w14:textId="62957BD9"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26 965 664</w:t>
            </w:r>
          </w:p>
        </w:tc>
        <w:tc>
          <w:tcPr>
            <w:tcW w:w="510" w:type="pct"/>
            <w:tcBorders>
              <w:top w:val="nil"/>
              <w:left w:val="nil"/>
              <w:bottom w:val="nil"/>
              <w:right w:val="nil"/>
            </w:tcBorders>
            <w:shd w:val="clear" w:color="000000" w:fill="D9D9D9"/>
            <w:noWrap/>
            <w:vAlign w:val="bottom"/>
          </w:tcPr>
          <w:p w14:paraId="45D157E0" w14:textId="7560F8E9"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28 936 410</w:t>
            </w:r>
          </w:p>
        </w:tc>
        <w:tc>
          <w:tcPr>
            <w:tcW w:w="500" w:type="pct"/>
            <w:tcBorders>
              <w:top w:val="nil"/>
              <w:left w:val="nil"/>
              <w:bottom w:val="nil"/>
              <w:right w:val="nil"/>
            </w:tcBorders>
            <w:shd w:val="clear" w:color="auto" w:fill="auto"/>
            <w:noWrap/>
            <w:vAlign w:val="center"/>
          </w:tcPr>
          <w:p w14:paraId="0B24FFD9" w14:textId="3B64ECF0"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29 586 558</w:t>
            </w:r>
          </w:p>
        </w:tc>
        <w:tc>
          <w:tcPr>
            <w:tcW w:w="509" w:type="pct"/>
            <w:tcBorders>
              <w:top w:val="nil"/>
              <w:left w:val="nil"/>
              <w:bottom w:val="nil"/>
              <w:right w:val="nil"/>
            </w:tcBorders>
            <w:shd w:val="clear" w:color="auto" w:fill="auto"/>
            <w:noWrap/>
            <w:vAlign w:val="center"/>
          </w:tcPr>
          <w:p w14:paraId="2577E8A6" w14:textId="71E4A740"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30 005 484</w:t>
            </w:r>
          </w:p>
        </w:tc>
      </w:tr>
      <w:tr w:rsidR="00382246" w:rsidRPr="008A42D5" w14:paraId="39FA613D" w14:textId="77777777" w:rsidTr="001D62C0">
        <w:trPr>
          <w:trHeight w:val="290"/>
        </w:trPr>
        <w:tc>
          <w:tcPr>
            <w:tcW w:w="1419" w:type="pct"/>
            <w:tcBorders>
              <w:top w:val="nil"/>
              <w:left w:val="nil"/>
              <w:bottom w:val="nil"/>
              <w:right w:val="nil"/>
            </w:tcBorders>
            <w:shd w:val="clear" w:color="auto" w:fill="auto"/>
            <w:noWrap/>
            <w:vAlign w:val="center"/>
            <w:hideMark/>
          </w:tcPr>
          <w:p w14:paraId="15BFB171" w14:textId="77777777" w:rsidR="00382246" w:rsidRPr="008A42D5" w:rsidRDefault="00382246" w:rsidP="00382246">
            <w:pPr>
              <w:spacing w:after="0" w:line="240" w:lineRule="auto"/>
              <w:rPr>
                <w:rFonts w:ascii="Calibri" w:eastAsia="Times New Roman" w:hAnsi="Calibri" w:cs="Calibri"/>
                <w:color w:val="000000"/>
                <w:sz w:val="16"/>
                <w:szCs w:val="16"/>
                <w:lang w:eastAsia="sk-SK"/>
              </w:rPr>
            </w:pPr>
            <w:r w:rsidRPr="008A42D5">
              <w:rPr>
                <w:rFonts w:ascii="Calibri" w:eastAsia="Times New Roman" w:hAnsi="Calibri" w:cs="Calibri"/>
                <w:color w:val="000000"/>
                <w:sz w:val="16"/>
                <w:szCs w:val="16"/>
                <w:lang w:eastAsia="sk-SK"/>
              </w:rPr>
              <w:t>630 - Tovary a služby</w:t>
            </w:r>
          </w:p>
        </w:tc>
        <w:tc>
          <w:tcPr>
            <w:tcW w:w="521" w:type="pct"/>
            <w:tcBorders>
              <w:top w:val="nil"/>
              <w:left w:val="nil"/>
              <w:bottom w:val="nil"/>
              <w:right w:val="nil"/>
            </w:tcBorders>
            <w:vAlign w:val="center"/>
          </w:tcPr>
          <w:p w14:paraId="28606CD5" w14:textId="1D959BAC" w:rsidR="00382246" w:rsidRDefault="00382246" w:rsidP="00382246">
            <w:pPr>
              <w:spacing w:after="0" w:line="240" w:lineRule="auto"/>
              <w:jc w:val="right"/>
              <w:rPr>
                <w:rFonts w:ascii="Calibri" w:hAnsi="Calibri" w:cs="Calibri"/>
                <w:color w:val="000000"/>
                <w:sz w:val="18"/>
                <w:szCs w:val="18"/>
              </w:rPr>
            </w:pPr>
            <w:r>
              <w:rPr>
                <w:rFonts w:ascii="Calibri" w:hAnsi="Calibri" w:cs="Calibri"/>
                <w:color w:val="000000"/>
                <w:sz w:val="18"/>
                <w:szCs w:val="18"/>
              </w:rPr>
              <w:t>29 488 938</w:t>
            </w:r>
          </w:p>
        </w:tc>
        <w:tc>
          <w:tcPr>
            <w:tcW w:w="521" w:type="pct"/>
            <w:tcBorders>
              <w:top w:val="nil"/>
              <w:left w:val="nil"/>
              <w:bottom w:val="nil"/>
              <w:right w:val="nil"/>
            </w:tcBorders>
            <w:shd w:val="clear" w:color="auto" w:fill="auto"/>
            <w:noWrap/>
            <w:vAlign w:val="center"/>
          </w:tcPr>
          <w:p w14:paraId="7607003C" w14:textId="022C89DA"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36 807 701</w:t>
            </w:r>
          </w:p>
        </w:tc>
        <w:tc>
          <w:tcPr>
            <w:tcW w:w="510" w:type="pct"/>
            <w:tcBorders>
              <w:top w:val="nil"/>
              <w:left w:val="nil"/>
              <w:bottom w:val="nil"/>
              <w:right w:val="nil"/>
            </w:tcBorders>
            <w:shd w:val="clear" w:color="auto" w:fill="auto"/>
            <w:noWrap/>
            <w:vAlign w:val="center"/>
            <w:hideMark/>
          </w:tcPr>
          <w:p w14:paraId="082C8691" w14:textId="03E04D18"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36 106 717</w:t>
            </w:r>
          </w:p>
        </w:tc>
        <w:tc>
          <w:tcPr>
            <w:tcW w:w="510" w:type="pct"/>
            <w:tcBorders>
              <w:top w:val="nil"/>
              <w:left w:val="nil"/>
              <w:bottom w:val="nil"/>
              <w:right w:val="nil"/>
            </w:tcBorders>
            <w:shd w:val="clear" w:color="auto" w:fill="auto"/>
            <w:noWrap/>
            <w:vAlign w:val="center"/>
          </w:tcPr>
          <w:p w14:paraId="2F331E53" w14:textId="717C9B82"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39 613 409</w:t>
            </w:r>
          </w:p>
        </w:tc>
        <w:tc>
          <w:tcPr>
            <w:tcW w:w="510" w:type="pct"/>
            <w:tcBorders>
              <w:top w:val="nil"/>
              <w:left w:val="nil"/>
              <w:bottom w:val="nil"/>
              <w:right w:val="nil"/>
            </w:tcBorders>
            <w:shd w:val="clear" w:color="000000" w:fill="D9D9D9"/>
            <w:noWrap/>
            <w:vAlign w:val="bottom"/>
          </w:tcPr>
          <w:p w14:paraId="571F3217" w14:textId="5CC07C4A"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39 223 203</w:t>
            </w:r>
          </w:p>
        </w:tc>
        <w:tc>
          <w:tcPr>
            <w:tcW w:w="500" w:type="pct"/>
            <w:tcBorders>
              <w:top w:val="nil"/>
              <w:left w:val="nil"/>
              <w:bottom w:val="nil"/>
              <w:right w:val="nil"/>
            </w:tcBorders>
            <w:shd w:val="clear" w:color="auto" w:fill="auto"/>
            <w:noWrap/>
            <w:vAlign w:val="center"/>
          </w:tcPr>
          <w:p w14:paraId="62D17153" w14:textId="4D65DC2F"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39 532 671</w:t>
            </w:r>
          </w:p>
        </w:tc>
        <w:tc>
          <w:tcPr>
            <w:tcW w:w="509" w:type="pct"/>
            <w:tcBorders>
              <w:top w:val="nil"/>
              <w:left w:val="nil"/>
              <w:bottom w:val="nil"/>
              <w:right w:val="nil"/>
            </w:tcBorders>
            <w:shd w:val="clear" w:color="auto" w:fill="auto"/>
            <w:noWrap/>
            <w:vAlign w:val="center"/>
          </w:tcPr>
          <w:p w14:paraId="17F5563F" w14:textId="036D9E40"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41 545 482</w:t>
            </w:r>
          </w:p>
        </w:tc>
      </w:tr>
      <w:tr w:rsidR="00382246" w:rsidRPr="008A42D5" w14:paraId="497CD84B" w14:textId="77777777" w:rsidTr="001D62C0">
        <w:trPr>
          <w:trHeight w:val="290"/>
        </w:trPr>
        <w:tc>
          <w:tcPr>
            <w:tcW w:w="1419" w:type="pct"/>
            <w:tcBorders>
              <w:top w:val="nil"/>
              <w:left w:val="nil"/>
              <w:bottom w:val="nil"/>
              <w:right w:val="nil"/>
            </w:tcBorders>
            <w:shd w:val="clear" w:color="auto" w:fill="auto"/>
            <w:noWrap/>
            <w:vAlign w:val="center"/>
            <w:hideMark/>
          </w:tcPr>
          <w:p w14:paraId="55713D65" w14:textId="77777777" w:rsidR="00382246" w:rsidRPr="008A42D5" w:rsidRDefault="00382246" w:rsidP="00382246">
            <w:pPr>
              <w:spacing w:after="0" w:line="240" w:lineRule="auto"/>
              <w:rPr>
                <w:rFonts w:ascii="Calibri" w:eastAsia="Times New Roman" w:hAnsi="Calibri" w:cs="Calibri"/>
                <w:color w:val="000000"/>
                <w:sz w:val="16"/>
                <w:szCs w:val="16"/>
                <w:lang w:eastAsia="sk-SK"/>
              </w:rPr>
            </w:pPr>
            <w:r w:rsidRPr="008A42D5">
              <w:rPr>
                <w:rFonts w:ascii="Calibri" w:eastAsia="Times New Roman" w:hAnsi="Calibri" w:cs="Calibri"/>
                <w:color w:val="000000"/>
                <w:sz w:val="16"/>
                <w:szCs w:val="16"/>
                <w:lang w:eastAsia="sk-SK"/>
              </w:rPr>
              <w:t>640 - Bežné transfery</w:t>
            </w:r>
          </w:p>
        </w:tc>
        <w:tc>
          <w:tcPr>
            <w:tcW w:w="521" w:type="pct"/>
            <w:tcBorders>
              <w:top w:val="nil"/>
              <w:left w:val="nil"/>
              <w:bottom w:val="nil"/>
              <w:right w:val="nil"/>
            </w:tcBorders>
            <w:vAlign w:val="center"/>
          </w:tcPr>
          <w:p w14:paraId="1538C7D7" w14:textId="420BA035" w:rsidR="00382246" w:rsidRDefault="00382246" w:rsidP="00382246">
            <w:pPr>
              <w:spacing w:after="0" w:line="240" w:lineRule="auto"/>
              <w:jc w:val="right"/>
              <w:rPr>
                <w:rFonts w:ascii="Calibri" w:hAnsi="Calibri" w:cs="Calibri"/>
                <w:color w:val="000000"/>
                <w:sz w:val="18"/>
                <w:szCs w:val="18"/>
              </w:rPr>
            </w:pPr>
            <w:r>
              <w:rPr>
                <w:rFonts w:ascii="Calibri" w:hAnsi="Calibri" w:cs="Calibri"/>
                <w:color w:val="000000"/>
                <w:sz w:val="18"/>
                <w:szCs w:val="18"/>
              </w:rPr>
              <w:t>71 367 587</w:t>
            </w:r>
          </w:p>
        </w:tc>
        <w:tc>
          <w:tcPr>
            <w:tcW w:w="521" w:type="pct"/>
            <w:tcBorders>
              <w:top w:val="nil"/>
              <w:left w:val="nil"/>
              <w:bottom w:val="nil"/>
              <w:right w:val="nil"/>
            </w:tcBorders>
            <w:shd w:val="clear" w:color="auto" w:fill="auto"/>
            <w:noWrap/>
            <w:vAlign w:val="center"/>
          </w:tcPr>
          <w:p w14:paraId="744D3C88" w14:textId="58BE80DB"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74 448 122</w:t>
            </w:r>
          </w:p>
        </w:tc>
        <w:tc>
          <w:tcPr>
            <w:tcW w:w="510" w:type="pct"/>
            <w:tcBorders>
              <w:top w:val="nil"/>
              <w:left w:val="nil"/>
              <w:bottom w:val="nil"/>
              <w:right w:val="nil"/>
            </w:tcBorders>
            <w:shd w:val="clear" w:color="auto" w:fill="auto"/>
            <w:noWrap/>
            <w:vAlign w:val="center"/>
            <w:hideMark/>
          </w:tcPr>
          <w:p w14:paraId="0205692B" w14:textId="13924074"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85 723 169</w:t>
            </w:r>
          </w:p>
        </w:tc>
        <w:tc>
          <w:tcPr>
            <w:tcW w:w="510" w:type="pct"/>
            <w:tcBorders>
              <w:top w:val="nil"/>
              <w:left w:val="nil"/>
              <w:bottom w:val="nil"/>
              <w:right w:val="nil"/>
            </w:tcBorders>
            <w:shd w:val="clear" w:color="auto" w:fill="auto"/>
            <w:noWrap/>
            <w:vAlign w:val="center"/>
          </w:tcPr>
          <w:p w14:paraId="24A04561" w14:textId="06917A0D"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83 730 752</w:t>
            </w:r>
          </w:p>
        </w:tc>
        <w:tc>
          <w:tcPr>
            <w:tcW w:w="510" w:type="pct"/>
            <w:tcBorders>
              <w:top w:val="nil"/>
              <w:left w:val="nil"/>
              <w:bottom w:val="nil"/>
              <w:right w:val="nil"/>
            </w:tcBorders>
            <w:shd w:val="clear" w:color="000000" w:fill="D9D9D9"/>
            <w:noWrap/>
            <w:vAlign w:val="bottom"/>
          </w:tcPr>
          <w:p w14:paraId="33925AE8" w14:textId="75E85731"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92 926 650</w:t>
            </w:r>
          </w:p>
        </w:tc>
        <w:tc>
          <w:tcPr>
            <w:tcW w:w="500" w:type="pct"/>
            <w:tcBorders>
              <w:top w:val="nil"/>
              <w:left w:val="nil"/>
              <w:bottom w:val="nil"/>
              <w:right w:val="nil"/>
            </w:tcBorders>
            <w:shd w:val="clear" w:color="auto" w:fill="auto"/>
            <w:noWrap/>
            <w:vAlign w:val="center"/>
          </w:tcPr>
          <w:p w14:paraId="10B63766" w14:textId="023316C7"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95 521 489</w:t>
            </w:r>
          </w:p>
        </w:tc>
        <w:tc>
          <w:tcPr>
            <w:tcW w:w="509" w:type="pct"/>
            <w:tcBorders>
              <w:top w:val="nil"/>
              <w:left w:val="nil"/>
              <w:bottom w:val="nil"/>
              <w:right w:val="nil"/>
            </w:tcBorders>
            <w:shd w:val="clear" w:color="auto" w:fill="auto"/>
            <w:noWrap/>
            <w:vAlign w:val="center"/>
          </w:tcPr>
          <w:p w14:paraId="3977F19D" w14:textId="220E8CC3"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99 663 965</w:t>
            </w:r>
          </w:p>
        </w:tc>
      </w:tr>
      <w:tr w:rsidR="00382246" w:rsidRPr="008A42D5" w14:paraId="66B57221" w14:textId="77777777" w:rsidTr="001D62C0">
        <w:trPr>
          <w:trHeight w:val="290"/>
        </w:trPr>
        <w:tc>
          <w:tcPr>
            <w:tcW w:w="1419" w:type="pct"/>
            <w:tcBorders>
              <w:top w:val="nil"/>
              <w:left w:val="nil"/>
              <w:bottom w:val="nil"/>
              <w:right w:val="nil"/>
            </w:tcBorders>
            <w:shd w:val="clear" w:color="auto" w:fill="auto"/>
            <w:noWrap/>
            <w:vAlign w:val="center"/>
            <w:hideMark/>
          </w:tcPr>
          <w:p w14:paraId="5582A14B" w14:textId="77777777" w:rsidR="00382246" w:rsidRPr="008A42D5" w:rsidRDefault="00382246" w:rsidP="00382246">
            <w:pPr>
              <w:spacing w:after="0" w:line="240" w:lineRule="auto"/>
              <w:rPr>
                <w:rFonts w:ascii="Calibri" w:eastAsia="Times New Roman" w:hAnsi="Calibri" w:cs="Calibri"/>
                <w:color w:val="000000"/>
                <w:sz w:val="16"/>
                <w:szCs w:val="16"/>
                <w:lang w:eastAsia="sk-SK"/>
              </w:rPr>
            </w:pPr>
            <w:r w:rsidRPr="008A42D5">
              <w:rPr>
                <w:rFonts w:ascii="Calibri" w:eastAsia="Times New Roman" w:hAnsi="Calibri" w:cs="Calibri"/>
                <w:color w:val="000000"/>
                <w:sz w:val="16"/>
                <w:szCs w:val="16"/>
                <w:lang w:eastAsia="sk-SK"/>
              </w:rPr>
              <w:t xml:space="preserve">650 - Splácanie  úrokov </w:t>
            </w:r>
          </w:p>
        </w:tc>
        <w:tc>
          <w:tcPr>
            <w:tcW w:w="521" w:type="pct"/>
            <w:tcBorders>
              <w:top w:val="nil"/>
              <w:left w:val="nil"/>
              <w:bottom w:val="nil"/>
              <w:right w:val="nil"/>
            </w:tcBorders>
            <w:vAlign w:val="center"/>
          </w:tcPr>
          <w:p w14:paraId="3476910D" w14:textId="268D1EC4" w:rsidR="00382246" w:rsidRDefault="00382246" w:rsidP="00382246">
            <w:pPr>
              <w:spacing w:after="0" w:line="240" w:lineRule="auto"/>
              <w:jc w:val="right"/>
              <w:rPr>
                <w:rFonts w:ascii="Calibri" w:hAnsi="Calibri" w:cs="Calibri"/>
                <w:color w:val="000000"/>
                <w:sz w:val="18"/>
                <w:szCs w:val="18"/>
              </w:rPr>
            </w:pPr>
            <w:r>
              <w:rPr>
                <w:rFonts w:ascii="Calibri" w:hAnsi="Calibri" w:cs="Calibri"/>
                <w:color w:val="000000"/>
                <w:sz w:val="18"/>
                <w:szCs w:val="18"/>
              </w:rPr>
              <w:t>123 952</w:t>
            </w:r>
          </w:p>
        </w:tc>
        <w:tc>
          <w:tcPr>
            <w:tcW w:w="521" w:type="pct"/>
            <w:tcBorders>
              <w:top w:val="nil"/>
              <w:left w:val="nil"/>
              <w:bottom w:val="nil"/>
              <w:right w:val="nil"/>
            </w:tcBorders>
            <w:shd w:val="clear" w:color="auto" w:fill="auto"/>
            <w:noWrap/>
            <w:vAlign w:val="center"/>
          </w:tcPr>
          <w:p w14:paraId="0F72913E" w14:textId="0F446EEB"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1 465 370</w:t>
            </w:r>
          </w:p>
        </w:tc>
        <w:tc>
          <w:tcPr>
            <w:tcW w:w="510" w:type="pct"/>
            <w:tcBorders>
              <w:top w:val="nil"/>
              <w:left w:val="nil"/>
              <w:bottom w:val="nil"/>
              <w:right w:val="nil"/>
            </w:tcBorders>
            <w:shd w:val="clear" w:color="auto" w:fill="auto"/>
            <w:noWrap/>
            <w:vAlign w:val="center"/>
            <w:hideMark/>
          </w:tcPr>
          <w:p w14:paraId="1A15584E" w14:textId="2E7ADCE6"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2 599 000</w:t>
            </w:r>
          </w:p>
        </w:tc>
        <w:tc>
          <w:tcPr>
            <w:tcW w:w="510" w:type="pct"/>
            <w:tcBorders>
              <w:top w:val="nil"/>
              <w:left w:val="nil"/>
              <w:bottom w:val="nil"/>
              <w:right w:val="nil"/>
            </w:tcBorders>
            <w:shd w:val="clear" w:color="auto" w:fill="auto"/>
            <w:noWrap/>
            <w:vAlign w:val="center"/>
          </w:tcPr>
          <w:p w14:paraId="3FE96853" w14:textId="56972FFC"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2 023 000</w:t>
            </w:r>
          </w:p>
        </w:tc>
        <w:tc>
          <w:tcPr>
            <w:tcW w:w="510" w:type="pct"/>
            <w:tcBorders>
              <w:top w:val="nil"/>
              <w:left w:val="nil"/>
              <w:bottom w:val="nil"/>
              <w:right w:val="nil"/>
            </w:tcBorders>
            <w:shd w:val="clear" w:color="000000" w:fill="D9D9D9"/>
            <w:noWrap/>
            <w:vAlign w:val="bottom"/>
          </w:tcPr>
          <w:p w14:paraId="785416A2" w14:textId="7942750A"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1 950 000</w:t>
            </w:r>
          </w:p>
        </w:tc>
        <w:tc>
          <w:tcPr>
            <w:tcW w:w="500" w:type="pct"/>
            <w:tcBorders>
              <w:top w:val="nil"/>
              <w:left w:val="nil"/>
              <w:bottom w:val="nil"/>
              <w:right w:val="nil"/>
            </w:tcBorders>
            <w:shd w:val="clear" w:color="auto" w:fill="auto"/>
            <w:noWrap/>
            <w:vAlign w:val="center"/>
          </w:tcPr>
          <w:p w14:paraId="4CF546ED" w14:textId="2ED0607C"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1 900 000</w:t>
            </w:r>
          </w:p>
        </w:tc>
        <w:tc>
          <w:tcPr>
            <w:tcW w:w="509" w:type="pct"/>
            <w:tcBorders>
              <w:top w:val="nil"/>
              <w:left w:val="nil"/>
              <w:bottom w:val="nil"/>
              <w:right w:val="nil"/>
            </w:tcBorders>
            <w:shd w:val="clear" w:color="auto" w:fill="auto"/>
            <w:noWrap/>
            <w:vAlign w:val="center"/>
          </w:tcPr>
          <w:p w14:paraId="78AED886" w14:textId="55BA2B0B"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1 840 000</w:t>
            </w:r>
          </w:p>
        </w:tc>
      </w:tr>
      <w:tr w:rsidR="00382246" w:rsidRPr="008A42D5" w14:paraId="5A9380DB" w14:textId="77777777" w:rsidTr="001D62C0">
        <w:trPr>
          <w:trHeight w:val="290"/>
        </w:trPr>
        <w:tc>
          <w:tcPr>
            <w:tcW w:w="1419" w:type="pct"/>
            <w:tcBorders>
              <w:top w:val="nil"/>
              <w:left w:val="nil"/>
              <w:bottom w:val="nil"/>
              <w:right w:val="nil"/>
            </w:tcBorders>
            <w:shd w:val="clear" w:color="000000" w:fill="8DB4E2"/>
            <w:noWrap/>
            <w:vAlign w:val="center"/>
            <w:hideMark/>
          </w:tcPr>
          <w:p w14:paraId="59E85A17" w14:textId="77777777" w:rsidR="00382246" w:rsidRPr="008A42D5" w:rsidRDefault="00382246" w:rsidP="00382246">
            <w:pPr>
              <w:spacing w:after="0" w:line="240" w:lineRule="auto"/>
              <w:rPr>
                <w:rFonts w:ascii="Calibri" w:eastAsia="Times New Roman" w:hAnsi="Calibri" w:cs="Calibri"/>
                <w:b/>
                <w:bCs/>
                <w:color w:val="000000"/>
                <w:sz w:val="16"/>
                <w:szCs w:val="16"/>
                <w:lang w:eastAsia="sk-SK"/>
              </w:rPr>
            </w:pPr>
            <w:r w:rsidRPr="008A42D5">
              <w:rPr>
                <w:rFonts w:ascii="Calibri" w:eastAsia="Times New Roman" w:hAnsi="Calibri" w:cs="Calibri"/>
                <w:b/>
                <w:bCs/>
                <w:color w:val="000000"/>
                <w:sz w:val="16"/>
                <w:szCs w:val="16"/>
                <w:lang w:eastAsia="sk-SK"/>
              </w:rPr>
              <w:t>KAPITÁLOVÉ VÝDAVKY</w:t>
            </w:r>
          </w:p>
        </w:tc>
        <w:tc>
          <w:tcPr>
            <w:tcW w:w="521" w:type="pct"/>
            <w:tcBorders>
              <w:top w:val="nil"/>
              <w:left w:val="nil"/>
              <w:bottom w:val="nil"/>
              <w:right w:val="nil"/>
            </w:tcBorders>
            <w:shd w:val="clear" w:color="000000" w:fill="8DB4E2"/>
            <w:vAlign w:val="center"/>
          </w:tcPr>
          <w:p w14:paraId="078E21EA" w14:textId="70043D92" w:rsidR="00382246" w:rsidRDefault="00382246" w:rsidP="00382246">
            <w:pPr>
              <w:spacing w:after="0" w:line="240" w:lineRule="auto"/>
              <w:jc w:val="right"/>
              <w:rPr>
                <w:rFonts w:ascii="Calibri" w:hAnsi="Calibri" w:cs="Calibri"/>
                <w:b/>
                <w:bCs/>
                <w:color w:val="000000"/>
                <w:sz w:val="18"/>
                <w:szCs w:val="18"/>
              </w:rPr>
            </w:pPr>
            <w:r>
              <w:rPr>
                <w:rFonts w:ascii="Calibri" w:hAnsi="Calibri" w:cs="Calibri"/>
                <w:b/>
                <w:bCs/>
                <w:color w:val="000000"/>
                <w:sz w:val="18"/>
                <w:szCs w:val="18"/>
              </w:rPr>
              <w:t>48 813 056</w:t>
            </w:r>
          </w:p>
        </w:tc>
        <w:tc>
          <w:tcPr>
            <w:tcW w:w="521" w:type="pct"/>
            <w:tcBorders>
              <w:top w:val="nil"/>
              <w:left w:val="nil"/>
              <w:bottom w:val="nil"/>
              <w:right w:val="nil"/>
            </w:tcBorders>
            <w:shd w:val="clear" w:color="000000" w:fill="8DB4E2"/>
            <w:noWrap/>
            <w:vAlign w:val="center"/>
          </w:tcPr>
          <w:p w14:paraId="41D51918" w14:textId="390F3A85"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51 806 513</w:t>
            </w:r>
          </w:p>
        </w:tc>
        <w:tc>
          <w:tcPr>
            <w:tcW w:w="510" w:type="pct"/>
            <w:tcBorders>
              <w:top w:val="nil"/>
              <w:left w:val="nil"/>
              <w:bottom w:val="nil"/>
              <w:right w:val="nil"/>
            </w:tcBorders>
            <w:shd w:val="clear" w:color="000000" w:fill="8DB4E2"/>
            <w:noWrap/>
            <w:vAlign w:val="center"/>
            <w:hideMark/>
          </w:tcPr>
          <w:p w14:paraId="0BC78AE2" w14:textId="21A92247"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70 749 888</w:t>
            </w:r>
          </w:p>
        </w:tc>
        <w:tc>
          <w:tcPr>
            <w:tcW w:w="510" w:type="pct"/>
            <w:tcBorders>
              <w:top w:val="nil"/>
              <w:left w:val="nil"/>
              <w:bottom w:val="nil"/>
              <w:right w:val="nil"/>
            </w:tcBorders>
            <w:shd w:val="clear" w:color="000000" w:fill="8DB4E2"/>
            <w:noWrap/>
            <w:vAlign w:val="center"/>
          </w:tcPr>
          <w:p w14:paraId="0127BB60" w14:textId="16FF0C19"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39 254 298</w:t>
            </w:r>
          </w:p>
        </w:tc>
        <w:tc>
          <w:tcPr>
            <w:tcW w:w="510" w:type="pct"/>
            <w:tcBorders>
              <w:top w:val="nil"/>
              <w:left w:val="nil"/>
              <w:bottom w:val="nil"/>
              <w:right w:val="nil"/>
            </w:tcBorders>
            <w:shd w:val="clear" w:color="000000" w:fill="D9D9D9"/>
            <w:noWrap/>
            <w:vAlign w:val="bottom"/>
          </w:tcPr>
          <w:p w14:paraId="6C4BF8FC" w14:textId="24058415"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73 962 958</w:t>
            </w:r>
          </w:p>
        </w:tc>
        <w:tc>
          <w:tcPr>
            <w:tcW w:w="500" w:type="pct"/>
            <w:tcBorders>
              <w:top w:val="nil"/>
              <w:left w:val="nil"/>
              <w:bottom w:val="nil"/>
              <w:right w:val="nil"/>
            </w:tcBorders>
            <w:shd w:val="clear" w:color="000000" w:fill="8DB4E2"/>
            <w:noWrap/>
            <w:vAlign w:val="center"/>
          </w:tcPr>
          <w:p w14:paraId="399BD4B5" w14:textId="5BB8E5C2" w:rsidR="00382246" w:rsidRPr="008D40A0"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86 889 529</w:t>
            </w:r>
          </w:p>
        </w:tc>
        <w:tc>
          <w:tcPr>
            <w:tcW w:w="509" w:type="pct"/>
            <w:tcBorders>
              <w:top w:val="nil"/>
              <w:left w:val="nil"/>
              <w:bottom w:val="nil"/>
              <w:right w:val="nil"/>
            </w:tcBorders>
            <w:shd w:val="clear" w:color="000000" w:fill="8DB4E2"/>
            <w:noWrap/>
            <w:vAlign w:val="center"/>
          </w:tcPr>
          <w:p w14:paraId="2A3BFE32" w14:textId="120E844F" w:rsidR="00382246" w:rsidRPr="008D40A0"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96 585 627</w:t>
            </w:r>
          </w:p>
        </w:tc>
      </w:tr>
      <w:tr w:rsidR="00382246" w:rsidRPr="008A42D5" w14:paraId="14D05E62" w14:textId="77777777" w:rsidTr="001D62C0">
        <w:trPr>
          <w:trHeight w:val="290"/>
        </w:trPr>
        <w:tc>
          <w:tcPr>
            <w:tcW w:w="1419" w:type="pct"/>
            <w:tcBorders>
              <w:top w:val="nil"/>
              <w:left w:val="nil"/>
              <w:bottom w:val="nil"/>
              <w:right w:val="nil"/>
            </w:tcBorders>
            <w:shd w:val="clear" w:color="auto" w:fill="auto"/>
            <w:noWrap/>
            <w:vAlign w:val="center"/>
            <w:hideMark/>
          </w:tcPr>
          <w:p w14:paraId="67C33057" w14:textId="77777777" w:rsidR="00382246" w:rsidRPr="008A42D5" w:rsidRDefault="00382246" w:rsidP="00382246">
            <w:pPr>
              <w:spacing w:after="0" w:line="240" w:lineRule="auto"/>
              <w:rPr>
                <w:rFonts w:ascii="Calibri" w:eastAsia="Times New Roman" w:hAnsi="Calibri" w:cs="Calibri"/>
                <w:color w:val="000000"/>
                <w:sz w:val="16"/>
                <w:szCs w:val="16"/>
                <w:lang w:eastAsia="sk-SK"/>
              </w:rPr>
            </w:pPr>
            <w:r w:rsidRPr="008A42D5">
              <w:rPr>
                <w:rFonts w:ascii="Calibri" w:eastAsia="Times New Roman" w:hAnsi="Calibri" w:cs="Calibri"/>
                <w:color w:val="000000"/>
                <w:sz w:val="16"/>
                <w:szCs w:val="16"/>
                <w:lang w:eastAsia="sk-SK"/>
              </w:rPr>
              <w:t xml:space="preserve">710 - </w:t>
            </w:r>
            <w:proofErr w:type="spellStart"/>
            <w:r w:rsidRPr="008A42D5">
              <w:rPr>
                <w:rFonts w:ascii="Calibri" w:eastAsia="Times New Roman" w:hAnsi="Calibri" w:cs="Calibri"/>
                <w:color w:val="000000"/>
                <w:sz w:val="16"/>
                <w:szCs w:val="16"/>
                <w:lang w:eastAsia="sk-SK"/>
              </w:rPr>
              <w:t>Obst</w:t>
            </w:r>
            <w:proofErr w:type="spellEnd"/>
            <w:r w:rsidRPr="008A42D5">
              <w:rPr>
                <w:rFonts w:ascii="Calibri" w:eastAsia="Times New Roman" w:hAnsi="Calibri" w:cs="Calibri"/>
                <w:color w:val="000000"/>
                <w:sz w:val="16"/>
                <w:szCs w:val="16"/>
                <w:lang w:eastAsia="sk-SK"/>
              </w:rPr>
              <w:t xml:space="preserve">. </w:t>
            </w:r>
            <w:proofErr w:type="spellStart"/>
            <w:r w:rsidRPr="008A42D5">
              <w:rPr>
                <w:rFonts w:ascii="Calibri" w:eastAsia="Times New Roman" w:hAnsi="Calibri" w:cs="Calibri"/>
                <w:color w:val="000000"/>
                <w:sz w:val="16"/>
                <w:szCs w:val="16"/>
                <w:lang w:eastAsia="sk-SK"/>
              </w:rPr>
              <w:t>kapit</w:t>
            </w:r>
            <w:proofErr w:type="spellEnd"/>
            <w:r w:rsidRPr="008A42D5">
              <w:rPr>
                <w:rFonts w:ascii="Calibri" w:eastAsia="Times New Roman" w:hAnsi="Calibri" w:cs="Calibri"/>
                <w:color w:val="000000"/>
                <w:sz w:val="16"/>
                <w:szCs w:val="16"/>
                <w:lang w:eastAsia="sk-SK"/>
              </w:rPr>
              <w:t>.  aktív</w:t>
            </w:r>
          </w:p>
        </w:tc>
        <w:tc>
          <w:tcPr>
            <w:tcW w:w="521" w:type="pct"/>
            <w:tcBorders>
              <w:top w:val="nil"/>
              <w:left w:val="nil"/>
              <w:bottom w:val="nil"/>
              <w:right w:val="nil"/>
            </w:tcBorders>
            <w:vAlign w:val="center"/>
          </w:tcPr>
          <w:p w14:paraId="1060CE62" w14:textId="79280C72" w:rsidR="00382246" w:rsidRDefault="00382246" w:rsidP="00382246">
            <w:pPr>
              <w:spacing w:after="0" w:line="240" w:lineRule="auto"/>
              <w:jc w:val="right"/>
              <w:rPr>
                <w:rFonts w:ascii="Calibri" w:hAnsi="Calibri" w:cs="Calibri"/>
                <w:color w:val="000000"/>
                <w:sz w:val="18"/>
                <w:szCs w:val="18"/>
              </w:rPr>
            </w:pPr>
            <w:r>
              <w:rPr>
                <w:rFonts w:ascii="Calibri" w:hAnsi="Calibri" w:cs="Calibri"/>
                <w:color w:val="000000"/>
                <w:sz w:val="18"/>
                <w:szCs w:val="18"/>
              </w:rPr>
              <w:t>37 614 544</w:t>
            </w:r>
          </w:p>
        </w:tc>
        <w:tc>
          <w:tcPr>
            <w:tcW w:w="521" w:type="pct"/>
            <w:tcBorders>
              <w:top w:val="nil"/>
              <w:left w:val="nil"/>
              <w:bottom w:val="nil"/>
              <w:right w:val="nil"/>
            </w:tcBorders>
            <w:shd w:val="clear" w:color="auto" w:fill="auto"/>
            <w:noWrap/>
            <w:vAlign w:val="center"/>
          </w:tcPr>
          <w:p w14:paraId="46227131" w14:textId="11B70990"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43 417 842</w:t>
            </w:r>
          </w:p>
        </w:tc>
        <w:tc>
          <w:tcPr>
            <w:tcW w:w="510" w:type="pct"/>
            <w:tcBorders>
              <w:top w:val="nil"/>
              <w:left w:val="nil"/>
              <w:bottom w:val="nil"/>
              <w:right w:val="nil"/>
            </w:tcBorders>
            <w:shd w:val="clear" w:color="auto" w:fill="auto"/>
            <w:noWrap/>
            <w:vAlign w:val="center"/>
            <w:hideMark/>
          </w:tcPr>
          <w:p w14:paraId="3DA371FA" w14:textId="4EA391A2"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18 536 122</w:t>
            </w:r>
          </w:p>
        </w:tc>
        <w:tc>
          <w:tcPr>
            <w:tcW w:w="510" w:type="pct"/>
            <w:tcBorders>
              <w:top w:val="nil"/>
              <w:left w:val="nil"/>
              <w:bottom w:val="nil"/>
              <w:right w:val="nil"/>
            </w:tcBorders>
            <w:shd w:val="clear" w:color="auto" w:fill="auto"/>
            <w:noWrap/>
            <w:vAlign w:val="center"/>
          </w:tcPr>
          <w:p w14:paraId="42584D53" w14:textId="28C13DC7"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8 852 394</w:t>
            </w:r>
          </w:p>
        </w:tc>
        <w:tc>
          <w:tcPr>
            <w:tcW w:w="510" w:type="pct"/>
            <w:tcBorders>
              <w:top w:val="nil"/>
              <w:left w:val="nil"/>
              <w:bottom w:val="nil"/>
              <w:right w:val="nil"/>
            </w:tcBorders>
            <w:shd w:val="clear" w:color="000000" w:fill="D9D9D9"/>
            <w:noWrap/>
            <w:vAlign w:val="bottom"/>
          </w:tcPr>
          <w:p w14:paraId="509B4A42" w14:textId="2232E693"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37 811 989</w:t>
            </w:r>
          </w:p>
        </w:tc>
        <w:tc>
          <w:tcPr>
            <w:tcW w:w="500" w:type="pct"/>
            <w:tcBorders>
              <w:top w:val="nil"/>
              <w:left w:val="nil"/>
              <w:bottom w:val="nil"/>
              <w:right w:val="nil"/>
            </w:tcBorders>
            <w:shd w:val="clear" w:color="auto" w:fill="auto"/>
            <w:noWrap/>
            <w:vAlign w:val="center"/>
          </w:tcPr>
          <w:p w14:paraId="707CAF66" w14:textId="5894CE68" w:rsidR="00382246" w:rsidRPr="00BC0B0A"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67 549 529</w:t>
            </w:r>
          </w:p>
        </w:tc>
        <w:tc>
          <w:tcPr>
            <w:tcW w:w="509" w:type="pct"/>
            <w:tcBorders>
              <w:top w:val="nil"/>
              <w:left w:val="nil"/>
              <w:bottom w:val="nil"/>
              <w:right w:val="nil"/>
            </w:tcBorders>
            <w:shd w:val="clear" w:color="auto" w:fill="auto"/>
            <w:noWrap/>
            <w:vAlign w:val="center"/>
          </w:tcPr>
          <w:p w14:paraId="7A61CBB2" w14:textId="4A657956" w:rsidR="00382246" w:rsidRPr="00BC0B0A"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75 304 427</w:t>
            </w:r>
          </w:p>
        </w:tc>
      </w:tr>
      <w:tr w:rsidR="00382246" w:rsidRPr="008A42D5" w14:paraId="4D56C414" w14:textId="77777777" w:rsidTr="001D62C0">
        <w:trPr>
          <w:trHeight w:val="290"/>
        </w:trPr>
        <w:tc>
          <w:tcPr>
            <w:tcW w:w="1419" w:type="pct"/>
            <w:tcBorders>
              <w:top w:val="nil"/>
              <w:left w:val="nil"/>
              <w:bottom w:val="nil"/>
              <w:right w:val="nil"/>
            </w:tcBorders>
            <w:shd w:val="clear" w:color="auto" w:fill="auto"/>
            <w:noWrap/>
            <w:vAlign w:val="center"/>
            <w:hideMark/>
          </w:tcPr>
          <w:p w14:paraId="18C18CAD" w14:textId="77777777" w:rsidR="00382246" w:rsidRPr="008A42D5" w:rsidRDefault="00382246" w:rsidP="00382246">
            <w:pPr>
              <w:spacing w:after="0" w:line="240" w:lineRule="auto"/>
              <w:rPr>
                <w:rFonts w:ascii="Calibri" w:eastAsia="Times New Roman" w:hAnsi="Calibri" w:cs="Calibri"/>
                <w:color w:val="000000"/>
                <w:sz w:val="16"/>
                <w:szCs w:val="16"/>
                <w:lang w:eastAsia="sk-SK"/>
              </w:rPr>
            </w:pPr>
            <w:r w:rsidRPr="008A42D5">
              <w:rPr>
                <w:rFonts w:ascii="Calibri" w:eastAsia="Times New Roman" w:hAnsi="Calibri" w:cs="Calibri"/>
                <w:color w:val="000000"/>
                <w:sz w:val="16"/>
                <w:szCs w:val="16"/>
                <w:lang w:eastAsia="sk-SK"/>
              </w:rPr>
              <w:t>720 -  Kapitálové transfery</w:t>
            </w:r>
          </w:p>
        </w:tc>
        <w:tc>
          <w:tcPr>
            <w:tcW w:w="521" w:type="pct"/>
            <w:tcBorders>
              <w:top w:val="nil"/>
              <w:left w:val="nil"/>
              <w:bottom w:val="nil"/>
              <w:right w:val="nil"/>
            </w:tcBorders>
            <w:vAlign w:val="center"/>
          </w:tcPr>
          <w:p w14:paraId="0C53745A" w14:textId="5F6D4D54" w:rsidR="00382246" w:rsidRDefault="00382246" w:rsidP="00382246">
            <w:pPr>
              <w:spacing w:after="0" w:line="240" w:lineRule="auto"/>
              <w:jc w:val="right"/>
              <w:rPr>
                <w:rFonts w:ascii="Calibri" w:hAnsi="Calibri" w:cs="Calibri"/>
                <w:color w:val="000000"/>
                <w:sz w:val="18"/>
                <w:szCs w:val="18"/>
              </w:rPr>
            </w:pPr>
            <w:r>
              <w:rPr>
                <w:rFonts w:ascii="Calibri" w:hAnsi="Calibri" w:cs="Calibri"/>
                <w:color w:val="000000"/>
                <w:sz w:val="18"/>
                <w:szCs w:val="18"/>
              </w:rPr>
              <w:t>11 198 512</w:t>
            </w:r>
          </w:p>
        </w:tc>
        <w:tc>
          <w:tcPr>
            <w:tcW w:w="521" w:type="pct"/>
            <w:tcBorders>
              <w:top w:val="nil"/>
              <w:left w:val="nil"/>
              <w:bottom w:val="nil"/>
              <w:right w:val="nil"/>
            </w:tcBorders>
            <w:shd w:val="clear" w:color="auto" w:fill="auto"/>
            <w:noWrap/>
            <w:vAlign w:val="center"/>
          </w:tcPr>
          <w:p w14:paraId="543E8FBB" w14:textId="4B82FB27"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8 388 670</w:t>
            </w:r>
          </w:p>
        </w:tc>
        <w:tc>
          <w:tcPr>
            <w:tcW w:w="510" w:type="pct"/>
            <w:tcBorders>
              <w:top w:val="nil"/>
              <w:left w:val="nil"/>
              <w:bottom w:val="nil"/>
              <w:right w:val="nil"/>
            </w:tcBorders>
            <w:shd w:val="clear" w:color="auto" w:fill="auto"/>
            <w:noWrap/>
            <w:vAlign w:val="center"/>
            <w:hideMark/>
          </w:tcPr>
          <w:p w14:paraId="0ED792BA" w14:textId="7A66D004"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52 213 766</w:t>
            </w:r>
          </w:p>
        </w:tc>
        <w:tc>
          <w:tcPr>
            <w:tcW w:w="510" w:type="pct"/>
            <w:tcBorders>
              <w:top w:val="nil"/>
              <w:left w:val="nil"/>
              <w:bottom w:val="nil"/>
              <w:right w:val="nil"/>
            </w:tcBorders>
            <w:shd w:val="clear" w:color="auto" w:fill="auto"/>
            <w:noWrap/>
            <w:vAlign w:val="center"/>
          </w:tcPr>
          <w:p w14:paraId="7F24A5BC" w14:textId="236F824D"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30 401 904</w:t>
            </w:r>
          </w:p>
        </w:tc>
        <w:tc>
          <w:tcPr>
            <w:tcW w:w="510" w:type="pct"/>
            <w:tcBorders>
              <w:top w:val="nil"/>
              <w:left w:val="nil"/>
              <w:bottom w:val="nil"/>
              <w:right w:val="nil"/>
            </w:tcBorders>
            <w:shd w:val="clear" w:color="000000" w:fill="D9D9D9"/>
            <w:noWrap/>
            <w:vAlign w:val="bottom"/>
          </w:tcPr>
          <w:p w14:paraId="3BF71808" w14:textId="2AA1F513"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36 150 969</w:t>
            </w:r>
          </w:p>
        </w:tc>
        <w:tc>
          <w:tcPr>
            <w:tcW w:w="500" w:type="pct"/>
            <w:tcBorders>
              <w:top w:val="nil"/>
              <w:left w:val="nil"/>
              <w:bottom w:val="nil"/>
              <w:right w:val="nil"/>
            </w:tcBorders>
            <w:shd w:val="clear" w:color="auto" w:fill="auto"/>
            <w:noWrap/>
            <w:vAlign w:val="center"/>
          </w:tcPr>
          <w:p w14:paraId="1161B2C4" w14:textId="53600EFC"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19 340 000</w:t>
            </w:r>
          </w:p>
        </w:tc>
        <w:tc>
          <w:tcPr>
            <w:tcW w:w="509" w:type="pct"/>
            <w:tcBorders>
              <w:top w:val="nil"/>
              <w:left w:val="nil"/>
              <w:bottom w:val="nil"/>
              <w:right w:val="nil"/>
            </w:tcBorders>
            <w:shd w:val="clear" w:color="auto" w:fill="auto"/>
            <w:noWrap/>
            <w:vAlign w:val="center"/>
          </w:tcPr>
          <w:p w14:paraId="6C13C418" w14:textId="5342C67D"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21 281 200</w:t>
            </w:r>
          </w:p>
        </w:tc>
      </w:tr>
      <w:tr w:rsidR="00382246" w:rsidRPr="008A42D5" w14:paraId="175D299D" w14:textId="77777777" w:rsidTr="001D62C0">
        <w:trPr>
          <w:trHeight w:val="290"/>
        </w:trPr>
        <w:tc>
          <w:tcPr>
            <w:tcW w:w="1419" w:type="pct"/>
            <w:tcBorders>
              <w:top w:val="nil"/>
              <w:left w:val="nil"/>
              <w:bottom w:val="nil"/>
              <w:right w:val="nil"/>
            </w:tcBorders>
            <w:shd w:val="clear" w:color="000000" w:fill="8DB4E2"/>
            <w:noWrap/>
            <w:vAlign w:val="center"/>
            <w:hideMark/>
          </w:tcPr>
          <w:p w14:paraId="14AD1ABF" w14:textId="77777777" w:rsidR="00382246" w:rsidRPr="008A42D5" w:rsidRDefault="00382246" w:rsidP="00382246">
            <w:pPr>
              <w:spacing w:after="0" w:line="240" w:lineRule="auto"/>
              <w:rPr>
                <w:rFonts w:ascii="Calibri" w:eastAsia="Times New Roman" w:hAnsi="Calibri" w:cs="Calibri"/>
                <w:b/>
                <w:bCs/>
                <w:color w:val="000000"/>
                <w:sz w:val="16"/>
                <w:szCs w:val="16"/>
                <w:lang w:eastAsia="sk-SK"/>
              </w:rPr>
            </w:pPr>
            <w:r w:rsidRPr="008A42D5">
              <w:rPr>
                <w:rFonts w:ascii="Calibri" w:eastAsia="Times New Roman" w:hAnsi="Calibri" w:cs="Calibri"/>
                <w:b/>
                <w:bCs/>
                <w:color w:val="000000"/>
                <w:sz w:val="16"/>
                <w:szCs w:val="16"/>
                <w:lang w:eastAsia="sk-SK"/>
              </w:rPr>
              <w:t>VÝDAVKOVÉ FINANČNÉ OPERÁCIE</w:t>
            </w:r>
          </w:p>
        </w:tc>
        <w:tc>
          <w:tcPr>
            <w:tcW w:w="521" w:type="pct"/>
            <w:tcBorders>
              <w:top w:val="nil"/>
              <w:left w:val="nil"/>
              <w:bottom w:val="nil"/>
              <w:right w:val="nil"/>
            </w:tcBorders>
            <w:shd w:val="clear" w:color="000000" w:fill="8DB4E2"/>
            <w:vAlign w:val="center"/>
          </w:tcPr>
          <w:p w14:paraId="2F14544F" w14:textId="0C8DD150" w:rsidR="00382246" w:rsidRDefault="00382246" w:rsidP="00382246">
            <w:pPr>
              <w:spacing w:after="0" w:line="240" w:lineRule="auto"/>
              <w:jc w:val="right"/>
              <w:rPr>
                <w:rFonts w:ascii="Calibri" w:hAnsi="Calibri" w:cs="Calibri"/>
                <w:b/>
                <w:bCs/>
                <w:color w:val="000000"/>
                <w:sz w:val="18"/>
                <w:szCs w:val="18"/>
              </w:rPr>
            </w:pPr>
            <w:r>
              <w:rPr>
                <w:rFonts w:ascii="Calibri" w:hAnsi="Calibri" w:cs="Calibri"/>
                <w:b/>
                <w:bCs/>
                <w:color w:val="000000"/>
                <w:sz w:val="18"/>
                <w:szCs w:val="18"/>
              </w:rPr>
              <w:t>4 691 155</w:t>
            </w:r>
          </w:p>
        </w:tc>
        <w:tc>
          <w:tcPr>
            <w:tcW w:w="521" w:type="pct"/>
            <w:tcBorders>
              <w:top w:val="nil"/>
              <w:left w:val="nil"/>
              <w:bottom w:val="nil"/>
              <w:right w:val="nil"/>
            </w:tcBorders>
            <w:shd w:val="clear" w:color="000000" w:fill="8DB4E2"/>
            <w:noWrap/>
            <w:vAlign w:val="center"/>
          </w:tcPr>
          <w:p w14:paraId="4FE7BEF1" w14:textId="1A0232C4"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6 398 030</w:t>
            </w:r>
          </w:p>
        </w:tc>
        <w:tc>
          <w:tcPr>
            <w:tcW w:w="510" w:type="pct"/>
            <w:tcBorders>
              <w:top w:val="nil"/>
              <w:left w:val="nil"/>
              <w:bottom w:val="nil"/>
              <w:right w:val="nil"/>
            </w:tcBorders>
            <w:shd w:val="clear" w:color="000000" w:fill="8DB4E2"/>
            <w:noWrap/>
            <w:vAlign w:val="center"/>
            <w:hideMark/>
          </w:tcPr>
          <w:p w14:paraId="594D9A08" w14:textId="123CFFB0"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7 785 689</w:t>
            </w:r>
          </w:p>
        </w:tc>
        <w:tc>
          <w:tcPr>
            <w:tcW w:w="510" w:type="pct"/>
            <w:tcBorders>
              <w:top w:val="nil"/>
              <w:left w:val="nil"/>
              <w:bottom w:val="nil"/>
              <w:right w:val="nil"/>
            </w:tcBorders>
            <w:shd w:val="clear" w:color="000000" w:fill="8DB4E2"/>
            <w:noWrap/>
            <w:vAlign w:val="center"/>
          </w:tcPr>
          <w:p w14:paraId="111AFBE7" w14:textId="5E9005F7"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7 785 689</w:t>
            </w:r>
          </w:p>
        </w:tc>
        <w:tc>
          <w:tcPr>
            <w:tcW w:w="510" w:type="pct"/>
            <w:tcBorders>
              <w:top w:val="nil"/>
              <w:left w:val="nil"/>
              <w:bottom w:val="nil"/>
              <w:right w:val="nil"/>
            </w:tcBorders>
            <w:shd w:val="clear" w:color="000000" w:fill="D9D9D9"/>
            <w:noWrap/>
            <w:vAlign w:val="bottom"/>
          </w:tcPr>
          <w:p w14:paraId="533E7BF9" w14:textId="152ECCEE"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6 097 991</w:t>
            </w:r>
          </w:p>
        </w:tc>
        <w:tc>
          <w:tcPr>
            <w:tcW w:w="500" w:type="pct"/>
            <w:tcBorders>
              <w:top w:val="nil"/>
              <w:left w:val="nil"/>
              <w:bottom w:val="nil"/>
              <w:right w:val="nil"/>
            </w:tcBorders>
            <w:shd w:val="clear" w:color="000000" w:fill="8DB4E2"/>
            <w:noWrap/>
            <w:vAlign w:val="center"/>
          </w:tcPr>
          <w:p w14:paraId="1F26DBFF" w14:textId="5BDDB073"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12 247 119</w:t>
            </w:r>
          </w:p>
        </w:tc>
        <w:tc>
          <w:tcPr>
            <w:tcW w:w="509" w:type="pct"/>
            <w:tcBorders>
              <w:top w:val="nil"/>
              <w:left w:val="nil"/>
              <w:bottom w:val="nil"/>
              <w:right w:val="nil"/>
            </w:tcBorders>
            <w:shd w:val="clear" w:color="000000" w:fill="8DB4E2"/>
            <w:noWrap/>
            <w:vAlign w:val="center"/>
          </w:tcPr>
          <w:p w14:paraId="30D285A0" w14:textId="0C4880DF" w:rsidR="00382246" w:rsidRPr="008A42D5" w:rsidRDefault="00382246" w:rsidP="00382246">
            <w:pPr>
              <w:spacing w:after="0" w:line="240" w:lineRule="auto"/>
              <w:jc w:val="right"/>
              <w:rPr>
                <w:rFonts w:ascii="Calibri" w:eastAsia="Times New Roman" w:hAnsi="Calibri" w:cs="Calibri"/>
                <w:b/>
                <w:bCs/>
                <w:color w:val="000000"/>
                <w:sz w:val="18"/>
                <w:szCs w:val="18"/>
                <w:lang w:eastAsia="sk-SK"/>
              </w:rPr>
            </w:pPr>
            <w:r>
              <w:rPr>
                <w:rFonts w:ascii="Calibri" w:hAnsi="Calibri" w:cs="Calibri"/>
                <w:b/>
                <w:bCs/>
                <w:color w:val="000000"/>
                <w:sz w:val="18"/>
                <w:szCs w:val="18"/>
              </w:rPr>
              <w:t>9 016 688</w:t>
            </w:r>
          </w:p>
        </w:tc>
      </w:tr>
      <w:tr w:rsidR="00382246" w:rsidRPr="008A42D5" w14:paraId="5DBC2EC8" w14:textId="77777777" w:rsidTr="001D62C0">
        <w:trPr>
          <w:trHeight w:val="290"/>
        </w:trPr>
        <w:tc>
          <w:tcPr>
            <w:tcW w:w="1419" w:type="pct"/>
            <w:tcBorders>
              <w:top w:val="nil"/>
              <w:left w:val="nil"/>
              <w:bottom w:val="nil"/>
              <w:right w:val="nil"/>
            </w:tcBorders>
            <w:shd w:val="clear" w:color="auto" w:fill="auto"/>
            <w:noWrap/>
            <w:vAlign w:val="center"/>
            <w:hideMark/>
          </w:tcPr>
          <w:p w14:paraId="6C122162" w14:textId="77777777" w:rsidR="00382246" w:rsidRPr="008A42D5" w:rsidRDefault="00382246" w:rsidP="00382246">
            <w:pPr>
              <w:spacing w:after="0" w:line="240" w:lineRule="auto"/>
              <w:rPr>
                <w:rFonts w:ascii="Calibri" w:eastAsia="Times New Roman" w:hAnsi="Calibri" w:cs="Calibri"/>
                <w:color w:val="000000"/>
                <w:sz w:val="16"/>
                <w:szCs w:val="16"/>
                <w:lang w:eastAsia="sk-SK"/>
              </w:rPr>
            </w:pPr>
            <w:r w:rsidRPr="008A42D5">
              <w:rPr>
                <w:rFonts w:ascii="Calibri" w:eastAsia="Times New Roman" w:hAnsi="Calibri" w:cs="Calibri"/>
                <w:color w:val="000000"/>
                <w:sz w:val="16"/>
                <w:szCs w:val="16"/>
                <w:lang w:eastAsia="sk-SK"/>
              </w:rPr>
              <w:t>810 - Poskytnuté pôžičky, kurzové rozdiely</w:t>
            </w:r>
          </w:p>
        </w:tc>
        <w:tc>
          <w:tcPr>
            <w:tcW w:w="521" w:type="pct"/>
            <w:tcBorders>
              <w:top w:val="nil"/>
              <w:left w:val="nil"/>
              <w:bottom w:val="nil"/>
              <w:right w:val="nil"/>
            </w:tcBorders>
            <w:vAlign w:val="center"/>
          </w:tcPr>
          <w:p w14:paraId="41D767F1" w14:textId="7D7C21B1" w:rsidR="00382246" w:rsidRDefault="00382246" w:rsidP="00382246">
            <w:pPr>
              <w:spacing w:after="0" w:line="240" w:lineRule="auto"/>
              <w:jc w:val="right"/>
              <w:rPr>
                <w:rFonts w:ascii="Calibri" w:hAnsi="Calibri" w:cs="Calibri"/>
                <w:color w:val="000000"/>
                <w:sz w:val="18"/>
                <w:szCs w:val="18"/>
              </w:rPr>
            </w:pPr>
            <w:r>
              <w:rPr>
                <w:rFonts w:ascii="Calibri" w:hAnsi="Calibri" w:cs="Calibri"/>
                <w:color w:val="000000"/>
                <w:sz w:val="18"/>
                <w:szCs w:val="18"/>
              </w:rPr>
              <w:t>546 991</w:t>
            </w:r>
          </w:p>
        </w:tc>
        <w:tc>
          <w:tcPr>
            <w:tcW w:w="521" w:type="pct"/>
            <w:tcBorders>
              <w:top w:val="nil"/>
              <w:left w:val="nil"/>
              <w:bottom w:val="nil"/>
              <w:right w:val="nil"/>
            </w:tcBorders>
            <w:shd w:val="clear" w:color="auto" w:fill="auto"/>
            <w:noWrap/>
            <w:vAlign w:val="center"/>
          </w:tcPr>
          <w:p w14:paraId="0E979308" w14:textId="20ED9522"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433 866</w:t>
            </w:r>
          </w:p>
        </w:tc>
        <w:tc>
          <w:tcPr>
            <w:tcW w:w="510" w:type="pct"/>
            <w:tcBorders>
              <w:top w:val="nil"/>
              <w:left w:val="nil"/>
              <w:bottom w:val="nil"/>
              <w:right w:val="nil"/>
            </w:tcBorders>
            <w:shd w:val="clear" w:color="auto" w:fill="auto"/>
            <w:noWrap/>
            <w:vAlign w:val="center"/>
            <w:hideMark/>
          </w:tcPr>
          <w:p w14:paraId="0A95E61A" w14:textId="0158F24E"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100</w:t>
            </w:r>
          </w:p>
        </w:tc>
        <w:tc>
          <w:tcPr>
            <w:tcW w:w="510" w:type="pct"/>
            <w:tcBorders>
              <w:top w:val="nil"/>
              <w:left w:val="nil"/>
              <w:bottom w:val="nil"/>
              <w:right w:val="nil"/>
            </w:tcBorders>
            <w:shd w:val="clear" w:color="auto" w:fill="auto"/>
            <w:noWrap/>
            <w:vAlign w:val="center"/>
          </w:tcPr>
          <w:p w14:paraId="33A92FC3" w14:textId="574E6C59"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100</w:t>
            </w:r>
          </w:p>
        </w:tc>
        <w:tc>
          <w:tcPr>
            <w:tcW w:w="510" w:type="pct"/>
            <w:tcBorders>
              <w:top w:val="nil"/>
              <w:left w:val="nil"/>
              <w:bottom w:val="nil"/>
              <w:right w:val="nil"/>
            </w:tcBorders>
            <w:shd w:val="clear" w:color="000000" w:fill="D9D9D9"/>
            <w:noWrap/>
            <w:vAlign w:val="bottom"/>
          </w:tcPr>
          <w:p w14:paraId="7C9A2E24" w14:textId="0CFEB173"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0</w:t>
            </w:r>
          </w:p>
        </w:tc>
        <w:tc>
          <w:tcPr>
            <w:tcW w:w="500" w:type="pct"/>
            <w:tcBorders>
              <w:top w:val="nil"/>
              <w:left w:val="nil"/>
              <w:bottom w:val="nil"/>
              <w:right w:val="nil"/>
            </w:tcBorders>
            <w:shd w:val="clear" w:color="auto" w:fill="auto"/>
            <w:noWrap/>
            <w:vAlign w:val="center"/>
          </w:tcPr>
          <w:p w14:paraId="41E92745" w14:textId="403FBC55"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0</w:t>
            </w:r>
          </w:p>
        </w:tc>
        <w:tc>
          <w:tcPr>
            <w:tcW w:w="509" w:type="pct"/>
            <w:tcBorders>
              <w:top w:val="nil"/>
              <w:left w:val="nil"/>
              <w:bottom w:val="nil"/>
              <w:right w:val="nil"/>
            </w:tcBorders>
            <w:shd w:val="clear" w:color="auto" w:fill="auto"/>
            <w:noWrap/>
            <w:vAlign w:val="center"/>
          </w:tcPr>
          <w:p w14:paraId="28945636" w14:textId="01219A74"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0</w:t>
            </w:r>
          </w:p>
        </w:tc>
      </w:tr>
      <w:tr w:rsidR="00382246" w:rsidRPr="008A42D5" w14:paraId="1B3BC8AE" w14:textId="77777777" w:rsidTr="001D62C0">
        <w:trPr>
          <w:trHeight w:val="290"/>
        </w:trPr>
        <w:tc>
          <w:tcPr>
            <w:tcW w:w="1419" w:type="pct"/>
            <w:tcBorders>
              <w:top w:val="nil"/>
              <w:left w:val="nil"/>
              <w:bottom w:val="nil"/>
              <w:right w:val="nil"/>
            </w:tcBorders>
            <w:shd w:val="clear" w:color="auto" w:fill="auto"/>
            <w:noWrap/>
            <w:vAlign w:val="center"/>
            <w:hideMark/>
          </w:tcPr>
          <w:p w14:paraId="175B8E58" w14:textId="77777777" w:rsidR="00382246" w:rsidRPr="008A42D5" w:rsidRDefault="00382246" w:rsidP="00382246">
            <w:pPr>
              <w:spacing w:after="0" w:line="240" w:lineRule="auto"/>
              <w:rPr>
                <w:rFonts w:ascii="Calibri" w:eastAsia="Times New Roman" w:hAnsi="Calibri" w:cs="Calibri"/>
                <w:color w:val="000000"/>
                <w:sz w:val="16"/>
                <w:szCs w:val="16"/>
                <w:lang w:eastAsia="sk-SK"/>
              </w:rPr>
            </w:pPr>
            <w:r w:rsidRPr="008A42D5">
              <w:rPr>
                <w:rFonts w:ascii="Calibri" w:eastAsia="Times New Roman" w:hAnsi="Calibri" w:cs="Calibri"/>
                <w:color w:val="000000"/>
                <w:sz w:val="16"/>
                <w:szCs w:val="16"/>
                <w:lang w:eastAsia="sk-SK"/>
              </w:rPr>
              <w:t>820 - Splátky istín úverov</w:t>
            </w:r>
          </w:p>
        </w:tc>
        <w:tc>
          <w:tcPr>
            <w:tcW w:w="521" w:type="pct"/>
            <w:tcBorders>
              <w:top w:val="nil"/>
              <w:left w:val="nil"/>
              <w:bottom w:val="nil"/>
              <w:right w:val="nil"/>
            </w:tcBorders>
            <w:vAlign w:val="center"/>
          </w:tcPr>
          <w:p w14:paraId="552D0BCE" w14:textId="055DBD67" w:rsidR="00382246" w:rsidRDefault="00382246" w:rsidP="00382246">
            <w:pPr>
              <w:spacing w:after="0" w:line="240" w:lineRule="auto"/>
              <w:jc w:val="right"/>
              <w:rPr>
                <w:rFonts w:ascii="Calibri" w:hAnsi="Calibri" w:cs="Calibri"/>
                <w:color w:val="000000"/>
                <w:sz w:val="18"/>
                <w:szCs w:val="18"/>
              </w:rPr>
            </w:pPr>
            <w:r>
              <w:rPr>
                <w:rFonts w:ascii="Calibri" w:hAnsi="Calibri" w:cs="Calibri"/>
                <w:color w:val="000000"/>
                <w:sz w:val="18"/>
                <w:szCs w:val="18"/>
              </w:rPr>
              <w:t>4 144 163</w:t>
            </w:r>
          </w:p>
        </w:tc>
        <w:tc>
          <w:tcPr>
            <w:tcW w:w="521" w:type="pct"/>
            <w:tcBorders>
              <w:top w:val="nil"/>
              <w:left w:val="nil"/>
              <w:bottom w:val="nil"/>
              <w:right w:val="nil"/>
            </w:tcBorders>
            <w:shd w:val="clear" w:color="auto" w:fill="auto"/>
            <w:noWrap/>
            <w:vAlign w:val="center"/>
          </w:tcPr>
          <w:p w14:paraId="2E7077B9" w14:textId="0E35AAB7"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5 964 163</w:t>
            </w:r>
          </w:p>
        </w:tc>
        <w:tc>
          <w:tcPr>
            <w:tcW w:w="510" w:type="pct"/>
            <w:tcBorders>
              <w:top w:val="nil"/>
              <w:left w:val="nil"/>
              <w:bottom w:val="nil"/>
              <w:right w:val="nil"/>
            </w:tcBorders>
            <w:shd w:val="clear" w:color="auto" w:fill="auto"/>
            <w:noWrap/>
            <w:vAlign w:val="center"/>
            <w:hideMark/>
          </w:tcPr>
          <w:p w14:paraId="43878DE6" w14:textId="0BA6F2CC"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7 785 589</w:t>
            </w:r>
          </w:p>
        </w:tc>
        <w:tc>
          <w:tcPr>
            <w:tcW w:w="510" w:type="pct"/>
            <w:tcBorders>
              <w:top w:val="nil"/>
              <w:left w:val="nil"/>
              <w:bottom w:val="nil"/>
              <w:right w:val="nil"/>
            </w:tcBorders>
            <w:shd w:val="clear" w:color="auto" w:fill="auto"/>
            <w:noWrap/>
            <w:vAlign w:val="center"/>
          </w:tcPr>
          <w:p w14:paraId="425B762A" w14:textId="5C97CAFD"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7 785 589</w:t>
            </w:r>
          </w:p>
        </w:tc>
        <w:tc>
          <w:tcPr>
            <w:tcW w:w="510" w:type="pct"/>
            <w:tcBorders>
              <w:top w:val="nil"/>
              <w:left w:val="nil"/>
              <w:bottom w:val="nil"/>
              <w:right w:val="nil"/>
            </w:tcBorders>
            <w:shd w:val="clear" w:color="000000" w:fill="D9D9D9"/>
            <w:noWrap/>
            <w:vAlign w:val="bottom"/>
          </w:tcPr>
          <w:p w14:paraId="49D0F948" w14:textId="303930C1" w:rsidR="00382246" w:rsidRPr="00382246" w:rsidRDefault="00382246" w:rsidP="00382246">
            <w:pPr>
              <w:spacing w:after="0" w:line="240" w:lineRule="auto"/>
              <w:jc w:val="right"/>
              <w:rPr>
                <w:rFonts w:ascii="Calibri" w:eastAsia="Times New Roman" w:hAnsi="Calibri" w:cs="Calibri"/>
                <w:b/>
                <w:bCs/>
                <w:sz w:val="20"/>
                <w:szCs w:val="20"/>
                <w:lang w:eastAsia="sk-SK"/>
              </w:rPr>
            </w:pPr>
            <w:r w:rsidRPr="00382246">
              <w:rPr>
                <w:rFonts w:ascii="Calibri" w:hAnsi="Calibri" w:cs="Calibri"/>
                <w:b/>
                <w:bCs/>
                <w:sz w:val="20"/>
                <w:szCs w:val="20"/>
              </w:rPr>
              <w:t>6 097 991</w:t>
            </w:r>
          </w:p>
        </w:tc>
        <w:tc>
          <w:tcPr>
            <w:tcW w:w="500" w:type="pct"/>
            <w:tcBorders>
              <w:top w:val="nil"/>
              <w:left w:val="nil"/>
              <w:bottom w:val="nil"/>
              <w:right w:val="nil"/>
            </w:tcBorders>
            <w:shd w:val="clear" w:color="auto" w:fill="auto"/>
            <w:noWrap/>
            <w:vAlign w:val="center"/>
          </w:tcPr>
          <w:p w14:paraId="70F818B1" w14:textId="4DB7F047"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12 247 119</w:t>
            </w:r>
          </w:p>
        </w:tc>
        <w:tc>
          <w:tcPr>
            <w:tcW w:w="509" w:type="pct"/>
            <w:tcBorders>
              <w:top w:val="nil"/>
              <w:left w:val="nil"/>
              <w:bottom w:val="nil"/>
              <w:right w:val="nil"/>
            </w:tcBorders>
            <w:shd w:val="clear" w:color="auto" w:fill="auto"/>
            <w:noWrap/>
            <w:vAlign w:val="center"/>
          </w:tcPr>
          <w:p w14:paraId="78D840D3" w14:textId="51D9A5E2" w:rsidR="00382246" w:rsidRPr="008A42D5" w:rsidRDefault="00382246" w:rsidP="00382246">
            <w:pPr>
              <w:spacing w:after="0" w:line="240" w:lineRule="auto"/>
              <w:jc w:val="right"/>
              <w:rPr>
                <w:rFonts w:ascii="Calibri" w:eastAsia="Times New Roman" w:hAnsi="Calibri" w:cs="Calibri"/>
                <w:color w:val="000000"/>
                <w:sz w:val="18"/>
                <w:szCs w:val="18"/>
                <w:lang w:eastAsia="sk-SK"/>
              </w:rPr>
            </w:pPr>
            <w:r>
              <w:rPr>
                <w:rFonts w:ascii="Calibri" w:hAnsi="Calibri" w:cs="Calibri"/>
                <w:color w:val="000000"/>
                <w:sz w:val="18"/>
                <w:szCs w:val="18"/>
              </w:rPr>
              <w:t>9 016 688</w:t>
            </w:r>
          </w:p>
        </w:tc>
      </w:tr>
    </w:tbl>
    <w:p w14:paraId="483B5F3E" w14:textId="77777777" w:rsidR="00F410CC" w:rsidRDefault="00F410CC" w:rsidP="00C8280C">
      <w:pPr>
        <w:pStyle w:val="Zkladntext"/>
        <w:spacing w:after="0" w:line="276" w:lineRule="auto"/>
        <w:jc w:val="both"/>
        <w:rPr>
          <w:rFonts w:asciiTheme="minorHAnsi" w:hAnsiTheme="minorHAnsi" w:cstheme="minorHAnsi"/>
          <w:lang w:eastAsia="en-US"/>
        </w:rPr>
      </w:pPr>
    </w:p>
    <w:tbl>
      <w:tblPr>
        <w:tblW w:w="10553" w:type="dxa"/>
        <w:tblCellMar>
          <w:left w:w="70" w:type="dxa"/>
          <w:right w:w="70" w:type="dxa"/>
        </w:tblCellMar>
        <w:tblLook w:val="04A0" w:firstRow="1" w:lastRow="0" w:firstColumn="1" w:lastColumn="0" w:noHBand="0" w:noVBand="1"/>
      </w:tblPr>
      <w:tblGrid>
        <w:gridCol w:w="4446"/>
        <w:gridCol w:w="1598"/>
        <w:gridCol w:w="1598"/>
        <w:gridCol w:w="1673"/>
        <w:gridCol w:w="1238"/>
      </w:tblGrid>
      <w:tr w:rsidR="001D7F63" w:rsidRPr="00FC55AD" w14:paraId="65D1F8DB" w14:textId="77777777" w:rsidTr="001D7F63">
        <w:trPr>
          <w:trHeight w:val="275"/>
        </w:trPr>
        <w:tc>
          <w:tcPr>
            <w:tcW w:w="4446" w:type="dxa"/>
            <w:tcBorders>
              <w:top w:val="single" w:sz="8" w:space="0" w:color="366092"/>
              <w:left w:val="nil"/>
              <w:bottom w:val="single" w:sz="8" w:space="0" w:color="F2F2F2"/>
              <w:right w:val="nil"/>
            </w:tcBorders>
            <w:shd w:val="clear" w:color="000000" w:fill="366092"/>
            <w:noWrap/>
            <w:vAlign w:val="center"/>
            <w:hideMark/>
          </w:tcPr>
          <w:p w14:paraId="503D083E" w14:textId="77777777" w:rsidR="001D7F63" w:rsidRPr="00FC55AD" w:rsidRDefault="001D7F63" w:rsidP="00FC55AD">
            <w:pPr>
              <w:spacing w:after="0" w:line="240" w:lineRule="auto"/>
              <w:rPr>
                <w:rFonts w:ascii="Calibri" w:eastAsia="Times New Roman" w:hAnsi="Calibri" w:cs="Calibri"/>
                <w:b/>
                <w:bCs/>
                <w:color w:val="FFFFFF"/>
                <w:sz w:val="16"/>
                <w:szCs w:val="16"/>
                <w:lang w:eastAsia="sk-SK"/>
              </w:rPr>
            </w:pPr>
            <w:r w:rsidRPr="00FC55AD">
              <w:rPr>
                <w:rFonts w:ascii="Calibri" w:eastAsia="Times New Roman" w:hAnsi="Calibri" w:cs="Calibri"/>
                <w:b/>
                <w:bCs/>
                <w:color w:val="FFFFFF"/>
                <w:sz w:val="16"/>
                <w:szCs w:val="16"/>
                <w:lang w:eastAsia="sk-SK"/>
              </w:rPr>
              <w:t>Ukazovateľ</w:t>
            </w:r>
          </w:p>
        </w:tc>
        <w:tc>
          <w:tcPr>
            <w:tcW w:w="1598" w:type="dxa"/>
            <w:tcBorders>
              <w:top w:val="nil"/>
              <w:left w:val="nil"/>
              <w:bottom w:val="single" w:sz="8" w:space="0" w:color="F2F2F2"/>
              <w:right w:val="nil"/>
            </w:tcBorders>
            <w:shd w:val="clear" w:color="000000" w:fill="366092"/>
            <w:noWrap/>
            <w:vAlign w:val="center"/>
            <w:hideMark/>
          </w:tcPr>
          <w:p w14:paraId="50720E29" w14:textId="5C3E30B4" w:rsidR="001D7F63" w:rsidRPr="00FC55AD" w:rsidRDefault="001D7F63" w:rsidP="00FC55AD">
            <w:pPr>
              <w:spacing w:after="0" w:line="240" w:lineRule="auto"/>
              <w:jc w:val="center"/>
              <w:rPr>
                <w:rFonts w:ascii="Calibri" w:eastAsia="Times New Roman" w:hAnsi="Calibri" w:cs="Calibri"/>
                <w:b/>
                <w:bCs/>
                <w:color w:val="FFFFFF"/>
                <w:sz w:val="16"/>
                <w:szCs w:val="16"/>
                <w:lang w:eastAsia="sk-SK"/>
              </w:rPr>
            </w:pPr>
            <w:r w:rsidRPr="00FC55AD">
              <w:rPr>
                <w:rFonts w:ascii="Calibri" w:eastAsia="Times New Roman" w:hAnsi="Calibri" w:cs="Calibri"/>
                <w:b/>
                <w:bCs/>
                <w:color w:val="FFFFFF"/>
                <w:sz w:val="16"/>
                <w:szCs w:val="16"/>
                <w:lang w:eastAsia="sk-SK"/>
              </w:rPr>
              <w:t>202</w:t>
            </w:r>
            <w:r w:rsidR="00401F6F">
              <w:rPr>
                <w:rFonts w:ascii="Calibri" w:eastAsia="Times New Roman" w:hAnsi="Calibri" w:cs="Calibri"/>
                <w:b/>
                <w:bCs/>
                <w:color w:val="FFFFFF"/>
                <w:sz w:val="16"/>
                <w:szCs w:val="16"/>
                <w:lang w:eastAsia="sk-SK"/>
              </w:rPr>
              <w:t>4</w:t>
            </w:r>
            <w:r w:rsidRPr="00FC55AD">
              <w:rPr>
                <w:rFonts w:ascii="Calibri" w:eastAsia="Times New Roman" w:hAnsi="Calibri" w:cs="Calibri"/>
                <w:b/>
                <w:bCs/>
                <w:color w:val="FFFFFF"/>
                <w:sz w:val="16"/>
                <w:szCs w:val="16"/>
                <w:lang w:eastAsia="sk-SK"/>
              </w:rPr>
              <w:t xml:space="preserve"> (SR)</w:t>
            </w:r>
          </w:p>
        </w:tc>
        <w:tc>
          <w:tcPr>
            <w:tcW w:w="1598" w:type="dxa"/>
            <w:tcBorders>
              <w:top w:val="nil"/>
              <w:left w:val="nil"/>
              <w:bottom w:val="single" w:sz="8" w:space="0" w:color="F2F2F2"/>
              <w:right w:val="nil"/>
            </w:tcBorders>
            <w:shd w:val="clear" w:color="000000" w:fill="366092"/>
            <w:noWrap/>
            <w:vAlign w:val="center"/>
            <w:hideMark/>
          </w:tcPr>
          <w:p w14:paraId="42961A5A" w14:textId="082B9FB9" w:rsidR="001D7F63" w:rsidRPr="00FC55AD" w:rsidRDefault="001D7F63" w:rsidP="00FC55AD">
            <w:pPr>
              <w:spacing w:after="0" w:line="240" w:lineRule="auto"/>
              <w:jc w:val="center"/>
              <w:rPr>
                <w:rFonts w:ascii="Calibri" w:eastAsia="Times New Roman" w:hAnsi="Calibri" w:cs="Calibri"/>
                <w:b/>
                <w:bCs/>
                <w:color w:val="FFFFFF"/>
                <w:sz w:val="16"/>
                <w:szCs w:val="16"/>
                <w:lang w:eastAsia="sk-SK"/>
              </w:rPr>
            </w:pPr>
            <w:r w:rsidRPr="00FC55AD">
              <w:rPr>
                <w:rFonts w:ascii="Calibri" w:eastAsia="Times New Roman" w:hAnsi="Calibri" w:cs="Calibri"/>
                <w:b/>
                <w:bCs/>
                <w:color w:val="FFFFFF"/>
                <w:sz w:val="16"/>
                <w:szCs w:val="16"/>
                <w:lang w:eastAsia="sk-SK"/>
              </w:rPr>
              <w:t>202</w:t>
            </w:r>
            <w:r w:rsidR="00401F6F">
              <w:rPr>
                <w:rFonts w:ascii="Calibri" w:eastAsia="Times New Roman" w:hAnsi="Calibri" w:cs="Calibri"/>
                <w:b/>
                <w:bCs/>
                <w:color w:val="FFFFFF"/>
                <w:sz w:val="16"/>
                <w:szCs w:val="16"/>
                <w:lang w:eastAsia="sk-SK"/>
              </w:rPr>
              <w:t>5</w:t>
            </w:r>
            <w:r w:rsidRPr="00FC55AD">
              <w:rPr>
                <w:rFonts w:ascii="Calibri" w:eastAsia="Times New Roman" w:hAnsi="Calibri" w:cs="Calibri"/>
                <w:b/>
                <w:bCs/>
                <w:color w:val="FFFFFF"/>
                <w:sz w:val="16"/>
                <w:szCs w:val="16"/>
                <w:lang w:eastAsia="sk-SK"/>
              </w:rPr>
              <w:t xml:space="preserve"> (N)</w:t>
            </w:r>
          </w:p>
        </w:tc>
        <w:tc>
          <w:tcPr>
            <w:tcW w:w="2911" w:type="dxa"/>
            <w:gridSpan w:val="2"/>
            <w:tcBorders>
              <w:top w:val="nil"/>
              <w:left w:val="nil"/>
              <w:bottom w:val="single" w:sz="8" w:space="0" w:color="F2F2F2"/>
              <w:right w:val="nil"/>
            </w:tcBorders>
            <w:shd w:val="clear" w:color="000000" w:fill="366092"/>
            <w:noWrap/>
            <w:vAlign w:val="center"/>
            <w:hideMark/>
          </w:tcPr>
          <w:p w14:paraId="07B42021" w14:textId="42C0B9FE" w:rsidR="001D7F63" w:rsidRDefault="00450995" w:rsidP="00FC55AD">
            <w:pPr>
              <w:spacing w:after="0" w:line="240" w:lineRule="auto"/>
              <w:jc w:val="center"/>
              <w:rPr>
                <w:rFonts w:ascii="Calibri" w:eastAsia="Times New Roman" w:hAnsi="Calibri" w:cs="Calibri"/>
                <w:b/>
                <w:bCs/>
                <w:color w:val="FFFFFF"/>
                <w:sz w:val="16"/>
                <w:szCs w:val="16"/>
                <w:lang w:eastAsia="sk-SK"/>
              </w:rPr>
            </w:pPr>
            <w:r>
              <w:rPr>
                <w:rFonts w:ascii="Calibri" w:eastAsia="Times New Roman" w:hAnsi="Calibri" w:cs="Calibri"/>
                <w:b/>
                <w:bCs/>
                <w:color w:val="FFFFFF"/>
                <w:sz w:val="16"/>
                <w:szCs w:val="16"/>
                <w:lang w:eastAsia="sk-SK"/>
              </w:rPr>
              <w:t xml:space="preserve">    </w:t>
            </w:r>
            <w:r w:rsidR="001D7F63" w:rsidRPr="00FC55AD">
              <w:rPr>
                <w:rFonts w:ascii="Calibri" w:eastAsia="Times New Roman" w:hAnsi="Calibri" w:cs="Calibri"/>
                <w:b/>
                <w:bCs/>
                <w:color w:val="FFFFFF"/>
                <w:sz w:val="16"/>
                <w:szCs w:val="16"/>
                <w:lang w:eastAsia="sk-SK"/>
              </w:rPr>
              <w:t>Rozdiel 202</w:t>
            </w:r>
            <w:r w:rsidR="00AB4E85">
              <w:rPr>
                <w:rFonts w:ascii="Calibri" w:eastAsia="Times New Roman" w:hAnsi="Calibri" w:cs="Calibri"/>
                <w:b/>
                <w:bCs/>
                <w:color w:val="FFFFFF"/>
                <w:sz w:val="16"/>
                <w:szCs w:val="16"/>
                <w:lang w:eastAsia="sk-SK"/>
              </w:rPr>
              <w:t>5</w:t>
            </w:r>
            <w:r w:rsidR="001D7F63" w:rsidRPr="00FC55AD">
              <w:rPr>
                <w:rFonts w:ascii="Calibri" w:eastAsia="Times New Roman" w:hAnsi="Calibri" w:cs="Calibri"/>
                <w:b/>
                <w:bCs/>
                <w:color w:val="FFFFFF"/>
                <w:sz w:val="16"/>
                <w:szCs w:val="16"/>
                <w:lang w:eastAsia="sk-SK"/>
              </w:rPr>
              <w:t xml:space="preserve"> </w:t>
            </w:r>
            <w:r>
              <w:rPr>
                <w:rFonts w:ascii="Calibri" w:eastAsia="Times New Roman" w:hAnsi="Calibri" w:cs="Calibri"/>
                <w:b/>
                <w:bCs/>
                <w:color w:val="FFFFFF"/>
                <w:sz w:val="16"/>
                <w:szCs w:val="16"/>
                <w:lang w:eastAsia="sk-SK"/>
              </w:rPr>
              <w:t>–</w:t>
            </w:r>
            <w:r w:rsidR="001D7F63" w:rsidRPr="00FC55AD">
              <w:rPr>
                <w:rFonts w:ascii="Calibri" w:eastAsia="Times New Roman" w:hAnsi="Calibri" w:cs="Calibri"/>
                <w:b/>
                <w:bCs/>
                <w:color w:val="FFFFFF"/>
                <w:sz w:val="16"/>
                <w:szCs w:val="16"/>
                <w:lang w:eastAsia="sk-SK"/>
              </w:rPr>
              <w:t xml:space="preserve"> 202</w:t>
            </w:r>
            <w:r w:rsidR="00AB4E85">
              <w:rPr>
                <w:rFonts w:ascii="Calibri" w:eastAsia="Times New Roman" w:hAnsi="Calibri" w:cs="Calibri"/>
                <w:b/>
                <w:bCs/>
                <w:color w:val="FFFFFF"/>
                <w:sz w:val="16"/>
                <w:szCs w:val="16"/>
                <w:lang w:eastAsia="sk-SK"/>
              </w:rPr>
              <w:t>4</w:t>
            </w:r>
          </w:p>
          <w:p w14:paraId="137DD846" w14:textId="22C4D43C" w:rsidR="00450995" w:rsidRPr="00FC55AD" w:rsidRDefault="00450995" w:rsidP="00450995">
            <w:pPr>
              <w:spacing w:after="0" w:line="240" w:lineRule="auto"/>
              <w:rPr>
                <w:rFonts w:ascii="Calibri" w:eastAsia="Times New Roman" w:hAnsi="Calibri" w:cs="Calibri"/>
                <w:b/>
                <w:bCs/>
                <w:color w:val="FFFFFF"/>
                <w:sz w:val="16"/>
                <w:szCs w:val="16"/>
                <w:lang w:eastAsia="sk-SK"/>
              </w:rPr>
            </w:pPr>
            <w:r>
              <w:rPr>
                <w:rFonts w:ascii="Calibri" w:eastAsia="Times New Roman" w:hAnsi="Calibri" w:cs="Calibri"/>
                <w:b/>
                <w:bCs/>
                <w:color w:val="FFFFFF"/>
                <w:sz w:val="16"/>
                <w:szCs w:val="16"/>
                <w:lang w:eastAsia="sk-SK"/>
              </w:rPr>
              <w:t xml:space="preserve">                  V EUR                                v %</w:t>
            </w:r>
          </w:p>
        </w:tc>
      </w:tr>
      <w:tr w:rsidR="00016002" w:rsidRPr="00FC55AD" w14:paraId="7D059EC6" w14:textId="77777777" w:rsidTr="00ED7309">
        <w:trPr>
          <w:trHeight w:val="262"/>
        </w:trPr>
        <w:tc>
          <w:tcPr>
            <w:tcW w:w="4446" w:type="dxa"/>
            <w:tcBorders>
              <w:top w:val="nil"/>
              <w:left w:val="nil"/>
              <w:bottom w:val="nil"/>
              <w:right w:val="nil"/>
            </w:tcBorders>
            <w:shd w:val="clear" w:color="000000" w:fill="DCE6F1"/>
            <w:noWrap/>
            <w:vAlign w:val="center"/>
            <w:hideMark/>
          </w:tcPr>
          <w:p w14:paraId="4344D109" w14:textId="77777777" w:rsidR="00016002" w:rsidRPr="00FC55AD" w:rsidRDefault="00016002" w:rsidP="00016002">
            <w:pPr>
              <w:spacing w:after="0" w:line="240" w:lineRule="auto"/>
              <w:rPr>
                <w:rFonts w:ascii="Calibri" w:eastAsia="Times New Roman" w:hAnsi="Calibri" w:cs="Calibri"/>
                <w:b/>
                <w:bCs/>
                <w:color w:val="000000"/>
                <w:sz w:val="20"/>
                <w:szCs w:val="20"/>
                <w:lang w:eastAsia="sk-SK"/>
              </w:rPr>
            </w:pPr>
            <w:r w:rsidRPr="00FC55AD">
              <w:rPr>
                <w:rFonts w:ascii="Calibri" w:eastAsia="Times New Roman" w:hAnsi="Calibri" w:cs="Calibri"/>
                <w:b/>
                <w:bCs/>
                <w:color w:val="000000"/>
                <w:sz w:val="20"/>
                <w:szCs w:val="20"/>
                <w:lang w:eastAsia="sk-SK"/>
              </w:rPr>
              <w:t>VÝDAVKY v EUR</w:t>
            </w:r>
          </w:p>
        </w:tc>
        <w:tc>
          <w:tcPr>
            <w:tcW w:w="1598" w:type="dxa"/>
            <w:tcBorders>
              <w:top w:val="nil"/>
              <w:left w:val="nil"/>
              <w:bottom w:val="nil"/>
              <w:right w:val="nil"/>
            </w:tcBorders>
            <w:shd w:val="clear" w:color="000000" w:fill="DCE6F1"/>
            <w:noWrap/>
            <w:vAlign w:val="center"/>
            <w:hideMark/>
          </w:tcPr>
          <w:p w14:paraId="42141A30" w14:textId="334E6A93" w:rsidR="00016002" w:rsidRPr="00FC55AD" w:rsidRDefault="00016002" w:rsidP="00016002">
            <w:pPr>
              <w:spacing w:after="0" w:line="240" w:lineRule="auto"/>
              <w:jc w:val="right"/>
              <w:rPr>
                <w:rFonts w:ascii="Calibri" w:eastAsia="Times New Roman" w:hAnsi="Calibri" w:cs="Calibri"/>
                <w:b/>
                <w:bCs/>
                <w:color w:val="000000"/>
                <w:sz w:val="20"/>
                <w:szCs w:val="20"/>
                <w:lang w:eastAsia="sk-SK"/>
              </w:rPr>
            </w:pPr>
            <w:r>
              <w:rPr>
                <w:rFonts w:ascii="Calibri" w:hAnsi="Calibri" w:cs="Calibri"/>
                <w:b/>
                <w:bCs/>
                <w:color w:val="000000"/>
                <w:sz w:val="18"/>
                <w:szCs w:val="18"/>
              </w:rPr>
              <w:t>300 558 006</w:t>
            </w:r>
          </w:p>
        </w:tc>
        <w:tc>
          <w:tcPr>
            <w:tcW w:w="1598" w:type="dxa"/>
            <w:tcBorders>
              <w:top w:val="nil"/>
              <w:left w:val="nil"/>
              <w:bottom w:val="nil"/>
              <w:right w:val="nil"/>
            </w:tcBorders>
            <w:shd w:val="clear" w:color="000000" w:fill="D9D9D9"/>
            <w:noWrap/>
            <w:vAlign w:val="center"/>
          </w:tcPr>
          <w:p w14:paraId="183D8E10" w14:textId="229B9F77" w:rsidR="00016002" w:rsidRPr="002F29A9" w:rsidRDefault="00016002" w:rsidP="002F29A9">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320 544 29</w:t>
            </w:r>
            <w:r w:rsidR="002F29A9">
              <w:rPr>
                <w:rFonts w:ascii="Calibri" w:hAnsi="Calibri" w:cs="Calibri"/>
                <w:b/>
                <w:bCs/>
                <w:color w:val="000000"/>
                <w:sz w:val="20"/>
                <w:szCs w:val="20"/>
              </w:rPr>
              <w:t>5</w:t>
            </w:r>
          </w:p>
        </w:tc>
        <w:tc>
          <w:tcPr>
            <w:tcW w:w="1673" w:type="dxa"/>
            <w:tcBorders>
              <w:top w:val="nil"/>
              <w:left w:val="nil"/>
              <w:bottom w:val="nil"/>
              <w:right w:val="nil"/>
            </w:tcBorders>
            <w:shd w:val="clear" w:color="000000" w:fill="EBF1DE"/>
            <w:noWrap/>
            <w:vAlign w:val="center"/>
          </w:tcPr>
          <w:p w14:paraId="0C7FC180" w14:textId="3765047C" w:rsidR="00016002" w:rsidRPr="00296AFE" w:rsidRDefault="00016002" w:rsidP="00016002">
            <w:pPr>
              <w:spacing w:after="0" w:line="240" w:lineRule="auto"/>
              <w:jc w:val="right"/>
              <w:rPr>
                <w:rFonts w:ascii="Calibri" w:eastAsia="Times New Roman" w:hAnsi="Calibri" w:cs="Calibri"/>
                <w:b/>
                <w:bCs/>
                <w:color w:val="000000"/>
                <w:sz w:val="20"/>
                <w:szCs w:val="20"/>
                <w:lang w:eastAsia="sk-SK"/>
              </w:rPr>
            </w:pPr>
            <w:r>
              <w:rPr>
                <w:rFonts w:ascii="Calibri" w:hAnsi="Calibri" w:cs="Calibri"/>
                <w:color w:val="000000"/>
                <w:sz w:val="18"/>
                <w:szCs w:val="18"/>
              </w:rPr>
              <w:t>19 986 289</w:t>
            </w:r>
          </w:p>
        </w:tc>
        <w:tc>
          <w:tcPr>
            <w:tcW w:w="1238" w:type="dxa"/>
            <w:tcBorders>
              <w:top w:val="nil"/>
              <w:left w:val="nil"/>
              <w:bottom w:val="nil"/>
              <w:right w:val="nil"/>
            </w:tcBorders>
            <w:shd w:val="clear" w:color="000000" w:fill="EBF1DE"/>
            <w:noWrap/>
            <w:vAlign w:val="center"/>
          </w:tcPr>
          <w:p w14:paraId="1C2EFC22" w14:textId="2DD31468"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6,65%</w:t>
            </w:r>
          </w:p>
        </w:tc>
      </w:tr>
      <w:tr w:rsidR="00016002" w:rsidRPr="00FC55AD" w14:paraId="2BCB1CC9" w14:textId="77777777" w:rsidTr="00ED7309">
        <w:trPr>
          <w:trHeight w:val="262"/>
        </w:trPr>
        <w:tc>
          <w:tcPr>
            <w:tcW w:w="4446" w:type="dxa"/>
            <w:tcBorders>
              <w:top w:val="nil"/>
              <w:left w:val="nil"/>
              <w:bottom w:val="nil"/>
              <w:right w:val="nil"/>
            </w:tcBorders>
            <w:shd w:val="clear" w:color="000000" w:fill="8DB4E2"/>
            <w:noWrap/>
            <w:vAlign w:val="center"/>
            <w:hideMark/>
          </w:tcPr>
          <w:p w14:paraId="5BA916C7" w14:textId="77777777" w:rsidR="00016002" w:rsidRPr="00FC55AD" w:rsidRDefault="00016002" w:rsidP="00016002">
            <w:pPr>
              <w:spacing w:after="0" w:line="240" w:lineRule="auto"/>
              <w:rPr>
                <w:rFonts w:ascii="Calibri" w:eastAsia="Times New Roman" w:hAnsi="Calibri" w:cs="Calibri"/>
                <w:b/>
                <w:bCs/>
                <w:color w:val="000000"/>
                <w:sz w:val="20"/>
                <w:szCs w:val="20"/>
                <w:lang w:eastAsia="sk-SK"/>
              </w:rPr>
            </w:pPr>
            <w:r w:rsidRPr="00FC55AD">
              <w:rPr>
                <w:rFonts w:ascii="Calibri" w:eastAsia="Times New Roman" w:hAnsi="Calibri" w:cs="Calibri"/>
                <w:b/>
                <w:bCs/>
                <w:color w:val="000000"/>
                <w:sz w:val="20"/>
                <w:szCs w:val="20"/>
                <w:lang w:eastAsia="sk-SK"/>
              </w:rPr>
              <w:t>BEŽNÉ VÝDAVKY</w:t>
            </w:r>
          </w:p>
        </w:tc>
        <w:tc>
          <w:tcPr>
            <w:tcW w:w="1598" w:type="dxa"/>
            <w:tcBorders>
              <w:top w:val="nil"/>
              <w:left w:val="nil"/>
              <w:bottom w:val="nil"/>
              <w:right w:val="nil"/>
            </w:tcBorders>
            <w:shd w:val="clear" w:color="000000" w:fill="8DB4E2"/>
            <w:noWrap/>
            <w:vAlign w:val="center"/>
            <w:hideMark/>
          </w:tcPr>
          <w:p w14:paraId="00DBAC16" w14:textId="727797CB" w:rsidR="00016002" w:rsidRPr="00FC55AD" w:rsidRDefault="00016002" w:rsidP="00016002">
            <w:pPr>
              <w:spacing w:after="0" w:line="240" w:lineRule="auto"/>
              <w:jc w:val="right"/>
              <w:rPr>
                <w:rFonts w:ascii="Calibri" w:eastAsia="Times New Roman" w:hAnsi="Calibri" w:cs="Calibri"/>
                <w:b/>
                <w:bCs/>
                <w:color w:val="000000"/>
                <w:sz w:val="20"/>
                <w:szCs w:val="20"/>
                <w:lang w:eastAsia="sk-SK"/>
              </w:rPr>
            </w:pPr>
            <w:r>
              <w:rPr>
                <w:rFonts w:ascii="Calibri" w:hAnsi="Calibri" w:cs="Calibri"/>
                <w:b/>
                <w:bCs/>
                <w:color w:val="000000"/>
                <w:sz w:val="18"/>
                <w:szCs w:val="18"/>
              </w:rPr>
              <w:t>222 022 429</w:t>
            </w:r>
          </w:p>
        </w:tc>
        <w:tc>
          <w:tcPr>
            <w:tcW w:w="1598" w:type="dxa"/>
            <w:tcBorders>
              <w:top w:val="nil"/>
              <w:left w:val="nil"/>
              <w:bottom w:val="nil"/>
              <w:right w:val="nil"/>
            </w:tcBorders>
            <w:shd w:val="clear" w:color="000000" w:fill="D9D9D9"/>
            <w:noWrap/>
            <w:vAlign w:val="center"/>
          </w:tcPr>
          <w:p w14:paraId="066568AA" w14:textId="66C2AB57" w:rsidR="00016002" w:rsidRPr="00FC55AD" w:rsidRDefault="00016002" w:rsidP="00016002">
            <w:pPr>
              <w:spacing w:after="0" w:line="240" w:lineRule="auto"/>
              <w:jc w:val="right"/>
              <w:rPr>
                <w:rFonts w:ascii="Calibri" w:eastAsia="Times New Roman" w:hAnsi="Calibri" w:cs="Calibri"/>
                <w:b/>
                <w:bCs/>
                <w:color w:val="000000"/>
                <w:sz w:val="20"/>
                <w:szCs w:val="20"/>
                <w:lang w:eastAsia="sk-SK"/>
              </w:rPr>
            </w:pPr>
            <w:r>
              <w:rPr>
                <w:rFonts w:ascii="Calibri" w:hAnsi="Calibri" w:cs="Calibri"/>
                <w:b/>
                <w:bCs/>
                <w:color w:val="000000"/>
                <w:sz w:val="20"/>
                <w:szCs w:val="20"/>
              </w:rPr>
              <w:t>240 483 346</w:t>
            </w:r>
          </w:p>
        </w:tc>
        <w:tc>
          <w:tcPr>
            <w:tcW w:w="1673" w:type="dxa"/>
            <w:tcBorders>
              <w:top w:val="nil"/>
              <w:left w:val="nil"/>
              <w:bottom w:val="nil"/>
              <w:right w:val="nil"/>
            </w:tcBorders>
            <w:shd w:val="clear" w:color="000000" w:fill="EBF1DE"/>
            <w:noWrap/>
            <w:vAlign w:val="center"/>
          </w:tcPr>
          <w:p w14:paraId="7B6CFCB9" w14:textId="4B1D153E" w:rsidR="00016002" w:rsidRPr="00296AFE" w:rsidRDefault="00016002" w:rsidP="00016002">
            <w:pPr>
              <w:spacing w:after="0" w:line="240" w:lineRule="auto"/>
              <w:jc w:val="right"/>
              <w:rPr>
                <w:rFonts w:ascii="Calibri" w:eastAsia="Times New Roman" w:hAnsi="Calibri" w:cs="Calibri"/>
                <w:b/>
                <w:bCs/>
                <w:color w:val="000000"/>
                <w:sz w:val="20"/>
                <w:szCs w:val="20"/>
                <w:lang w:eastAsia="sk-SK"/>
              </w:rPr>
            </w:pPr>
            <w:r>
              <w:rPr>
                <w:rFonts w:ascii="Calibri" w:hAnsi="Calibri" w:cs="Calibri"/>
                <w:color w:val="000000"/>
                <w:sz w:val="18"/>
                <w:szCs w:val="18"/>
              </w:rPr>
              <w:t>18 460 917</w:t>
            </w:r>
          </w:p>
        </w:tc>
        <w:tc>
          <w:tcPr>
            <w:tcW w:w="1238" w:type="dxa"/>
            <w:tcBorders>
              <w:top w:val="nil"/>
              <w:left w:val="nil"/>
              <w:bottom w:val="nil"/>
              <w:right w:val="nil"/>
            </w:tcBorders>
            <w:shd w:val="clear" w:color="000000" w:fill="EBF1DE"/>
            <w:noWrap/>
            <w:vAlign w:val="center"/>
          </w:tcPr>
          <w:p w14:paraId="1F284F09" w14:textId="5C1E8C90"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8,31%</w:t>
            </w:r>
          </w:p>
        </w:tc>
      </w:tr>
      <w:tr w:rsidR="00016002" w:rsidRPr="00FC55AD" w14:paraId="01150ABC" w14:textId="77777777" w:rsidTr="00ED7309">
        <w:trPr>
          <w:trHeight w:val="262"/>
        </w:trPr>
        <w:tc>
          <w:tcPr>
            <w:tcW w:w="4446" w:type="dxa"/>
            <w:tcBorders>
              <w:top w:val="nil"/>
              <w:left w:val="nil"/>
              <w:bottom w:val="nil"/>
              <w:right w:val="nil"/>
            </w:tcBorders>
            <w:shd w:val="clear" w:color="auto" w:fill="auto"/>
            <w:vAlign w:val="center"/>
            <w:hideMark/>
          </w:tcPr>
          <w:p w14:paraId="2A1C1EF1" w14:textId="77777777" w:rsidR="00016002" w:rsidRPr="00FC55AD" w:rsidRDefault="00016002" w:rsidP="00016002">
            <w:pPr>
              <w:spacing w:after="0" w:line="240" w:lineRule="auto"/>
              <w:rPr>
                <w:rFonts w:ascii="Calibri" w:eastAsia="Times New Roman" w:hAnsi="Calibri" w:cs="Calibri"/>
                <w:color w:val="000000"/>
                <w:sz w:val="20"/>
                <w:szCs w:val="20"/>
                <w:lang w:eastAsia="sk-SK"/>
              </w:rPr>
            </w:pPr>
            <w:r w:rsidRPr="00FC55AD">
              <w:rPr>
                <w:rFonts w:ascii="Calibri" w:eastAsia="Times New Roman" w:hAnsi="Calibri" w:cs="Calibri"/>
                <w:color w:val="000000"/>
                <w:sz w:val="20"/>
                <w:szCs w:val="20"/>
                <w:lang w:eastAsia="sk-SK"/>
              </w:rPr>
              <w:t>610 - Mzdy, platy,...</w:t>
            </w:r>
          </w:p>
        </w:tc>
        <w:tc>
          <w:tcPr>
            <w:tcW w:w="1598" w:type="dxa"/>
            <w:tcBorders>
              <w:top w:val="nil"/>
              <w:left w:val="nil"/>
              <w:bottom w:val="nil"/>
              <w:right w:val="nil"/>
            </w:tcBorders>
            <w:shd w:val="clear" w:color="auto" w:fill="auto"/>
            <w:noWrap/>
            <w:vAlign w:val="center"/>
            <w:hideMark/>
          </w:tcPr>
          <w:p w14:paraId="13DBC7D0" w14:textId="7A82729F"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71 560 965</w:t>
            </w:r>
          </w:p>
        </w:tc>
        <w:tc>
          <w:tcPr>
            <w:tcW w:w="1598" w:type="dxa"/>
            <w:tcBorders>
              <w:top w:val="nil"/>
              <w:left w:val="nil"/>
              <w:bottom w:val="nil"/>
              <w:right w:val="nil"/>
            </w:tcBorders>
            <w:shd w:val="clear" w:color="000000" w:fill="D9D9D9"/>
            <w:noWrap/>
            <w:vAlign w:val="center"/>
          </w:tcPr>
          <w:p w14:paraId="718D3C3E" w14:textId="6B3489D3"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77 447 083</w:t>
            </w:r>
          </w:p>
        </w:tc>
        <w:tc>
          <w:tcPr>
            <w:tcW w:w="1673" w:type="dxa"/>
            <w:tcBorders>
              <w:top w:val="nil"/>
              <w:left w:val="nil"/>
              <w:bottom w:val="nil"/>
              <w:right w:val="nil"/>
            </w:tcBorders>
            <w:shd w:val="clear" w:color="000000" w:fill="EBF1DE"/>
            <w:noWrap/>
            <w:vAlign w:val="center"/>
          </w:tcPr>
          <w:p w14:paraId="524D13E1" w14:textId="44B78BB1" w:rsidR="00016002" w:rsidRPr="00E90016"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5 886 118</w:t>
            </w:r>
          </w:p>
        </w:tc>
        <w:tc>
          <w:tcPr>
            <w:tcW w:w="1238" w:type="dxa"/>
            <w:tcBorders>
              <w:top w:val="nil"/>
              <w:left w:val="nil"/>
              <w:bottom w:val="nil"/>
              <w:right w:val="nil"/>
            </w:tcBorders>
            <w:shd w:val="clear" w:color="000000" w:fill="EBF1DE"/>
            <w:noWrap/>
            <w:vAlign w:val="center"/>
          </w:tcPr>
          <w:p w14:paraId="7200743B" w14:textId="786CFB80"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8,23%</w:t>
            </w:r>
          </w:p>
        </w:tc>
      </w:tr>
      <w:tr w:rsidR="00016002" w:rsidRPr="00FC55AD" w14:paraId="2C4C9A2B" w14:textId="77777777" w:rsidTr="00ED7309">
        <w:trPr>
          <w:trHeight w:val="262"/>
        </w:trPr>
        <w:tc>
          <w:tcPr>
            <w:tcW w:w="4446" w:type="dxa"/>
            <w:tcBorders>
              <w:top w:val="nil"/>
              <w:left w:val="nil"/>
              <w:bottom w:val="nil"/>
              <w:right w:val="nil"/>
            </w:tcBorders>
            <w:shd w:val="clear" w:color="auto" w:fill="auto"/>
            <w:noWrap/>
            <w:vAlign w:val="center"/>
            <w:hideMark/>
          </w:tcPr>
          <w:p w14:paraId="1F498020" w14:textId="77777777" w:rsidR="00016002" w:rsidRPr="00FC55AD" w:rsidRDefault="00016002" w:rsidP="00016002">
            <w:pPr>
              <w:spacing w:after="0" w:line="240" w:lineRule="auto"/>
              <w:rPr>
                <w:rFonts w:ascii="Calibri" w:eastAsia="Times New Roman" w:hAnsi="Calibri" w:cs="Calibri"/>
                <w:color w:val="000000"/>
                <w:sz w:val="20"/>
                <w:szCs w:val="20"/>
                <w:lang w:eastAsia="sk-SK"/>
              </w:rPr>
            </w:pPr>
            <w:r w:rsidRPr="00FC55AD">
              <w:rPr>
                <w:rFonts w:ascii="Calibri" w:eastAsia="Times New Roman" w:hAnsi="Calibri" w:cs="Calibri"/>
                <w:color w:val="000000"/>
                <w:sz w:val="20"/>
                <w:szCs w:val="20"/>
                <w:lang w:eastAsia="sk-SK"/>
              </w:rPr>
              <w:t>620 - Poistné do poisťovní</w:t>
            </w:r>
          </w:p>
        </w:tc>
        <w:tc>
          <w:tcPr>
            <w:tcW w:w="1598" w:type="dxa"/>
            <w:tcBorders>
              <w:top w:val="nil"/>
              <w:left w:val="nil"/>
              <w:bottom w:val="nil"/>
              <w:right w:val="nil"/>
            </w:tcBorders>
            <w:shd w:val="clear" w:color="auto" w:fill="auto"/>
            <w:noWrap/>
            <w:vAlign w:val="center"/>
            <w:hideMark/>
          </w:tcPr>
          <w:p w14:paraId="61C51D72" w14:textId="649CC618"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26 032 577</w:t>
            </w:r>
          </w:p>
        </w:tc>
        <w:tc>
          <w:tcPr>
            <w:tcW w:w="1598" w:type="dxa"/>
            <w:tcBorders>
              <w:top w:val="nil"/>
              <w:left w:val="nil"/>
              <w:bottom w:val="nil"/>
              <w:right w:val="nil"/>
            </w:tcBorders>
            <w:shd w:val="clear" w:color="000000" w:fill="D9D9D9"/>
            <w:noWrap/>
            <w:vAlign w:val="center"/>
          </w:tcPr>
          <w:p w14:paraId="6207913D" w14:textId="04B1F263"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28 936 410</w:t>
            </w:r>
          </w:p>
        </w:tc>
        <w:tc>
          <w:tcPr>
            <w:tcW w:w="1673" w:type="dxa"/>
            <w:tcBorders>
              <w:top w:val="nil"/>
              <w:left w:val="nil"/>
              <w:bottom w:val="nil"/>
              <w:right w:val="nil"/>
            </w:tcBorders>
            <w:shd w:val="clear" w:color="000000" w:fill="EBF1DE"/>
            <w:noWrap/>
            <w:vAlign w:val="center"/>
          </w:tcPr>
          <w:p w14:paraId="575BCC31" w14:textId="257CC2C1" w:rsidR="00016002" w:rsidRPr="00E90016"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2 903 833</w:t>
            </w:r>
          </w:p>
        </w:tc>
        <w:tc>
          <w:tcPr>
            <w:tcW w:w="1238" w:type="dxa"/>
            <w:tcBorders>
              <w:top w:val="nil"/>
              <w:left w:val="nil"/>
              <w:bottom w:val="nil"/>
              <w:right w:val="nil"/>
            </w:tcBorders>
            <w:shd w:val="clear" w:color="000000" w:fill="EBF1DE"/>
            <w:noWrap/>
            <w:vAlign w:val="center"/>
          </w:tcPr>
          <w:p w14:paraId="77B55761" w14:textId="71914A6D"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11,15%</w:t>
            </w:r>
          </w:p>
        </w:tc>
      </w:tr>
      <w:tr w:rsidR="00016002" w:rsidRPr="00FC55AD" w14:paraId="703C72E4" w14:textId="77777777" w:rsidTr="00ED7309">
        <w:trPr>
          <w:trHeight w:val="262"/>
        </w:trPr>
        <w:tc>
          <w:tcPr>
            <w:tcW w:w="4446" w:type="dxa"/>
            <w:tcBorders>
              <w:top w:val="nil"/>
              <w:left w:val="nil"/>
              <w:bottom w:val="nil"/>
              <w:right w:val="nil"/>
            </w:tcBorders>
            <w:shd w:val="clear" w:color="auto" w:fill="auto"/>
            <w:noWrap/>
            <w:vAlign w:val="center"/>
            <w:hideMark/>
          </w:tcPr>
          <w:p w14:paraId="11C32290" w14:textId="77777777" w:rsidR="00016002" w:rsidRPr="00FC55AD" w:rsidRDefault="00016002" w:rsidP="00016002">
            <w:pPr>
              <w:spacing w:after="0" w:line="240" w:lineRule="auto"/>
              <w:rPr>
                <w:rFonts w:ascii="Calibri" w:eastAsia="Times New Roman" w:hAnsi="Calibri" w:cs="Calibri"/>
                <w:color w:val="000000"/>
                <w:sz w:val="20"/>
                <w:szCs w:val="20"/>
                <w:lang w:eastAsia="sk-SK"/>
              </w:rPr>
            </w:pPr>
            <w:r w:rsidRPr="00FC55AD">
              <w:rPr>
                <w:rFonts w:ascii="Calibri" w:eastAsia="Times New Roman" w:hAnsi="Calibri" w:cs="Calibri"/>
                <w:color w:val="000000"/>
                <w:sz w:val="20"/>
                <w:szCs w:val="20"/>
                <w:lang w:eastAsia="sk-SK"/>
              </w:rPr>
              <w:t>630 - Tovary a služby</w:t>
            </w:r>
          </w:p>
        </w:tc>
        <w:tc>
          <w:tcPr>
            <w:tcW w:w="1598" w:type="dxa"/>
            <w:tcBorders>
              <w:top w:val="nil"/>
              <w:left w:val="nil"/>
              <w:bottom w:val="nil"/>
              <w:right w:val="nil"/>
            </w:tcBorders>
            <w:shd w:val="clear" w:color="auto" w:fill="auto"/>
            <w:noWrap/>
            <w:vAlign w:val="center"/>
            <w:hideMark/>
          </w:tcPr>
          <w:p w14:paraId="0611B7F9" w14:textId="41DB943A"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36 106 717</w:t>
            </w:r>
          </w:p>
        </w:tc>
        <w:tc>
          <w:tcPr>
            <w:tcW w:w="1598" w:type="dxa"/>
            <w:tcBorders>
              <w:top w:val="nil"/>
              <w:left w:val="nil"/>
              <w:bottom w:val="nil"/>
              <w:right w:val="nil"/>
            </w:tcBorders>
            <w:shd w:val="clear" w:color="000000" w:fill="D9D9D9"/>
            <w:noWrap/>
            <w:vAlign w:val="center"/>
          </w:tcPr>
          <w:p w14:paraId="70CB6DC6" w14:textId="731B3152"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39 223 203</w:t>
            </w:r>
          </w:p>
        </w:tc>
        <w:tc>
          <w:tcPr>
            <w:tcW w:w="1673" w:type="dxa"/>
            <w:tcBorders>
              <w:top w:val="nil"/>
              <w:left w:val="nil"/>
              <w:bottom w:val="nil"/>
              <w:right w:val="nil"/>
            </w:tcBorders>
            <w:shd w:val="clear" w:color="000000" w:fill="EBF1DE"/>
            <w:noWrap/>
            <w:vAlign w:val="center"/>
          </w:tcPr>
          <w:p w14:paraId="473F261D" w14:textId="32F90B7A" w:rsidR="00016002" w:rsidRPr="00E90016"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3 116 486</w:t>
            </w:r>
          </w:p>
        </w:tc>
        <w:tc>
          <w:tcPr>
            <w:tcW w:w="1238" w:type="dxa"/>
            <w:tcBorders>
              <w:top w:val="nil"/>
              <w:left w:val="nil"/>
              <w:bottom w:val="nil"/>
              <w:right w:val="nil"/>
            </w:tcBorders>
            <w:shd w:val="clear" w:color="000000" w:fill="EBF1DE"/>
            <w:noWrap/>
            <w:vAlign w:val="center"/>
          </w:tcPr>
          <w:p w14:paraId="5CA5F0A3" w14:textId="27DE2432"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8,63%</w:t>
            </w:r>
          </w:p>
        </w:tc>
      </w:tr>
      <w:tr w:rsidR="00016002" w:rsidRPr="00FC55AD" w14:paraId="258D8CC1" w14:textId="77777777" w:rsidTr="00ED7309">
        <w:trPr>
          <w:trHeight w:val="262"/>
        </w:trPr>
        <w:tc>
          <w:tcPr>
            <w:tcW w:w="4446" w:type="dxa"/>
            <w:tcBorders>
              <w:top w:val="nil"/>
              <w:left w:val="nil"/>
              <w:bottom w:val="nil"/>
              <w:right w:val="nil"/>
            </w:tcBorders>
            <w:shd w:val="clear" w:color="auto" w:fill="auto"/>
            <w:noWrap/>
            <w:vAlign w:val="center"/>
            <w:hideMark/>
          </w:tcPr>
          <w:p w14:paraId="5A109195" w14:textId="77777777" w:rsidR="00016002" w:rsidRPr="00FC55AD" w:rsidRDefault="00016002" w:rsidP="00016002">
            <w:pPr>
              <w:spacing w:after="0" w:line="240" w:lineRule="auto"/>
              <w:rPr>
                <w:rFonts w:ascii="Calibri" w:eastAsia="Times New Roman" w:hAnsi="Calibri" w:cs="Calibri"/>
                <w:color w:val="000000"/>
                <w:sz w:val="20"/>
                <w:szCs w:val="20"/>
                <w:lang w:eastAsia="sk-SK"/>
              </w:rPr>
            </w:pPr>
            <w:r w:rsidRPr="00FC55AD">
              <w:rPr>
                <w:rFonts w:ascii="Calibri" w:eastAsia="Times New Roman" w:hAnsi="Calibri" w:cs="Calibri"/>
                <w:color w:val="000000"/>
                <w:sz w:val="20"/>
                <w:szCs w:val="20"/>
                <w:lang w:eastAsia="sk-SK"/>
              </w:rPr>
              <w:t>640 - Bežné transfery</w:t>
            </w:r>
          </w:p>
        </w:tc>
        <w:tc>
          <w:tcPr>
            <w:tcW w:w="1598" w:type="dxa"/>
            <w:tcBorders>
              <w:top w:val="nil"/>
              <w:left w:val="nil"/>
              <w:bottom w:val="nil"/>
              <w:right w:val="nil"/>
            </w:tcBorders>
            <w:shd w:val="clear" w:color="auto" w:fill="auto"/>
            <w:noWrap/>
            <w:vAlign w:val="center"/>
            <w:hideMark/>
          </w:tcPr>
          <w:p w14:paraId="48ADEB9A" w14:textId="7ED9262E"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85 723 169</w:t>
            </w:r>
          </w:p>
        </w:tc>
        <w:tc>
          <w:tcPr>
            <w:tcW w:w="1598" w:type="dxa"/>
            <w:tcBorders>
              <w:top w:val="nil"/>
              <w:left w:val="nil"/>
              <w:bottom w:val="nil"/>
              <w:right w:val="nil"/>
            </w:tcBorders>
            <w:shd w:val="clear" w:color="000000" w:fill="D9D9D9"/>
            <w:noWrap/>
            <w:vAlign w:val="center"/>
          </w:tcPr>
          <w:p w14:paraId="5334510E" w14:textId="1CED1D2A"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92 926 650</w:t>
            </w:r>
          </w:p>
        </w:tc>
        <w:tc>
          <w:tcPr>
            <w:tcW w:w="1673" w:type="dxa"/>
            <w:tcBorders>
              <w:top w:val="nil"/>
              <w:left w:val="nil"/>
              <w:bottom w:val="nil"/>
              <w:right w:val="nil"/>
            </w:tcBorders>
            <w:shd w:val="clear" w:color="000000" w:fill="EBF1DE"/>
            <w:noWrap/>
            <w:vAlign w:val="center"/>
          </w:tcPr>
          <w:p w14:paraId="19166553" w14:textId="2B327F24" w:rsidR="00016002" w:rsidRPr="00E90016"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7 203 481</w:t>
            </w:r>
          </w:p>
        </w:tc>
        <w:tc>
          <w:tcPr>
            <w:tcW w:w="1238" w:type="dxa"/>
            <w:tcBorders>
              <w:top w:val="nil"/>
              <w:left w:val="nil"/>
              <w:bottom w:val="nil"/>
              <w:right w:val="nil"/>
            </w:tcBorders>
            <w:shd w:val="clear" w:color="000000" w:fill="EBF1DE"/>
            <w:noWrap/>
            <w:vAlign w:val="center"/>
          </w:tcPr>
          <w:p w14:paraId="0B39CF76" w14:textId="186A91AF"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8,40%</w:t>
            </w:r>
          </w:p>
        </w:tc>
      </w:tr>
      <w:tr w:rsidR="00016002" w:rsidRPr="00FC55AD" w14:paraId="1F1B1A83" w14:textId="77777777" w:rsidTr="00ED7309">
        <w:trPr>
          <w:trHeight w:val="262"/>
        </w:trPr>
        <w:tc>
          <w:tcPr>
            <w:tcW w:w="4446" w:type="dxa"/>
            <w:tcBorders>
              <w:top w:val="nil"/>
              <w:left w:val="nil"/>
              <w:bottom w:val="nil"/>
              <w:right w:val="nil"/>
            </w:tcBorders>
            <w:shd w:val="clear" w:color="auto" w:fill="auto"/>
            <w:noWrap/>
            <w:vAlign w:val="center"/>
            <w:hideMark/>
          </w:tcPr>
          <w:p w14:paraId="425DA0AE" w14:textId="77777777" w:rsidR="00016002" w:rsidRPr="00FC55AD" w:rsidRDefault="00016002" w:rsidP="00016002">
            <w:pPr>
              <w:spacing w:after="0" w:line="240" w:lineRule="auto"/>
              <w:rPr>
                <w:rFonts w:ascii="Calibri" w:eastAsia="Times New Roman" w:hAnsi="Calibri" w:cs="Calibri"/>
                <w:color w:val="000000"/>
                <w:sz w:val="20"/>
                <w:szCs w:val="20"/>
                <w:lang w:eastAsia="sk-SK"/>
              </w:rPr>
            </w:pPr>
            <w:r w:rsidRPr="00FC55AD">
              <w:rPr>
                <w:rFonts w:ascii="Calibri" w:eastAsia="Times New Roman" w:hAnsi="Calibri" w:cs="Calibri"/>
                <w:color w:val="000000"/>
                <w:sz w:val="20"/>
                <w:szCs w:val="20"/>
                <w:lang w:eastAsia="sk-SK"/>
              </w:rPr>
              <w:t xml:space="preserve">650 - Splácanie  úrokov </w:t>
            </w:r>
          </w:p>
        </w:tc>
        <w:tc>
          <w:tcPr>
            <w:tcW w:w="1598" w:type="dxa"/>
            <w:tcBorders>
              <w:top w:val="nil"/>
              <w:left w:val="nil"/>
              <w:bottom w:val="nil"/>
              <w:right w:val="nil"/>
            </w:tcBorders>
            <w:shd w:val="clear" w:color="auto" w:fill="auto"/>
            <w:noWrap/>
            <w:vAlign w:val="center"/>
            <w:hideMark/>
          </w:tcPr>
          <w:p w14:paraId="1CEA0183" w14:textId="14CF990D"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2 599 000</w:t>
            </w:r>
          </w:p>
        </w:tc>
        <w:tc>
          <w:tcPr>
            <w:tcW w:w="1598" w:type="dxa"/>
            <w:tcBorders>
              <w:top w:val="nil"/>
              <w:left w:val="nil"/>
              <w:bottom w:val="nil"/>
              <w:right w:val="nil"/>
            </w:tcBorders>
            <w:shd w:val="clear" w:color="000000" w:fill="D9D9D9"/>
            <w:noWrap/>
            <w:vAlign w:val="center"/>
          </w:tcPr>
          <w:p w14:paraId="5848D14F" w14:textId="4ADF8AF1"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1 950 000</w:t>
            </w:r>
          </w:p>
        </w:tc>
        <w:tc>
          <w:tcPr>
            <w:tcW w:w="1673" w:type="dxa"/>
            <w:tcBorders>
              <w:top w:val="nil"/>
              <w:left w:val="nil"/>
              <w:bottom w:val="nil"/>
              <w:right w:val="nil"/>
            </w:tcBorders>
            <w:shd w:val="clear" w:color="000000" w:fill="EBF1DE"/>
            <w:noWrap/>
            <w:vAlign w:val="center"/>
          </w:tcPr>
          <w:p w14:paraId="7C92B1EA" w14:textId="0859A9FD" w:rsidR="00016002" w:rsidRPr="00E90016"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-649 000</w:t>
            </w:r>
          </w:p>
        </w:tc>
        <w:tc>
          <w:tcPr>
            <w:tcW w:w="1238" w:type="dxa"/>
            <w:tcBorders>
              <w:top w:val="nil"/>
              <w:left w:val="nil"/>
              <w:bottom w:val="nil"/>
              <w:right w:val="nil"/>
            </w:tcBorders>
            <w:shd w:val="clear" w:color="000000" w:fill="EBF1DE"/>
            <w:noWrap/>
            <w:vAlign w:val="center"/>
          </w:tcPr>
          <w:p w14:paraId="22C065A1" w14:textId="55C0EF9A"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-24,97%</w:t>
            </w:r>
          </w:p>
        </w:tc>
      </w:tr>
      <w:tr w:rsidR="00016002" w:rsidRPr="00FC55AD" w14:paraId="348083C2" w14:textId="77777777" w:rsidTr="00ED7309">
        <w:trPr>
          <w:trHeight w:val="262"/>
        </w:trPr>
        <w:tc>
          <w:tcPr>
            <w:tcW w:w="4446" w:type="dxa"/>
            <w:tcBorders>
              <w:top w:val="nil"/>
              <w:left w:val="nil"/>
              <w:bottom w:val="nil"/>
              <w:right w:val="nil"/>
            </w:tcBorders>
            <w:shd w:val="clear" w:color="000000" w:fill="8DB4E2"/>
            <w:noWrap/>
            <w:vAlign w:val="center"/>
            <w:hideMark/>
          </w:tcPr>
          <w:p w14:paraId="6DD4DCB8" w14:textId="77777777" w:rsidR="00016002" w:rsidRPr="00FC55AD" w:rsidRDefault="00016002" w:rsidP="00016002">
            <w:pPr>
              <w:spacing w:after="0" w:line="240" w:lineRule="auto"/>
              <w:rPr>
                <w:rFonts w:ascii="Calibri" w:eastAsia="Times New Roman" w:hAnsi="Calibri" w:cs="Calibri"/>
                <w:b/>
                <w:bCs/>
                <w:color w:val="000000"/>
                <w:sz w:val="20"/>
                <w:szCs w:val="20"/>
                <w:lang w:eastAsia="sk-SK"/>
              </w:rPr>
            </w:pPr>
            <w:r w:rsidRPr="00FC55AD">
              <w:rPr>
                <w:rFonts w:ascii="Calibri" w:eastAsia="Times New Roman" w:hAnsi="Calibri" w:cs="Calibri"/>
                <w:b/>
                <w:bCs/>
                <w:color w:val="000000"/>
                <w:sz w:val="20"/>
                <w:szCs w:val="20"/>
                <w:lang w:eastAsia="sk-SK"/>
              </w:rPr>
              <w:t>KAPITÁLOVÉ VÝDAVKY</w:t>
            </w:r>
          </w:p>
        </w:tc>
        <w:tc>
          <w:tcPr>
            <w:tcW w:w="1598" w:type="dxa"/>
            <w:tcBorders>
              <w:top w:val="nil"/>
              <w:left w:val="nil"/>
              <w:bottom w:val="nil"/>
              <w:right w:val="nil"/>
            </w:tcBorders>
            <w:shd w:val="clear" w:color="000000" w:fill="8DB4E2"/>
            <w:noWrap/>
            <w:vAlign w:val="center"/>
            <w:hideMark/>
          </w:tcPr>
          <w:p w14:paraId="1A24637A" w14:textId="294C21A1" w:rsidR="00016002" w:rsidRPr="00FC55AD" w:rsidRDefault="00016002" w:rsidP="00016002">
            <w:pPr>
              <w:spacing w:after="0" w:line="240" w:lineRule="auto"/>
              <w:jc w:val="right"/>
              <w:rPr>
                <w:rFonts w:ascii="Calibri" w:eastAsia="Times New Roman" w:hAnsi="Calibri" w:cs="Calibri"/>
                <w:b/>
                <w:bCs/>
                <w:color w:val="000000"/>
                <w:sz w:val="20"/>
                <w:szCs w:val="20"/>
                <w:lang w:eastAsia="sk-SK"/>
              </w:rPr>
            </w:pPr>
            <w:r>
              <w:rPr>
                <w:rFonts w:ascii="Calibri" w:hAnsi="Calibri" w:cs="Calibri"/>
                <w:b/>
                <w:bCs/>
                <w:color w:val="000000"/>
                <w:sz w:val="18"/>
                <w:szCs w:val="18"/>
              </w:rPr>
              <w:t>70 749 888</w:t>
            </w:r>
          </w:p>
        </w:tc>
        <w:tc>
          <w:tcPr>
            <w:tcW w:w="1598" w:type="dxa"/>
            <w:tcBorders>
              <w:top w:val="nil"/>
              <w:left w:val="nil"/>
              <w:bottom w:val="nil"/>
              <w:right w:val="nil"/>
            </w:tcBorders>
            <w:shd w:val="clear" w:color="000000" w:fill="D9D9D9"/>
            <w:noWrap/>
            <w:vAlign w:val="center"/>
          </w:tcPr>
          <w:p w14:paraId="0108F0B4" w14:textId="65BE8960" w:rsidR="00016002" w:rsidRPr="00FC55AD" w:rsidRDefault="00016002" w:rsidP="00016002">
            <w:pPr>
              <w:spacing w:after="0" w:line="240" w:lineRule="auto"/>
              <w:jc w:val="right"/>
              <w:rPr>
                <w:rFonts w:ascii="Calibri" w:eastAsia="Times New Roman" w:hAnsi="Calibri" w:cs="Calibri"/>
                <w:b/>
                <w:bCs/>
                <w:color w:val="000000"/>
                <w:sz w:val="20"/>
                <w:szCs w:val="20"/>
                <w:lang w:eastAsia="sk-SK"/>
              </w:rPr>
            </w:pPr>
            <w:r>
              <w:rPr>
                <w:rFonts w:ascii="Calibri" w:hAnsi="Calibri" w:cs="Calibri"/>
                <w:b/>
                <w:bCs/>
                <w:color w:val="000000"/>
                <w:sz w:val="20"/>
                <w:szCs w:val="20"/>
              </w:rPr>
              <w:t>73 962 958</w:t>
            </w:r>
          </w:p>
        </w:tc>
        <w:tc>
          <w:tcPr>
            <w:tcW w:w="1673" w:type="dxa"/>
            <w:tcBorders>
              <w:top w:val="nil"/>
              <w:left w:val="nil"/>
              <w:bottom w:val="nil"/>
              <w:right w:val="nil"/>
            </w:tcBorders>
            <w:shd w:val="clear" w:color="000000" w:fill="EBF1DE"/>
            <w:noWrap/>
            <w:vAlign w:val="center"/>
          </w:tcPr>
          <w:p w14:paraId="4F06D167" w14:textId="459C452B" w:rsidR="00016002" w:rsidRPr="00296AFE" w:rsidRDefault="00016002" w:rsidP="00016002">
            <w:pPr>
              <w:spacing w:after="0" w:line="240" w:lineRule="auto"/>
              <w:jc w:val="right"/>
              <w:rPr>
                <w:rFonts w:ascii="Calibri" w:eastAsia="Times New Roman" w:hAnsi="Calibri" w:cs="Calibri"/>
                <w:b/>
                <w:bCs/>
                <w:color w:val="000000"/>
                <w:sz w:val="20"/>
                <w:szCs w:val="20"/>
                <w:lang w:eastAsia="sk-SK"/>
              </w:rPr>
            </w:pPr>
            <w:r>
              <w:rPr>
                <w:rFonts w:ascii="Calibri" w:hAnsi="Calibri" w:cs="Calibri"/>
                <w:color w:val="000000"/>
                <w:sz w:val="18"/>
                <w:szCs w:val="18"/>
              </w:rPr>
              <w:t>3 213 070</w:t>
            </w:r>
          </w:p>
        </w:tc>
        <w:tc>
          <w:tcPr>
            <w:tcW w:w="1238" w:type="dxa"/>
            <w:tcBorders>
              <w:top w:val="nil"/>
              <w:left w:val="nil"/>
              <w:bottom w:val="nil"/>
              <w:right w:val="nil"/>
            </w:tcBorders>
            <w:shd w:val="clear" w:color="000000" w:fill="EBF1DE"/>
            <w:noWrap/>
            <w:vAlign w:val="center"/>
          </w:tcPr>
          <w:p w14:paraId="539C361C" w14:textId="4E537EA5"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4,54%</w:t>
            </w:r>
          </w:p>
        </w:tc>
      </w:tr>
      <w:tr w:rsidR="00016002" w:rsidRPr="00FC55AD" w14:paraId="238A8032" w14:textId="77777777" w:rsidTr="00ED7309">
        <w:trPr>
          <w:trHeight w:val="262"/>
        </w:trPr>
        <w:tc>
          <w:tcPr>
            <w:tcW w:w="4446" w:type="dxa"/>
            <w:tcBorders>
              <w:top w:val="nil"/>
              <w:left w:val="nil"/>
              <w:bottom w:val="nil"/>
              <w:right w:val="nil"/>
            </w:tcBorders>
            <w:shd w:val="clear" w:color="auto" w:fill="auto"/>
            <w:noWrap/>
            <w:vAlign w:val="center"/>
            <w:hideMark/>
          </w:tcPr>
          <w:p w14:paraId="414B68DE" w14:textId="77777777" w:rsidR="00016002" w:rsidRPr="00FC55AD" w:rsidRDefault="00016002" w:rsidP="00016002">
            <w:pPr>
              <w:spacing w:after="0" w:line="240" w:lineRule="auto"/>
              <w:rPr>
                <w:rFonts w:ascii="Calibri" w:eastAsia="Times New Roman" w:hAnsi="Calibri" w:cs="Calibri"/>
                <w:color w:val="000000"/>
                <w:sz w:val="20"/>
                <w:szCs w:val="20"/>
                <w:lang w:eastAsia="sk-SK"/>
              </w:rPr>
            </w:pPr>
            <w:r w:rsidRPr="00FC55AD">
              <w:rPr>
                <w:rFonts w:ascii="Calibri" w:eastAsia="Times New Roman" w:hAnsi="Calibri" w:cs="Calibri"/>
                <w:color w:val="000000"/>
                <w:sz w:val="20"/>
                <w:szCs w:val="20"/>
                <w:lang w:eastAsia="sk-SK"/>
              </w:rPr>
              <w:t xml:space="preserve">710 - </w:t>
            </w:r>
            <w:proofErr w:type="spellStart"/>
            <w:r w:rsidRPr="00FC55AD">
              <w:rPr>
                <w:rFonts w:ascii="Calibri" w:eastAsia="Times New Roman" w:hAnsi="Calibri" w:cs="Calibri"/>
                <w:color w:val="000000"/>
                <w:sz w:val="20"/>
                <w:szCs w:val="20"/>
                <w:lang w:eastAsia="sk-SK"/>
              </w:rPr>
              <w:t>Obst</w:t>
            </w:r>
            <w:proofErr w:type="spellEnd"/>
            <w:r w:rsidRPr="00FC55AD">
              <w:rPr>
                <w:rFonts w:ascii="Calibri" w:eastAsia="Times New Roman" w:hAnsi="Calibri" w:cs="Calibri"/>
                <w:color w:val="000000"/>
                <w:sz w:val="20"/>
                <w:szCs w:val="20"/>
                <w:lang w:eastAsia="sk-SK"/>
              </w:rPr>
              <w:t xml:space="preserve">. </w:t>
            </w:r>
            <w:proofErr w:type="spellStart"/>
            <w:r w:rsidRPr="00FC55AD">
              <w:rPr>
                <w:rFonts w:ascii="Calibri" w:eastAsia="Times New Roman" w:hAnsi="Calibri" w:cs="Calibri"/>
                <w:color w:val="000000"/>
                <w:sz w:val="20"/>
                <w:szCs w:val="20"/>
                <w:lang w:eastAsia="sk-SK"/>
              </w:rPr>
              <w:t>kapit</w:t>
            </w:r>
            <w:proofErr w:type="spellEnd"/>
            <w:r w:rsidRPr="00FC55AD">
              <w:rPr>
                <w:rFonts w:ascii="Calibri" w:eastAsia="Times New Roman" w:hAnsi="Calibri" w:cs="Calibri"/>
                <w:color w:val="000000"/>
                <w:sz w:val="20"/>
                <w:szCs w:val="20"/>
                <w:lang w:eastAsia="sk-SK"/>
              </w:rPr>
              <w:t>.  aktív</w:t>
            </w:r>
          </w:p>
        </w:tc>
        <w:tc>
          <w:tcPr>
            <w:tcW w:w="1598" w:type="dxa"/>
            <w:tcBorders>
              <w:top w:val="nil"/>
              <w:left w:val="nil"/>
              <w:bottom w:val="nil"/>
              <w:right w:val="nil"/>
            </w:tcBorders>
            <w:shd w:val="clear" w:color="auto" w:fill="auto"/>
            <w:noWrap/>
            <w:vAlign w:val="center"/>
            <w:hideMark/>
          </w:tcPr>
          <w:p w14:paraId="0502D9C1" w14:textId="0F59879A"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18 536 122</w:t>
            </w:r>
          </w:p>
        </w:tc>
        <w:tc>
          <w:tcPr>
            <w:tcW w:w="1598" w:type="dxa"/>
            <w:tcBorders>
              <w:top w:val="nil"/>
              <w:left w:val="nil"/>
              <w:bottom w:val="nil"/>
              <w:right w:val="nil"/>
            </w:tcBorders>
            <w:shd w:val="clear" w:color="000000" w:fill="D9D9D9"/>
            <w:noWrap/>
            <w:vAlign w:val="center"/>
          </w:tcPr>
          <w:p w14:paraId="59687111" w14:textId="315F5D85"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37 811 989</w:t>
            </w:r>
          </w:p>
        </w:tc>
        <w:tc>
          <w:tcPr>
            <w:tcW w:w="1673" w:type="dxa"/>
            <w:tcBorders>
              <w:top w:val="nil"/>
              <w:left w:val="nil"/>
              <w:bottom w:val="nil"/>
              <w:right w:val="nil"/>
            </w:tcBorders>
            <w:shd w:val="clear" w:color="000000" w:fill="EBF1DE"/>
            <w:noWrap/>
            <w:vAlign w:val="center"/>
          </w:tcPr>
          <w:p w14:paraId="16C67C9C" w14:textId="5F3D9F58" w:rsidR="00016002" w:rsidRPr="00E90016"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19 275 867</w:t>
            </w:r>
          </w:p>
        </w:tc>
        <w:tc>
          <w:tcPr>
            <w:tcW w:w="1238" w:type="dxa"/>
            <w:tcBorders>
              <w:top w:val="nil"/>
              <w:left w:val="nil"/>
              <w:bottom w:val="nil"/>
              <w:right w:val="nil"/>
            </w:tcBorders>
            <w:shd w:val="clear" w:color="000000" w:fill="EBF1DE"/>
            <w:noWrap/>
            <w:vAlign w:val="center"/>
          </w:tcPr>
          <w:p w14:paraId="57A72192" w14:textId="39BB9BDA"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103,99%</w:t>
            </w:r>
          </w:p>
        </w:tc>
      </w:tr>
      <w:tr w:rsidR="00016002" w:rsidRPr="00FC55AD" w14:paraId="4DF060CB" w14:textId="77777777" w:rsidTr="00ED7309">
        <w:trPr>
          <w:trHeight w:val="262"/>
        </w:trPr>
        <w:tc>
          <w:tcPr>
            <w:tcW w:w="4446" w:type="dxa"/>
            <w:tcBorders>
              <w:top w:val="nil"/>
              <w:left w:val="nil"/>
              <w:bottom w:val="nil"/>
              <w:right w:val="nil"/>
            </w:tcBorders>
            <w:shd w:val="clear" w:color="auto" w:fill="auto"/>
            <w:noWrap/>
            <w:vAlign w:val="center"/>
            <w:hideMark/>
          </w:tcPr>
          <w:p w14:paraId="1364D3CF" w14:textId="77777777" w:rsidR="00016002" w:rsidRPr="00FC55AD" w:rsidRDefault="00016002" w:rsidP="00016002">
            <w:pPr>
              <w:spacing w:after="0" w:line="240" w:lineRule="auto"/>
              <w:rPr>
                <w:rFonts w:ascii="Calibri" w:eastAsia="Times New Roman" w:hAnsi="Calibri" w:cs="Calibri"/>
                <w:color w:val="000000"/>
                <w:sz w:val="20"/>
                <w:szCs w:val="20"/>
                <w:lang w:eastAsia="sk-SK"/>
              </w:rPr>
            </w:pPr>
            <w:r w:rsidRPr="00FC55AD">
              <w:rPr>
                <w:rFonts w:ascii="Calibri" w:eastAsia="Times New Roman" w:hAnsi="Calibri" w:cs="Calibri"/>
                <w:color w:val="000000"/>
                <w:sz w:val="20"/>
                <w:szCs w:val="20"/>
                <w:lang w:eastAsia="sk-SK"/>
              </w:rPr>
              <w:t>720 -  Kapitálové transfery</w:t>
            </w:r>
          </w:p>
        </w:tc>
        <w:tc>
          <w:tcPr>
            <w:tcW w:w="1598" w:type="dxa"/>
            <w:tcBorders>
              <w:top w:val="nil"/>
              <w:left w:val="nil"/>
              <w:bottom w:val="nil"/>
              <w:right w:val="nil"/>
            </w:tcBorders>
            <w:shd w:val="clear" w:color="auto" w:fill="auto"/>
            <w:noWrap/>
            <w:vAlign w:val="center"/>
            <w:hideMark/>
          </w:tcPr>
          <w:p w14:paraId="1E1E7748" w14:textId="216492DF"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52 213 766</w:t>
            </w:r>
          </w:p>
        </w:tc>
        <w:tc>
          <w:tcPr>
            <w:tcW w:w="1598" w:type="dxa"/>
            <w:tcBorders>
              <w:top w:val="nil"/>
              <w:left w:val="nil"/>
              <w:bottom w:val="nil"/>
              <w:right w:val="nil"/>
            </w:tcBorders>
            <w:shd w:val="clear" w:color="000000" w:fill="D9D9D9"/>
            <w:noWrap/>
            <w:vAlign w:val="center"/>
          </w:tcPr>
          <w:p w14:paraId="11D2B8C9" w14:textId="364DB7BD"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36 150 969</w:t>
            </w:r>
          </w:p>
        </w:tc>
        <w:tc>
          <w:tcPr>
            <w:tcW w:w="1673" w:type="dxa"/>
            <w:tcBorders>
              <w:top w:val="nil"/>
              <w:left w:val="nil"/>
              <w:bottom w:val="nil"/>
              <w:right w:val="nil"/>
            </w:tcBorders>
            <w:shd w:val="clear" w:color="000000" w:fill="EBF1DE"/>
            <w:noWrap/>
            <w:vAlign w:val="center"/>
          </w:tcPr>
          <w:p w14:paraId="5C07B043" w14:textId="1DB1D9BB" w:rsidR="00016002" w:rsidRPr="00E90016"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-16 062 797</w:t>
            </w:r>
          </w:p>
        </w:tc>
        <w:tc>
          <w:tcPr>
            <w:tcW w:w="1238" w:type="dxa"/>
            <w:tcBorders>
              <w:top w:val="nil"/>
              <w:left w:val="nil"/>
              <w:bottom w:val="nil"/>
              <w:right w:val="nil"/>
            </w:tcBorders>
            <w:shd w:val="clear" w:color="000000" w:fill="EBF1DE"/>
            <w:noWrap/>
            <w:vAlign w:val="center"/>
          </w:tcPr>
          <w:p w14:paraId="2E01F1DA" w14:textId="0D01B81C"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-30,76%</w:t>
            </w:r>
          </w:p>
        </w:tc>
      </w:tr>
      <w:tr w:rsidR="00016002" w:rsidRPr="00FC55AD" w14:paraId="2DF99161" w14:textId="77777777" w:rsidTr="00ED7309">
        <w:trPr>
          <w:trHeight w:val="262"/>
        </w:trPr>
        <w:tc>
          <w:tcPr>
            <w:tcW w:w="4446" w:type="dxa"/>
            <w:tcBorders>
              <w:top w:val="nil"/>
              <w:left w:val="nil"/>
              <w:bottom w:val="nil"/>
              <w:right w:val="nil"/>
            </w:tcBorders>
            <w:shd w:val="clear" w:color="000000" w:fill="8DB4E2"/>
            <w:noWrap/>
            <w:vAlign w:val="center"/>
            <w:hideMark/>
          </w:tcPr>
          <w:p w14:paraId="19BE3061" w14:textId="77777777" w:rsidR="00016002" w:rsidRPr="00FC55AD" w:rsidRDefault="00016002" w:rsidP="00016002">
            <w:pPr>
              <w:spacing w:after="0" w:line="240" w:lineRule="auto"/>
              <w:rPr>
                <w:rFonts w:ascii="Calibri" w:eastAsia="Times New Roman" w:hAnsi="Calibri" w:cs="Calibri"/>
                <w:b/>
                <w:bCs/>
                <w:color w:val="000000"/>
                <w:sz w:val="20"/>
                <w:szCs w:val="20"/>
                <w:lang w:eastAsia="sk-SK"/>
              </w:rPr>
            </w:pPr>
            <w:r w:rsidRPr="00FC55AD">
              <w:rPr>
                <w:rFonts w:ascii="Calibri" w:eastAsia="Times New Roman" w:hAnsi="Calibri" w:cs="Calibri"/>
                <w:b/>
                <w:bCs/>
                <w:color w:val="000000"/>
                <w:sz w:val="20"/>
                <w:szCs w:val="20"/>
                <w:lang w:eastAsia="sk-SK"/>
              </w:rPr>
              <w:t>VÝDAVKOVÉ FINANČNÉ OPERÁCIE</w:t>
            </w:r>
          </w:p>
        </w:tc>
        <w:tc>
          <w:tcPr>
            <w:tcW w:w="1598" w:type="dxa"/>
            <w:tcBorders>
              <w:top w:val="nil"/>
              <w:left w:val="nil"/>
              <w:bottom w:val="nil"/>
              <w:right w:val="nil"/>
            </w:tcBorders>
            <w:shd w:val="clear" w:color="000000" w:fill="8DB4E2"/>
            <w:noWrap/>
            <w:vAlign w:val="center"/>
            <w:hideMark/>
          </w:tcPr>
          <w:p w14:paraId="3052AA8B" w14:textId="6040FC84" w:rsidR="00016002" w:rsidRPr="00FC55AD" w:rsidRDefault="00016002" w:rsidP="00016002">
            <w:pPr>
              <w:spacing w:after="0" w:line="240" w:lineRule="auto"/>
              <w:jc w:val="right"/>
              <w:rPr>
                <w:rFonts w:ascii="Calibri" w:eastAsia="Times New Roman" w:hAnsi="Calibri" w:cs="Calibri"/>
                <w:b/>
                <w:bCs/>
                <w:color w:val="000000"/>
                <w:sz w:val="20"/>
                <w:szCs w:val="20"/>
                <w:lang w:eastAsia="sk-SK"/>
              </w:rPr>
            </w:pPr>
            <w:r>
              <w:rPr>
                <w:rFonts w:ascii="Calibri" w:hAnsi="Calibri" w:cs="Calibri"/>
                <w:b/>
                <w:bCs/>
                <w:color w:val="000000"/>
                <w:sz w:val="18"/>
                <w:szCs w:val="18"/>
              </w:rPr>
              <w:t>7 785 689</w:t>
            </w:r>
          </w:p>
        </w:tc>
        <w:tc>
          <w:tcPr>
            <w:tcW w:w="1598" w:type="dxa"/>
            <w:tcBorders>
              <w:top w:val="nil"/>
              <w:left w:val="nil"/>
              <w:bottom w:val="nil"/>
              <w:right w:val="nil"/>
            </w:tcBorders>
            <w:shd w:val="clear" w:color="000000" w:fill="D9D9D9"/>
            <w:noWrap/>
            <w:vAlign w:val="center"/>
          </w:tcPr>
          <w:p w14:paraId="6E655DE6" w14:textId="33A0F030" w:rsidR="00016002" w:rsidRPr="00FC55AD" w:rsidRDefault="00016002" w:rsidP="00016002">
            <w:pPr>
              <w:spacing w:after="0" w:line="240" w:lineRule="auto"/>
              <w:jc w:val="right"/>
              <w:rPr>
                <w:rFonts w:ascii="Calibri" w:eastAsia="Times New Roman" w:hAnsi="Calibri" w:cs="Calibri"/>
                <w:b/>
                <w:bCs/>
                <w:color w:val="000000"/>
                <w:sz w:val="20"/>
                <w:szCs w:val="20"/>
                <w:lang w:eastAsia="sk-SK"/>
              </w:rPr>
            </w:pPr>
            <w:r>
              <w:rPr>
                <w:rFonts w:ascii="Calibri" w:hAnsi="Calibri" w:cs="Calibri"/>
                <w:b/>
                <w:bCs/>
                <w:color w:val="000000"/>
                <w:sz w:val="20"/>
                <w:szCs w:val="20"/>
              </w:rPr>
              <w:t>6 097 991</w:t>
            </w:r>
          </w:p>
        </w:tc>
        <w:tc>
          <w:tcPr>
            <w:tcW w:w="1673" w:type="dxa"/>
            <w:tcBorders>
              <w:top w:val="nil"/>
              <w:left w:val="nil"/>
              <w:bottom w:val="nil"/>
              <w:right w:val="nil"/>
            </w:tcBorders>
            <w:shd w:val="clear" w:color="000000" w:fill="EBF1DE"/>
            <w:noWrap/>
            <w:vAlign w:val="center"/>
          </w:tcPr>
          <w:p w14:paraId="41D044BA" w14:textId="53493E96" w:rsidR="00016002" w:rsidRPr="00296AFE" w:rsidRDefault="00016002" w:rsidP="00016002">
            <w:pPr>
              <w:spacing w:after="0" w:line="240" w:lineRule="auto"/>
              <w:jc w:val="right"/>
              <w:rPr>
                <w:rFonts w:ascii="Calibri" w:eastAsia="Times New Roman" w:hAnsi="Calibri" w:cs="Calibri"/>
                <w:b/>
                <w:bCs/>
                <w:color w:val="000000"/>
                <w:sz w:val="20"/>
                <w:szCs w:val="20"/>
                <w:lang w:eastAsia="sk-SK"/>
              </w:rPr>
            </w:pPr>
            <w:r>
              <w:rPr>
                <w:rFonts w:ascii="Calibri" w:hAnsi="Calibri" w:cs="Calibri"/>
                <w:color w:val="000000"/>
                <w:sz w:val="18"/>
                <w:szCs w:val="18"/>
              </w:rPr>
              <w:t>-1 687 698</w:t>
            </w:r>
          </w:p>
        </w:tc>
        <w:tc>
          <w:tcPr>
            <w:tcW w:w="1238" w:type="dxa"/>
            <w:tcBorders>
              <w:top w:val="nil"/>
              <w:left w:val="nil"/>
              <w:bottom w:val="nil"/>
              <w:right w:val="nil"/>
            </w:tcBorders>
            <w:shd w:val="clear" w:color="000000" w:fill="EBF1DE"/>
            <w:noWrap/>
            <w:vAlign w:val="center"/>
          </w:tcPr>
          <w:p w14:paraId="6DE97D4B" w14:textId="72A29306"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-21,68%</w:t>
            </w:r>
          </w:p>
        </w:tc>
      </w:tr>
      <w:tr w:rsidR="00016002" w:rsidRPr="00FC55AD" w14:paraId="4CDAE866" w14:textId="77777777" w:rsidTr="00ED7309">
        <w:trPr>
          <w:trHeight w:val="262"/>
        </w:trPr>
        <w:tc>
          <w:tcPr>
            <w:tcW w:w="4446" w:type="dxa"/>
            <w:tcBorders>
              <w:top w:val="nil"/>
              <w:left w:val="nil"/>
              <w:bottom w:val="nil"/>
              <w:right w:val="nil"/>
            </w:tcBorders>
            <w:shd w:val="clear" w:color="auto" w:fill="auto"/>
            <w:noWrap/>
            <w:vAlign w:val="center"/>
            <w:hideMark/>
          </w:tcPr>
          <w:p w14:paraId="5A4B0E94" w14:textId="77777777" w:rsidR="00016002" w:rsidRPr="00FC55AD" w:rsidRDefault="00016002" w:rsidP="00016002">
            <w:pPr>
              <w:spacing w:after="0" w:line="240" w:lineRule="auto"/>
              <w:rPr>
                <w:rFonts w:ascii="Calibri" w:eastAsia="Times New Roman" w:hAnsi="Calibri" w:cs="Calibri"/>
                <w:color w:val="000000"/>
                <w:sz w:val="20"/>
                <w:szCs w:val="20"/>
                <w:lang w:eastAsia="sk-SK"/>
              </w:rPr>
            </w:pPr>
            <w:r w:rsidRPr="00FC55AD">
              <w:rPr>
                <w:rFonts w:ascii="Calibri" w:eastAsia="Times New Roman" w:hAnsi="Calibri" w:cs="Calibri"/>
                <w:color w:val="000000"/>
                <w:sz w:val="20"/>
                <w:szCs w:val="20"/>
                <w:lang w:eastAsia="sk-SK"/>
              </w:rPr>
              <w:t>810 - Poskytnuté pôžičky, kurzové rozdiely</w:t>
            </w:r>
          </w:p>
        </w:tc>
        <w:tc>
          <w:tcPr>
            <w:tcW w:w="1598" w:type="dxa"/>
            <w:tcBorders>
              <w:top w:val="nil"/>
              <w:left w:val="nil"/>
              <w:bottom w:val="nil"/>
              <w:right w:val="nil"/>
            </w:tcBorders>
            <w:shd w:val="clear" w:color="auto" w:fill="auto"/>
            <w:noWrap/>
            <w:vAlign w:val="center"/>
            <w:hideMark/>
          </w:tcPr>
          <w:p w14:paraId="0C7B2387" w14:textId="43753411"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100</w:t>
            </w:r>
          </w:p>
        </w:tc>
        <w:tc>
          <w:tcPr>
            <w:tcW w:w="1598" w:type="dxa"/>
            <w:tcBorders>
              <w:top w:val="nil"/>
              <w:left w:val="nil"/>
              <w:bottom w:val="nil"/>
              <w:right w:val="nil"/>
            </w:tcBorders>
            <w:shd w:val="clear" w:color="000000" w:fill="D9D9D9"/>
            <w:noWrap/>
            <w:vAlign w:val="center"/>
          </w:tcPr>
          <w:p w14:paraId="6B0EAAC3" w14:textId="357B2EB6"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0</w:t>
            </w:r>
          </w:p>
        </w:tc>
        <w:tc>
          <w:tcPr>
            <w:tcW w:w="1673" w:type="dxa"/>
            <w:tcBorders>
              <w:top w:val="nil"/>
              <w:left w:val="nil"/>
              <w:bottom w:val="nil"/>
              <w:right w:val="nil"/>
            </w:tcBorders>
            <w:shd w:val="clear" w:color="000000" w:fill="EBF1DE"/>
            <w:noWrap/>
            <w:vAlign w:val="center"/>
          </w:tcPr>
          <w:p w14:paraId="2CB9E7F0" w14:textId="2B2EEAA8" w:rsidR="00016002" w:rsidRPr="00E90016"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-100</w:t>
            </w:r>
          </w:p>
        </w:tc>
        <w:tc>
          <w:tcPr>
            <w:tcW w:w="1238" w:type="dxa"/>
            <w:tcBorders>
              <w:top w:val="nil"/>
              <w:left w:val="nil"/>
              <w:bottom w:val="nil"/>
              <w:right w:val="nil"/>
            </w:tcBorders>
            <w:shd w:val="clear" w:color="000000" w:fill="EBF1DE"/>
            <w:noWrap/>
            <w:vAlign w:val="center"/>
          </w:tcPr>
          <w:p w14:paraId="7303A7A5" w14:textId="39EAEDAE"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-100,00%</w:t>
            </w:r>
          </w:p>
        </w:tc>
      </w:tr>
      <w:tr w:rsidR="00016002" w:rsidRPr="00FC55AD" w14:paraId="69133DC2" w14:textId="77777777" w:rsidTr="00ED7309">
        <w:trPr>
          <w:trHeight w:val="262"/>
        </w:trPr>
        <w:tc>
          <w:tcPr>
            <w:tcW w:w="4446" w:type="dxa"/>
            <w:tcBorders>
              <w:top w:val="nil"/>
              <w:left w:val="nil"/>
              <w:bottom w:val="nil"/>
              <w:right w:val="nil"/>
            </w:tcBorders>
            <w:shd w:val="clear" w:color="auto" w:fill="auto"/>
            <w:noWrap/>
            <w:vAlign w:val="center"/>
            <w:hideMark/>
          </w:tcPr>
          <w:p w14:paraId="051280B4" w14:textId="77777777" w:rsidR="00016002" w:rsidRPr="00FC55AD" w:rsidRDefault="00016002" w:rsidP="00016002">
            <w:pPr>
              <w:spacing w:after="0" w:line="240" w:lineRule="auto"/>
              <w:rPr>
                <w:rFonts w:ascii="Calibri" w:eastAsia="Times New Roman" w:hAnsi="Calibri" w:cs="Calibri"/>
                <w:color w:val="000000"/>
                <w:sz w:val="20"/>
                <w:szCs w:val="20"/>
                <w:lang w:eastAsia="sk-SK"/>
              </w:rPr>
            </w:pPr>
            <w:r w:rsidRPr="00FC55AD">
              <w:rPr>
                <w:rFonts w:ascii="Calibri" w:eastAsia="Times New Roman" w:hAnsi="Calibri" w:cs="Calibri"/>
                <w:color w:val="000000"/>
                <w:sz w:val="20"/>
                <w:szCs w:val="20"/>
                <w:lang w:eastAsia="sk-SK"/>
              </w:rPr>
              <w:t>820 - Splátky istín úverov</w:t>
            </w:r>
          </w:p>
        </w:tc>
        <w:tc>
          <w:tcPr>
            <w:tcW w:w="1598" w:type="dxa"/>
            <w:tcBorders>
              <w:top w:val="nil"/>
              <w:left w:val="nil"/>
              <w:bottom w:val="nil"/>
              <w:right w:val="nil"/>
            </w:tcBorders>
            <w:shd w:val="clear" w:color="auto" w:fill="auto"/>
            <w:noWrap/>
            <w:vAlign w:val="center"/>
            <w:hideMark/>
          </w:tcPr>
          <w:p w14:paraId="31E01F3B" w14:textId="277CE056"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7 785 589</w:t>
            </w:r>
          </w:p>
        </w:tc>
        <w:tc>
          <w:tcPr>
            <w:tcW w:w="1598" w:type="dxa"/>
            <w:tcBorders>
              <w:top w:val="nil"/>
              <w:left w:val="nil"/>
              <w:bottom w:val="nil"/>
              <w:right w:val="nil"/>
            </w:tcBorders>
            <w:shd w:val="clear" w:color="000000" w:fill="D9D9D9"/>
            <w:noWrap/>
            <w:vAlign w:val="center"/>
          </w:tcPr>
          <w:p w14:paraId="7E1AE9DB" w14:textId="7D0A4FAD" w:rsidR="00016002" w:rsidRPr="00FC55AD"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20"/>
                <w:szCs w:val="20"/>
              </w:rPr>
              <w:t>6 097 991</w:t>
            </w:r>
          </w:p>
        </w:tc>
        <w:tc>
          <w:tcPr>
            <w:tcW w:w="1673" w:type="dxa"/>
            <w:tcBorders>
              <w:top w:val="nil"/>
              <w:left w:val="nil"/>
              <w:bottom w:val="nil"/>
              <w:right w:val="nil"/>
            </w:tcBorders>
            <w:shd w:val="clear" w:color="000000" w:fill="EBF1DE"/>
            <w:noWrap/>
            <w:vAlign w:val="center"/>
          </w:tcPr>
          <w:p w14:paraId="698A6513" w14:textId="78421642" w:rsidR="00016002" w:rsidRPr="00E90016"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color w:val="000000"/>
                <w:sz w:val="18"/>
                <w:szCs w:val="18"/>
              </w:rPr>
              <w:t>-1 687 598</w:t>
            </w:r>
          </w:p>
        </w:tc>
        <w:tc>
          <w:tcPr>
            <w:tcW w:w="1238" w:type="dxa"/>
            <w:tcBorders>
              <w:top w:val="nil"/>
              <w:left w:val="nil"/>
              <w:bottom w:val="nil"/>
              <w:right w:val="nil"/>
            </w:tcBorders>
            <w:shd w:val="clear" w:color="000000" w:fill="EBF1DE"/>
            <w:noWrap/>
            <w:vAlign w:val="center"/>
          </w:tcPr>
          <w:p w14:paraId="7D54871B" w14:textId="78C26C01" w:rsidR="00016002" w:rsidRPr="00595471" w:rsidRDefault="00016002" w:rsidP="00016002">
            <w:pPr>
              <w:spacing w:after="0" w:line="240" w:lineRule="auto"/>
              <w:jc w:val="right"/>
              <w:rPr>
                <w:rFonts w:ascii="Calibri" w:eastAsia="Times New Roman" w:hAnsi="Calibri" w:cs="Calibri"/>
                <w:color w:val="000000"/>
                <w:sz w:val="20"/>
                <w:szCs w:val="20"/>
                <w:lang w:eastAsia="sk-SK"/>
              </w:rPr>
            </w:pPr>
            <w:r>
              <w:rPr>
                <w:rFonts w:ascii="Calibri" w:hAnsi="Calibri" w:cs="Calibri"/>
                <w:b/>
                <w:bCs/>
                <w:color w:val="000000"/>
                <w:sz w:val="18"/>
                <w:szCs w:val="18"/>
              </w:rPr>
              <w:t>-21,68%</w:t>
            </w:r>
          </w:p>
        </w:tc>
      </w:tr>
    </w:tbl>
    <w:p w14:paraId="155EA666" w14:textId="77777777" w:rsidR="00F84322" w:rsidRDefault="00F84322" w:rsidP="00C8280C">
      <w:pPr>
        <w:pStyle w:val="Zkladntext"/>
        <w:spacing w:after="0" w:line="276" w:lineRule="auto"/>
        <w:jc w:val="both"/>
        <w:rPr>
          <w:rFonts w:asciiTheme="minorHAnsi" w:hAnsiTheme="minorHAnsi" w:cstheme="minorHAnsi"/>
          <w:lang w:eastAsia="en-US"/>
        </w:rPr>
      </w:pPr>
    </w:p>
    <w:p w14:paraId="3A692EEF" w14:textId="035B1FB7" w:rsidR="00F459BF" w:rsidRPr="005A57F6" w:rsidRDefault="00C8280C" w:rsidP="005A57F6">
      <w:pPr>
        <w:pStyle w:val="Zkladntext"/>
        <w:spacing w:after="0"/>
        <w:jc w:val="both"/>
        <w:rPr>
          <w:rFonts w:asciiTheme="minorHAnsi" w:hAnsiTheme="minorHAnsi" w:cstheme="minorHAnsi"/>
          <w:lang w:eastAsia="en-US"/>
        </w:rPr>
      </w:pPr>
      <w:r w:rsidRPr="005A57F6">
        <w:rPr>
          <w:rFonts w:asciiTheme="minorHAnsi" w:hAnsiTheme="minorHAnsi" w:cstheme="minorHAnsi"/>
          <w:lang w:eastAsia="en-US"/>
        </w:rPr>
        <w:t>Bratislavský samosprávny kraj je povinný zostavovať svoj rozpočet v  programovej štruktúre. Podobne ako v predchádzajúcich obdobiach aj v programovom rozpočte na roky 202</w:t>
      </w:r>
      <w:r w:rsidR="00A71F9B" w:rsidRPr="005A57F6">
        <w:rPr>
          <w:rFonts w:asciiTheme="minorHAnsi" w:hAnsiTheme="minorHAnsi" w:cstheme="minorHAnsi"/>
          <w:lang w:eastAsia="en-US"/>
        </w:rPr>
        <w:t>5</w:t>
      </w:r>
      <w:r w:rsidRPr="005A57F6">
        <w:rPr>
          <w:rFonts w:asciiTheme="minorHAnsi" w:hAnsiTheme="minorHAnsi" w:cstheme="minorHAnsi"/>
          <w:lang w:eastAsia="en-US"/>
        </w:rPr>
        <w:t xml:space="preserve"> – 202</w:t>
      </w:r>
      <w:r w:rsidR="00A71F9B" w:rsidRPr="005A57F6">
        <w:rPr>
          <w:rFonts w:asciiTheme="minorHAnsi" w:hAnsiTheme="minorHAnsi" w:cstheme="minorHAnsi"/>
          <w:lang w:eastAsia="en-US"/>
        </w:rPr>
        <w:t>7</w:t>
      </w:r>
      <w:r w:rsidRPr="005A57F6">
        <w:rPr>
          <w:rFonts w:asciiTheme="minorHAnsi" w:hAnsiTheme="minorHAnsi" w:cstheme="minorHAnsi"/>
          <w:lang w:eastAsia="en-US"/>
        </w:rPr>
        <w:t xml:space="preserve"> sú výdavky samosprávneho kraja alokované do 14 programov, kde každý program, podprogram a prvok má rozpočtovanú výšku výdavkov s prihliadnutím na účel ich použitia. Pri tvorbe rozpočtu boli zadefinované podstatné úlohy, ktoré sa budú prostredníctvom týchto výdavkov financovať. Základom sú požiadavky, ktoré plynú z povinnosti napĺňať prenesené kompetencie, ďalej sú to výdavky na zabezpečenie fungovania organizácii </w:t>
      </w:r>
      <w:r w:rsidR="00A71F9B" w:rsidRPr="005A57F6">
        <w:rPr>
          <w:rFonts w:asciiTheme="minorHAnsi" w:hAnsiTheme="minorHAnsi" w:cstheme="minorHAnsi"/>
          <w:lang w:eastAsia="en-US"/>
        </w:rPr>
        <w:br/>
      </w:r>
      <w:r w:rsidRPr="005A57F6">
        <w:rPr>
          <w:rFonts w:asciiTheme="minorHAnsi" w:hAnsiTheme="minorHAnsi" w:cstheme="minorHAnsi"/>
          <w:lang w:eastAsia="en-US"/>
        </w:rPr>
        <w:t xml:space="preserve">v zriaďovateľskej pôsobnosti BSK a samotného Úradu.  </w:t>
      </w:r>
    </w:p>
    <w:p w14:paraId="60BEAB46" w14:textId="77777777" w:rsidR="00C10DE1" w:rsidRPr="005A57F6" w:rsidRDefault="00C10DE1" w:rsidP="005A57F6">
      <w:pPr>
        <w:pStyle w:val="Zkladntext"/>
        <w:spacing w:after="0"/>
        <w:jc w:val="both"/>
        <w:rPr>
          <w:rFonts w:asciiTheme="minorHAnsi" w:hAnsiTheme="minorHAnsi" w:cstheme="minorHAnsi"/>
          <w:lang w:eastAsia="en-US"/>
        </w:rPr>
      </w:pPr>
    </w:p>
    <w:p w14:paraId="59E7B1D4" w14:textId="3F829D06" w:rsidR="00C8280C" w:rsidRPr="005A57F6" w:rsidRDefault="004D03BD" w:rsidP="005A57F6">
      <w:pPr>
        <w:spacing w:line="240" w:lineRule="auto"/>
        <w:jc w:val="both"/>
        <w:rPr>
          <w:rFonts w:eastAsia="Times New Roman" w:cstheme="minorHAnsi"/>
          <w:sz w:val="24"/>
          <w:szCs w:val="24"/>
        </w:rPr>
      </w:pPr>
      <w:r w:rsidRPr="005A57F6">
        <w:rPr>
          <w:rFonts w:eastAsia="Times New Roman" w:cstheme="minorHAnsi"/>
          <w:sz w:val="24"/>
          <w:szCs w:val="24"/>
        </w:rPr>
        <w:t>Celkové v</w:t>
      </w:r>
      <w:r w:rsidR="00987D70" w:rsidRPr="005A57F6">
        <w:rPr>
          <w:rFonts w:eastAsia="Times New Roman" w:cstheme="minorHAnsi"/>
          <w:sz w:val="24"/>
          <w:szCs w:val="24"/>
        </w:rPr>
        <w:t xml:space="preserve">ýdavky </w:t>
      </w:r>
      <w:r w:rsidR="00E51E6C" w:rsidRPr="005A57F6">
        <w:rPr>
          <w:rFonts w:eastAsia="Times New Roman" w:cstheme="minorHAnsi"/>
          <w:sz w:val="24"/>
          <w:szCs w:val="24"/>
        </w:rPr>
        <w:t xml:space="preserve">bez </w:t>
      </w:r>
      <w:r w:rsidR="007007B4" w:rsidRPr="005A57F6">
        <w:rPr>
          <w:rFonts w:eastAsia="Times New Roman" w:cstheme="minorHAnsi"/>
          <w:sz w:val="24"/>
          <w:szCs w:val="24"/>
        </w:rPr>
        <w:t>výdavkových finančných operácii</w:t>
      </w:r>
      <w:r w:rsidR="00E51E6C" w:rsidRPr="005A57F6">
        <w:rPr>
          <w:rFonts w:eastAsia="Times New Roman" w:cstheme="minorHAnsi"/>
          <w:sz w:val="24"/>
          <w:szCs w:val="24"/>
        </w:rPr>
        <w:t xml:space="preserve"> </w:t>
      </w:r>
      <w:r w:rsidR="00987D70" w:rsidRPr="005A57F6">
        <w:rPr>
          <w:rFonts w:eastAsia="Times New Roman" w:cstheme="minorHAnsi"/>
          <w:sz w:val="24"/>
          <w:szCs w:val="24"/>
        </w:rPr>
        <w:t>rozpočtované v jednotlivých  programoch:</w:t>
      </w:r>
    </w:p>
    <w:tbl>
      <w:tblPr>
        <w:tblW w:w="5193" w:type="pct"/>
        <w:tblInd w:w="-284" w:type="dxa"/>
        <w:tblLayout w:type="fixed"/>
        <w:tblCellMar>
          <w:left w:w="70" w:type="dxa"/>
          <w:right w:w="70" w:type="dxa"/>
        </w:tblCellMar>
        <w:tblLook w:val="04A0" w:firstRow="1" w:lastRow="0" w:firstColumn="1" w:lastColumn="0" w:noHBand="0" w:noVBand="1"/>
      </w:tblPr>
      <w:tblGrid>
        <w:gridCol w:w="5591"/>
        <w:gridCol w:w="1574"/>
        <w:gridCol w:w="1320"/>
        <w:gridCol w:w="1150"/>
        <w:gridCol w:w="1235"/>
      </w:tblGrid>
      <w:tr w:rsidR="00BE2A1F" w:rsidRPr="00BF2403" w14:paraId="5E9F1EC8" w14:textId="77777777" w:rsidTr="003155E1">
        <w:trPr>
          <w:trHeight w:val="109"/>
          <w:tblHeader/>
        </w:trPr>
        <w:tc>
          <w:tcPr>
            <w:tcW w:w="2572" w:type="pct"/>
            <w:tcBorders>
              <w:top w:val="nil"/>
              <w:left w:val="nil"/>
              <w:bottom w:val="single" w:sz="8" w:space="0" w:color="DCE6F1"/>
              <w:right w:val="nil"/>
            </w:tcBorders>
            <w:shd w:val="clear" w:color="000000" w:fill="366092"/>
            <w:noWrap/>
            <w:vAlign w:val="center"/>
            <w:hideMark/>
          </w:tcPr>
          <w:p w14:paraId="63039B7B" w14:textId="77777777" w:rsidR="00BE2A1F" w:rsidRPr="00BF2403" w:rsidRDefault="00BE2A1F" w:rsidP="00BE2A1F">
            <w:pPr>
              <w:spacing w:after="0" w:line="240" w:lineRule="auto"/>
              <w:rPr>
                <w:rFonts w:eastAsia="Times New Roman" w:cstheme="minorHAnsi"/>
                <w:b/>
                <w:bCs/>
                <w:color w:val="FFFFFF"/>
                <w:sz w:val="20"/>
                <w:szCs w:val="20"/>
                <w:lang w:eastAsia="sk-SK"/>
              </w:rPr>
            </w:pPr>
            <w:r w:rsidRPr="00BF2403">
              <w:rPr>
                <w:rFonts w:eastAsia="Times New Roman" w:cstheme="minorHAnsi"/>
                <w:b/>
                <w:bCs/>
                <w:color w:val="FFFFFF"/>
                <w:sz w:val="20"/>
                <w:szCs w:val="20"/>
                <w:lang w:eastAsia="sk-SK"/>
              </w:rPr>
              <w:t> </w:t>
            </w:r>
          </w:p>
        </w:tc>
        <w:tc>
          <w:tcPr>
            <w:tcW w:w="724" w:type="pct"/>
            <w:tcBorders>
              <w:top w:val="nil"/>
              <w:left w:val="nil"/>
              <w:bottom w:val="single" w:sz="8" w:space="0" w:color="F2F2F2"/>
              <w:right w:val="nil"/>
            </w:tcBorders>
            <w:shd w:val="clear" w:color="000000" w:fill="366092"/>
            <w:noWrap/>
            <w:vAlign w:val="center"/>
            <w:hideMark/>
          </w:tcPr>
          <w:p w14:paraId="1C7096A0" w14:textId="55DCF7F5" w:rsidR="00BE2A1F" w:rsidRPr="00BF2403" w:rsidRDefault="00BE2A1F" w:rsidP="00BE2A1F">
            <w:pPr>
              <w:spacing w:after="0" w:line="240" w:lineRule="auto"/>
              <w:jc w:val="center"/>
              <w:rPr>
                <w:rFonts w:eastAsia="Times New Roman" w:cstheme="minorHAnsi"/>
                <w:b/>
                <w:bCs/>
                <w:color w:val="FFFFFF"/>
                <w:sz w:val="20"/>
                <w:szCs w:val="20"/>
                <w:lang w:eastAsia="sk-SK"/>
              </w:rPr>
            </w:pPr>
            <w:r>
              <w:rPr>
                <w:rFonts w:ascii="Calibri" w:hAnsi="Calibri" w:cs="Calibri"/>
                <w:b/>
                <w:bCs/>
                <w:color w:val="FFFFFF"/>
                <w:sz w:val="20"/>
                <w:szCs w:val="20"/>
              </w:rPr>
              <w:t>2024 (SR)</w:t>
            </w:r>
          </w:p>
        </w:tc>
        <w:tc>
          <w:tcPr>
            <w:tcW w:w="607" w:type="pct"/>
            <w:tcBorders>
              <w:top w:val="nil"/>
              <w:left w:val="nil"/>
              <w:bottom w:val="single" w:sz="8" w:space="0" w:color="F2F2F2"/>
              <w:right w:val="nil"/>
            </w:tcBorders>
            <w:shd w:val="clear" w:color="000000" w:fill="366092"/>
            <w:noWrap/>
            <w:vAlign w:val="center"/>
            <w:hideMark/>
          </w:tcPr>
          <w:p w14:paraId="264F42E8" w14:textId="2FC5F3DB" w:rsidR="00BE2A1F" w:rsidRPr="00BF2403" w:rsidRDefault="00BE2A1F" w:rsidP="00BE2A1F">
            <w:pPr>
              <w:spacing w:after="0" w:line="240" w:lineRule="auto"/>
              <w:jc w:val="center"/>
              <w:rPr>
                <w:rFonts w:eastAsia="Times New Roman" w:cstheme="minorHAnsi"/>
                <w:b/>
                <w:bCs/>
                <w:color w:val="FFFFFF"/>
                <w:sz w:val="20"/>
                <w:szCs w:val="20"/>
                <w:lang w:eastAsia="sk-SK"/>
              </w:rPr>
            </w:pPr>
            <w:r>
              <w:rPr>
                <w:rFonts w:ascii="Calibri" w:hAnsi="Calibri" w:cs="Calibri"/>
                <w:b/>
                <w:bCs/>
                <w:color w:val="FFFFFF"/>
                <w:sz w:val="20"/>
                <w:szCs w:val="20"/>
              </w:rPr>
              <w:t>2025 (N)</w:t>
            </w:r>
          </w:p>
        </w:tc>
        <w:tc>
          <w:tcPr>
            <w:tcW w:w="1097" w:type="pct"/>
            <w:gridSpan w:val="2"/>
            <w:tcBorders>
              <w:top w:val="nil"/>
              <w:left w:val="nil"/>
              <w:bottom w:val="single" w:sz="8" w:space="0" w:color="B8CCE4"/>
              <w:right w:val="nil"/>
            </w:tcBorders>
            <w:shd w:val="clear" w:color="000000" w:fill="366092"/>
            <w:noWrap/>
            <w:vAlign w:val="center"/>
            <w:hideMark/>
          </w:tcPr>
          <w:p w14:paraId="49C67C66" w14:textId="3202919B" w:rsidR="00BE2A1F" w:rsidRPr="00BF2403" w:rsidRDefault="00BE2A1F" w:rsidP="00BE2A1F">
            <w:pPr>
              <w:spacing w:after="0" w:line="240" w:lineRule="auto"/>
              <w:jc w:val="center"/>
              <w:rPr>
                <w:rFonts w:eastAsia="Times New Roman" w:cstheme="minorHAnsi"/>
                <w:b/>
                <w:bCs/>
                <w:color w:val="FFFFFF"/>
                <w:sz w:val="20"/>
                <w:szCs w:val="20"/>
                <w:lang w:eastAsia="sk-SK"/>
              </w:rPr>
            </w:pPr>
            <w:r>
              <w:rPr>
                <w:rFonts w:ascii="Calibri" w:hAnsi="Calibri" w:cs="Calibri"/>
                <w:b/>
                <w:bCs/>
                <w:color w:val="FFFFFF"/>
                <w:sz w:val="20"/>
                <w:szCs w:val="20"/>
              </w:rPr>
              <w:t>Rozdiel 2025 -2024</w:t>
            </w:r>
          </w:p>
        </w:tc>
      </w:tr>
      <w:tr w:rsidR="008A6FCB" w:rsidRPr="00BF2403" w14:paraId="284AB54B" w14:textId="77777777" w:rsidTr="00A849C2">
        <w:trPr>
          <w:trHeight w:val="109"/>
        </w:trPr>
        <w:tc>
          <w:tcPr>
            <w:tcW w:w="2572" w:type="pct"/>
            <w:tcBorders>
              <w:top w:val="nil"/>
              <w:left w:val="nil"/>
              <w:bottom w:val="single" w:sz="8" w:space="0" w:color="4F81BD"/>
              <w:right w:val="nil"/>
            </w:tcBorders>
            <w:shd w:val="clear" w:color="000000" w:fill="DCE6F1"/>
            <w:noWrap/>
            <w:vAlign w:val="center"/>
            <w:hideMark/>
          </w:tcPr>
          <w:p w14:paraId="196CD4AC" w14:textId="77777777" w:rsidR="008A6FCB" w:rsidRPr="00BF2403" w:rsidRDefault="008A6FCB" w:rsidP="008A6FCB">
            <w:pPr>
              <w:spacing w:after="0" w:line="240" w:lineRule="auto"/>
              <w:rPr>
                <w:rFonts w:eastAsia="Times New Roman" w:cstheme="minorHAnsi"/>
                <w:b/>
                <w:bCs/>
                <w:color w:val="000000"/>
                <w:sz w:val="20"/>
                <w:szCs w:val="20"/>
                <w:lang w:eastAsia="sk-SK"/>
              </w:rPr>
            </w:pPr>
            <w:r w:rsidRPr="00BF2403">
              <w:rPr>
                <w:rFonts w:eastAsia="Times New Roman" w:cstheme="minorHAnsi"/>
                <w:b/>
                <w:bCs/>
                <w:color w:val="000000"/>
                <w:sz w:val="20"/>
                <w:szCs w:val="20"/>
                <w:lang w:eastAsia="sk-SK"/>
              </w:rPr>
              <w:t>Program</w:t>
            </w:r>
          </w:p>
        </w:tc>
        <w:tc>
          <w:tcPr>
            <w:tcW w:w="724" w:type="pct"/>
            <w:tcBorders>
              <w:top w:val="single" w:sz="8" w:space="0" w:color="DCE6F1"/>
              <w:left w:val="nil"/>
              <w:bottom w:val="single" w:sz="8" w:space="0" w:color="4F81BD"/>
              <w:right w:val="nil"/>
            </w:tcBorders>
            <w:shd w:val="clear" w:color="000000" w:fill="DCE6F1"/>
            <w:noWrap/>
            <w:vAlign w:val="center"/>
            <w:hideMark/>
          </w:tcPr>
          <w:p w14:paraId="7F27812E" w14:textId="7D530FE3" w:rsidR="008A6FCB" w:rsidRPr="00BF2403" w:rsidRDefault="008A6FCB" w:rsidP="008A6FCB">
            <w:pPr>
              <w:spacing w:after="0" w:line="240" w:lineRule="auto"/>
              <w:jc w:val="right"/>
              <w:rPr>
                <w:rFonts w:eastAsia="Times New Roman" w:cstheme="minorHAnsi"/>
                <w:b/>
                <w:bCs/>
                <w:color w:val="000000"/>
                <w:sz w:val="20"/>
                <w:szCs w:val="20"/>
                <w:lang w:eastAsia="sk-SK"/>
              </w:rPr>
            </w:pPr>
            <w:r>
              <w:rPr>
                <w:rFonts w:ascii="Calibri" w:hAnsi="Calibri" w:cs="Calibri"/>
                <w:b/>
                <w:bCs/>
                <w:color w:val="000000"/>
                <w:sz w:val="18"/>
                <w:szCs w:val="18"/>
              </w:rPr>
              <w:t>292 772 317</w:t>
            </w:r>
          </w:p>
        </w:tc>
        <w:tc>
          <w:tcPr>
            <w:tcW w:w="607" w:type="pct"/>
            <w:tcBorders>
              <w:top w:val="single" w:sz="8" w:space="0" w:color="DCE6F1"/>
              <w:left w:val="nil"/>
              <w:bottom w:val="single" w:sz="8" w:space="0" w:color="4F81BD"/>
              <w:right w:val="nil"/>
            </w:tcBorders>
            <w:shd w:val="clear" w:color="000000" w:fill="DCE6F1"/>
            <w:noWrap/>
            <w:vAlign w:val="center"/>
            <w:hideMark/>
          </w:tcPr>
          <w:p w14:paraId="2993B27B" w14:textId="2CD5EA28" w:rsidR="008A6FCB" w:rsidRPr="00F15174" w:rsidRDefault="008A6FCB" w:rsidP="008A6FCB">
            <w:pPr>
              <w:spacing w:after="0" w:line="240" w:lineRule="auto"/>
              <w:jc w:val="right"/>
              <w:rPr>
                <w:rFonts w:eastAsia="Times New Roman" w:cstheme="minorHAnsi"/>
                <w:b/>
                <w:bCs/>
                <w:color w:val="000000"/>
                <w:sz w:val="18"/>
                <w:szCs w:val="18"/>
                <w:lang w:eastAsia="sk-SK"/>
              </w:rPr>
            </w:pPr>
            <w:r>
              <w:rPr>
                <w:rFonts w:ascii="Calibri" w:hAnsi="Calibri" w:cs="Calibri"/>
                <w:b/>
                <w:bCs/>
                <w:color w:val="000000"/>
                <w:sz w:val="18"/>
                <w:szCs w:val="18"/>
              </w:rPr>
              <w:t>314 446 303</w:t>
            </w:r>
          </w:p>
        </w:tc>
        <w:tc>
          <w:tcPr>
            <w:tcW w:w="529" w:type="pct"/>
            <w:tcBorders>
              <w:top w:val="single" w:sz="8" w:space="0" w:color="DCE6F1"/>
              <w:left w:val="nil"/>
              <w:bottom w:val="single" w:sz="8" w:space="0" w:color="4F81BD"/>
              <w:right w:val="nil"/>
            </w:tcBorders>
            <w:shd w:val="clear" w:color="000000" w:fill="DCE6F1"/>
            <w:noWrap/>
            <w:vAlign w:val="center"/>
            <w:hideMark/>
          </w:tcPr>
          <w:p w14:paraId="2232DA66" w14:textId="6FFD36C2" w:rsidR="008A6FCB" w:rsidRPr="00F15174" w:rsidRDefault="008A6FCB" w:rsidP="008A6FCB">
            <w:pPr>
              <w:spacing w:after="0" w:line="240" w:lineRule="auto"/>
              <w:jc w:val="right"/>
              <w:rPr>
                <w:rFonts w:eastAsia="Times New Roman" w:cstheme="minorHAnsi"/>
                <w:b/>
                <w:bCs/>
                <w:color w:val="000000"/>
                <w:sz w:val="18"/>
                <w:szCs w:val="18"/>
                <w:lang w:eastAsia="sk-SK"/>
              </w:rPr>
            </w:pPr>
            <w:r>
              <w:rPr>
                <w:rFonts w:ascii="Calibri" w:hAnsi="Calibri" w:cs="Calibri"/>
                <w:b/>
                <w:bCs/>
                <w:color w:val="000000"/>
                <w:sz w:val="18"/>
                <w:szCs w:val="18"/>
              </w:rPr>
              <w:t>21 673 986</w:t>
            </w:r>
          </w:p>
        </w:tc>
        <w:tc>
          <w:tcPr>
            <w:tcW w:w="568" w:type="pct"/>
            <w:tcBorders>
              <w:top w:val="single" w:sz="8" w:space="0" w:color="DCE6F1"/>
              <w:left w:val="nil"/>
              <w:bottom w:val="single" w:sz="8" w:space="0" w:color="4F81BD"/>
              <w:right w:val="nil"/>
            </w:tcBorders>
            <w:shd w:val="clear" w:color="000000" w:fill="DCE6F1"/>
            <w:noWrap/>
            <w:vAlign w:val="center"/>
            <w:hideMark/>
          </w:tcPr>
          <w:p w14:paraId="13F139FF" w14:textId="5CE081F6" w:rsidR="008A6FCB" w:rsidRPr="00AC6416" w:rsidRDefault="008A6FCB" w:rsidP="008A6FCB">
            <w:pPr>
              <w:spacing w:after="0" w:line="240" w:lineRule="auto"/>
              <w:jc w:val="right"/>
              <w:rPr>
                <w:rFonts w:eastAsia="Times New Roman" w:cstheme="minorHAnsi"/>
                <w:b/>
                <w:bCs/>
                <w:color w:val="000000"/>
                <w:sz w:val="18"/>
                <w:szCs w:val="18"/>
                <w:lang w:eastAsia="sk-SK"/>
              </w:rPr>
            </w:pPr>
            <w:r>
              <w:rPr>
                <w:rFonts w:ascii="Calibri" w:hAnsi="Calibri" w:cs="Calibri"/>
                <w:b/>
                <w:bCs/>
                <w:color w:val="000000"/>
                <w:sz w:val="18"/>
                <w:szCs w:val="18"/>
              </w:rPr>
              <w:t>7,40%</w:t>
            </w:r>
          </w:p>
        </w:tc>
      </w:tr>
      <w:tr w:rsidR="008A6FCB" w:rsidRPr="00BF2403" w14:paraId="52734FCC"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5519C6ED" w14:textId="6452DC8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Program 1: Plánovanie,</w:t>
            </w:r>
            <w:r>
              <w:rPr>
                <w:rFonts w:eastAsia="Times New Roman" w:cstheme="minorHAnsi"/>
                <w:color w:val="000000"/>
                <w:sz w:val="20"/>
                <w:szCs w:val="20"/>
                <w:lang w:eastAsia="sk-SK"/>
              </w:rPr>
              <w:t xml:space="preserve"> </w:t>
            </w:r>
            <w:r w:rsidRPr="00BF2403">
              <w:rPr>
                <w:rFonts w:eastAsia="Times New Roman" w:cstheme="minorHAnsi"/>
                <w:color w:val="000000"/>
                <w:sz w:val="20"/>
                <w:szCs w:val="20"/>
                <w:lang w:eastAsia="sk-SK"/>
              </w:rPr>
              <w:t>manažment, kontrola</w:t>
            </w:r>
          </w:p>
        </w:tc>
        <w:tc>
          <w:tcPr>
            <w:tcW w:w="724" w:type="pct"/>
            <w:tcBorders>
              <w:top w:val="nil"/>
              <w:left w:val="nil"/>
              <w:bottom w:val="single" w:sz="8" w:space="0" w:color="DCE6F1"/>
              <w:right w:val="nil"/>
            </w:tcBorders>
            <w:shd w:val="clear" w:color="auto" w:fill="auto"/>
            <w:noWrap/>
            <w:vAlign w:val="center"/>
            <w:hideMark/>
          </w:tcPr>
          <w:p w14:paraId="58F15347" w14:textId="3BE1C11B"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20 722 743</w:t>
            </w:r>
          </w:p>
        </w:tc>
        <w:tc>
          <w:tcPr>
            <w:tcW w:w="607" w:type="pct"/>
            <w:tcBorders>
              <w:top w:val="nil"/>
              <w:left w:val="nil"/>
              <w:bottom w:val="single" w:sz="8" w:space="0" w:color="DCE6F1"/>
              <w:right w:val="nil"/>
            </w:tcBorders>
            <w:shd w:val="clear" w:color="auto" w:fill="auto"/>
            <w:noWrap/>
            <w:vAlign w:val="center"/>
            <w:hideMark/>
          </w:tcPr>
          <w:p w14:paraId="3D14BB30" w14:textId="4AFE0254"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41 452 563</w:t>
            </w:r>
          </w:p>
        </w:tc>
        <w:tc>
          <w:tcPr>
            <w:tcW w:w="529" w:type="pct"/>
            <w:tcBorders>
              <w:top w:val="nil"/>
              <w:left w:val="nil"/>
              <w:bottom w:val="single" w:sz="8" w:space="0" w:color="DCE6F1"/>
              <w:right w:val="nil"/>
            </w:tcBorders>
            <w:shd w:val="clear" w:color="000000" w:fill="EBF1DE"/>
            <w:noWrap/>
            <w:vAlign w:val="center"/>
            <w:hideMark/>
          </w:tcPr>
          <w:p w14:paraId="5F5DE598" w14:textId="1E833205"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20 729 820</w:t>
            </w:r>
          </w:p>
        </w:tc>
        <w:tc>
          <w:tcPr>
            <w:tcW w:w="568" w:type="pct"/>
            <w:tcBorders>
              <w:top w:val="nil"/>
              <w:left w:val="nil"/>
              <w:bottom w:val="single" w:sz="8" w:space="0" w:color="DCE6F1"/>
              <w:right w:val="nil"/>
            </w:tcBorders>
            <w:shd w:val="clear" w:color="000000" w:fill="EBF1DE"/>
            <w:noWrap/>
            <w:vAlign w:val="center"/>
            <w:hideMark/>
          </w:tcPr>
          <w:p w14:paraId="303DEB29" w14:textId="10BC0C99"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100,03%</w:t>
            </w:r>
          </w:p>
        </w:tc>
      </w:tr>
      <w:tr w:rsidR="008A6FCB" w:rsidRPr="00BF2403" w14:paraId="0AD852E1"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2CC91F06" w14:textId="7777777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Program 2: Organizácia podujatí a komunikácia s verejnosťou</w:t>
            </w:r>
          </w:p>
        </w:tc>
        <w:tc>
          <w:tcPr>
            <w:tcW w:w="724" w:type="pct"/>
            <w:tcBorders>
              <w:top w:val="nil"/>
              <w:left w:val="nil"/>
              <w:bottom w:val="single" w:sz="8" w:space="0" w:color="DCE6F1"/>
              <w:right w:val="nil"/>
            </w:tcBorders>
            <w:shd w:val="clear" w:color="auto" w:fill="auto"/>
            <w:noWrap/>
            <w:vAlign w:val="center"/>
            <w:hideMark/>
          </w:tcPr>
          <w:p w14:paraId="3AB801D2" w14:textId="5F422040"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400 000</w:t>
            </w:r>
          </w:p>
        </w:tc>
        <w:tc>
          <w:tcPr>
            <w:tcW w:w="607" w:type="pct"/>
            <w:tcBorders>
              <w:top w:val="nil"/>
              <w:left w:val="nil"/>
              <w:bottom w:val="single" w:sz="8" w:space="0" w:color="DCE6F1"/>
              <w:right w:val="nil"/>
            </w:tcBorders>
            <w:shd w:val="clear" w:color="auto" w:fill="auto"/>
            <w:noWrap/>
            <w:vAlign w:val="center"/>
            <w:hideMark/>
          </w:tcPr>
          <w:p w14:paraId="402AAA8F" w14:textId="2D6AD9FE"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498 030</w:t>
            </w:r>
          </w:p>
        </w:tc>
        <w:tc>
          <w:tcPr>
            <w:tcW w:w="529" w:type="pct"/>
            <w:tcBorders>
              <w:top w:val="nil"/>
              <w:left w:val="nil"/>
              <w:bottom w:val="single" w:sz="8" w:space="0" w:color="DCE6F1"/>
              <w:right w:val="nil"/>
            </w:tcBorders>
            <w:shd w:val="clear" w:color="000000" w:fill="EBF1DE"/>
            <w:noWrap/>
            <w:vAlign w:val="center"/>
            <w:hideMark/>
          </w:tcPr>
          <w:p w14:paraId="3FDDFE8D" w14:textId="7CB63518"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98 030</w:t>
            </w:r>
          </w:p>
        </w:tc>
        <w:tc>
          <w:tcPr>
            <w:tcW w:w="568" w:type="pct"/>
            <w:tcBorders>
              <w:top w:val="nil"/>
              <w:left w:val="nil"/>
              <w:bottom w:val="single" w:sz="8" w:space="0" w:color="DCE6F1"/>
              <w:right w:val="nil"/>
            </w:tcBorders>
            <w:shd w:val="clear" w:color="000000" w:fill="EBF1DE"/>
            <w:noWrap/>
            <w:vAlign w:val="center"/>
            <w:hideMark/>
          </w:tcPr>
          <w:p w14:paraId="427B2F74" w14:textId="5F5762BE"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24,51%</w:t>
            </w:r>
          </w:p>
        </w:tc>
      </w:tr>
      <w:tr w:rsidR="008A6FCB" w:rsidRPr="00BF2403" w14:paraId="07BCB6CB"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27F03E22" w14:textId="7777777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Program 3: Interné služby</w:t>
            </w:r>
          </w:p>
        </w:tc>
        <w:tc>
          <w:tcPr>
            <w:tcW w:w="724" w:type="pct"/>
            <w:tcBorders>
              <w:top w:val="nil"/>
              <w:left w:val="nil"/>
              <w:bottom w:val="single" w:sz="8" w:space="0" w:color="DCE6F1"/>
              <w:right w:val="nil"/>
            </w:tcBorders>
            <w:shd w:val="clear" w:color="auto" w:fill="auto"/>
            <w:noWrap/>
            <w:vAlign w:val="center"/>
            <w:hideMark/>
          </w:tcPr>
          <w:p w14:paraId="468C6143" w14:textId="662C9939"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23 454 784</w:t>
            </w:r>
          </w:p>
        </w:tc>
        <w:tc>
          <w:tcPr>
            <w:tcW w:w="607" w:type="pct"/>
            <w:tcBorders>
              <w:top w:val="nil"/>
              <w:left w:val="nil"/>
              <w:bottom w:val="single" w:sz="8" w:space="0" w:color="DCE6F1"/>
              <w:right w:val="nil"/>
            </w:tcBorders>
            <w:shd w:val="clear" w:color="auto" w:fill="auto"/>
            <w:noWrap/>
            <w:vAlign w:val="center"/>
            <w:hideMark/>
          </w:tcPr>
          <w:p w14:paraId="127C290D" w14:textId="1A18D787"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21 426 272</w:t>
            </w:r>
          </w:p>
        </w:tc>
        <w:tc>
          <w:tcPr>
            <w:tcW w:w="529" w:type="pct"/>
            <w:tcBorders>
              <w:top w:val="nil"/>
              <w:left w:val="nil"/>
              <w:bottom w:val="single" w:sz="8" w:space="0" w:color="DCE6F1"/>
              <w:right w:val="nil"/>
            </w:tcBorders>
            <w:shd w:val="clear" w:color="000000" w:fill="EBF1DE"/>
            <w:noWrap/>
            <w:vAlign w:val="center"/>
            <w:hideMark/>
          </w:tcPr>
          <w:p w14:paraId="403F85CE" w14:textId="16BE03F5"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-2 028 512</w:t>
            </w:r>
          </w:p>
        </w:tc>
        <w:tc>
          <w:tcPr>
            <w:tcW w:w="568" w:type="pct"/>
            <w:tcBorders>
              <w:top w:val="nil"/>
              <w:left w:val="nil"/>
              <w:bottom w:val="single" w:sz="8" w:space="0" w:color="DCE6F1"/>
              <w:right w:val="nil"/>
            </w:tcBorders>
            <w:shd w:val="clear" w:color="000000" w:fill="EBF1DE"/>
            <w:noWrap/>
            <w:vAlign w:val="center"/>
            <w:hideMark/>
          </w:tcPr>
          <w:p w14:paraId="5FFCFE82" w14:textId="32F3D4D2"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-8,65%</w:t>
            </w:r>
          </w:p>
        </w:tc>
      </w:tr>
      <w:tr w:rsidR="008A6FCB" w:rsidRPr="00BF2403" w14:paraId="2E5B0655"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6DBD3CFF" w14:textId="7777777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Program 4: Cestovný ruch</w:t>
            </w:r>
          </w:p>
        </w:tc>
        <w:tc>
          <w:tcPr>
            <w:tcW w:w="724" w:type="pct"/>
            <w:tcBorders>
              <w:top w:val="nil"/>
              <w:left w:val="nil"/>
              <w:bottom w:val="single" w:sz="8" w:space="0" w:color="DCE6F1"/>
              <w:right w:val="nil"/>
            </w:tcBorders>
            <w:shd w:val="clear" w:color="auto" w:fill="auto"/>
            <w:noWrap/>
            <w:vAlign w:val="center"/>
            <w:hideMark/>
          </w:tcPr>
          <w:p w14:paraId="0FD9E5C5" w14:textId="369C093F"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930 000</w:t>
            </w:r>
          </w:p>
        </w:tc>
        <w:tc>
          <w:tcPr>
            <w:tcW w:w="607" w:type="pct"/>
            <w:tcBorders>
              <w:top w:val="nil"/>
              <w:left w:val="nil"/>
              <w:bottom w:val="single" w:sz="8" w:space="0" w:color="DCE6F1"/>
              <w:right w:val="nil"/>
            </w:tcBorders>
            <w:shd w:val="clear" w:color="auto" w:fill="auto"/>
            <w:noWrap/>
            <w:vAlign w:val="center"/>
            <w:hideMark/>
          </w:tcPr>
          <w:p w14:paraId="35507608" w14:textId="3EB78863"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1 853 159</w:t>
            </w:r>
          </w:p>
        </w:tc>
        <w:tc>
          <w:tcPr>
            <w:tcW w:w="529" w:type="pct"/>
            <w:tcBorders>
              <w:top w:val="nil"/>
              <w:left w:val="nil"/>
              <w:bottom w:val="single" w:sz="8" w:space="0" w:color="DCE6F1"/>
              <w:right w:val="nil"/>
            </w:tcBorders>
            <w:shd w:val="clear" w:color="000000" w:fill="EBF1DE"/>
            <w:noWrap/>
            <w:vAlign w:val="center"/>
            <w:hideMark/>
          </w:tcPr>
          <w:p w14:paraId="6ACCE4F9" w14:textId="434367B3"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923 159</w:t>
            </w:r>
          </w:p>
        </w:tc>
        <w:tc>
          <w:tcPr>
            <w:tcW w:w="568" w:type="pct"/>
            <w:tcBorders>
              <w:top w:val="nil"/>
              <w:left w:val="nil"/>
              <w:bottom w:val="single" w:sz="8" w:space="0" w:color="DCE6F1"/>
              <w:right w:val="nil"/>
            </w:tcBorders>
            <w:shd w:val="clear" w:color="000000" w:fill="EBF1DE"/>
            <w:noWrap/>
            <w:vAlign w:val="center"/>
            <w:hideMark/>
          </w:tcPr>
          <w:p w14:paraId="51791D04" w14:textId="4A6C566C"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99,26%</w:t>
            </w:r>
          </w:p>
        </w:tc>
      </w:tr>
      <w:tr w:rsidR="008A6FCB" w:rsidRPr="00BF2403" w14:paraId="66D29779"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750EC996" w14:textId="4FA0BBD6"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Program 5: Starostlivosť o krajinu, prír</w:t>
            </w:r>
            <w:r>
              <w:rPr>
                <w:rFonts w:eastAsia="Times New Roman" w:cstheme="minorHAnsi"/>
                <w:color w:val="000000"/>
                <w:sz w:val="20"/>
                <w:szCs w:val="20"/>
                <w:lang w:eastAsia="sk-SK"/>
              </w:rPr>
              <w:t>odné</w:t>
            </w:r>
            <w:r w:rsidRPr="00BF2403">
              <w:rPr>
                <w:rFonts w:eastAsia="Times New Roman" w:cstheme="minorHAnsi"/>
                <w:color w:val="000000"/>
                <w:sz w:val="20"/>
                <w:szCs w:val="20"/>
                <w:lang w:eastAsia="sk-SK"/>
              </w:rPr>
              <w:t xml:space="preserve"> zdroje, územné plánovanie a prevenciu obyvateľstva</w:t>
            </w:r>
          </w:p>
        </w:tc>
        <w:tc>
          <w:tcPr>
            <w:tcW w:w="724" w:type="pct"/>
            <w:tcBorders>
              <w:top w:val="nil"/>
              <w:left w:val="nil"/>
              <w:bottom w:val="single" w:sz="8" w:space="0" w:color="DCE6F1"/>
              <w:right w:val="nil"/>
            </w:tcBorders>
            <w:shd w:val="clear" w:color="auto" w:fill="auto"/>
            <w:noWrap/>
            <w:vAlign w:val="center"/>
            <w:hideMark/>
          </w:tcPr>
          <w:p w14:paraId="5358701C" w14:textId="3C6886E5"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553 580</w:t>
            </w:r>
          </w:p>
        </w:tc>
        <w:tc>
          <w:tcPr>
            <w:tcW w:w="607" w:type="pct"/>
            <w:tcBorders>
              <w:top w:val="nil"/>
              <w:left w:val="nil"/>
              <w:bottom w:val="single" w:sz="8" w:space="0" w:color="DCE6F1"/>
              <w:right w:val="nil"/>
            </w:tcBorders>
            <w:shd w:val="clear" w:color="auto" w:fill="auto"/>
            <w:noWrap/>
            <w:vAlign w:val="center"/>
            <w:hideMark/>
          </w:tcPr>
          <w:p w14:paraId="02D1BC51" w14:textId="56744D1C"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361 580</w:t>
            </w:r>
          </w:p>
        </w:tc>
        <w:tc>
          <w:tcPr>
            <w:tcW w:w="529" w:type="pct"/>
            <w:tcBorders>
              <w:top w:val="nil"/>
              <w:left w:val="nil"/>
              <w:bottom w:val="single" w:sz="8" w:space="0" w:color="DCE6F1"/>
              <w:right w:val="nil"/>
            </w:tcBorders>
            <w:shd w:val="clear" w:color="000000" w:fill="EBF1DE"/>
            <w:noWrap/>
            <w:vAlign w:val="center"/>
            <w:hideMark/>
          </w:tcPr>
          <w:p w14:paraId="4332103F" w14:textId="2C497212"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-192 000</w:t>
            </w:r>
          </w:p>
        </w:tc>
        <w:tc>
          <w:tcPr>
            <w:tcW w:w="568" w:type="pct"/>
            <w:tcBorders>
              <w:top w:val="nil"/>
              <w:left w:val="nil"/>
              <w:bottom w:val="single" w:sz="8" w:space="0" w:color="DCE6F1"/>
              <w:right w:val="nil"/>
            </w:tcBorders>
            <w:shd w:val="clear" w:color="000000" w:fill="EBF1DE"/>
            <w:noWrap/>
            <w:vAlign w:val="center"/>
            <w:hideMark/>
          </w:tcPr>
          <w:p w14:paraId="72A609CB" w14:textId="4792249F"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-34,68%</w:t>
            </w:r>
          </w:p>
        </w:tc>
      </w:tr>
      <w:tr w:rsidR="008A6FCB" w:rsidRPr="00BF2403" w14:paraId="37883842"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3809D7FF" w14:textId="7777777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Program 6: Komunikácie</w:t>
            </w:r>
          </w:p>
        </w:tc>
        <w:tc>
          <w:tcPr>
            <w:tcW w:w="724" w:type="pct"/>
            <w:tcBorders>
              <w:top w:val="nil"/>
              <w:left w:val="nil"/>
              <w:bottom w:val="single" w:sz="8" w:space="0" w:color="DCE6F1"/>
              <w:right w:val="nil"/>
            </w:tcBorders>
            <w:shd w:val="clear" w:color="auto" w:fill="auto"/>
            <w:noWrap/>
            <w:vAlign w:val="center"/>
            <w:hideMark/>
          </w:tcPr>
          <w:p w14:paraId="6CB01FB6" w14:textId="5C090E5C"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47 500 000</w:t>
            </w:r>
          </w:p>
        </w:tc>
        <w:tc>
          <w:tcPr>
            <w:tcW w:w="607" w:type="pct"/>
            <w:tcBorders>
              <w:top w:val="nil"/>
              <w:left w:val="nil"/>
              <w:bottom w:val="single" w:sz="8" w:space="0" w:color="DCE6F1"/>
              <w:right w:val="nil"/>
            </w:tcBorders>
            <w:shd w:val="clear" w:color="auto" w:fill="auto"/>
            <w:noWrap/>
            <w:vAlign w:val="center"/>
            <w:hideMark/>
          </w:tcPr>
          <w:p w14:paraId="3BBD6D4C" w14:textId="5D2BEEF5"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33 283 302</w:t>
            </w:r>
          </w:p>
        </w:tc>
        <w:tc>
          <w:tcPr>
            <w:tcW w:w="529" w:type="pct"/>
            <w:tcBorders>
              <w:top w:val="nil"/>
              <w:left w:val="nil"/>
              <w:bottom w:val="single" w:sz="8" w:space="0" w:color="DCE6F1"/>
              <w:right w:val="nil"/>
            </w:tcBorders>
            <w:shd w:val="clear" w:color="000000" w:fill="EBF1DE"/>
            <w:noWrap/>
            <w:vAlign w:val="center"/>
            <w:hideMark/>
          </w:tcPr>
          <w:p w14:paraId="6D16D0E7" w14:textId="038DF26F"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-14 216 698</w:t>
            </w:r>
          </w:p>
        </w:tc>
        <w:tc>
          <w:tcPr>
            <w:tcW w:w="568" w:type="pct"/>
            <w:tcBorders>
              <w:top w:val="nil"/>
              <w:left w:val="nil"/>
              <w:bottom w:val="single" w:sz="8" w:space="0" w:color="DCE6F1"/>
              <w:right w:val="nil"/>
            </w:tcBorders>
            <w:shd w:val="clear" w:color="000000" w:fill="EBF1DE"/>
            <w:noWrap/>
            <w:vAlign w:val="center"/>
            <w:hideMark/>
          </w:tcPr>
          <w:p w14:paraId="1F591506" w14:textId="71B7025A"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-29,93%</w:t>
            </w:r>
          </w:p>
        </w:tc>
      </w:tr>
      <w:tr w:rsidR="008A6FCB" w:rsidRPr="00BF2403" w14:paraId="41C58DEA"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7FE314D7" w14:textId="7777777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Program 7: Doprava</w:t>
            </w:r>
          </w:p>
        </w:tc>
        <w:tc>
          <w:tcPr>
            <w:tcW w:w="724" w:type="pct"/>
            <w:tcBorders>
              <w:top w:val="nil"/>
              <w:left w:val="nil"/>
              <w:bottom w:val="single" w:sz="8" w:space="0" w:color="DCE6F1"/>
              <w:right w:val="nil"/>
            </w:tcBorders>
            <w:shd w:val="clear" w:color="auto" w:fill="auto"/>
            <w:noWrap/>
            <w:vAlign w:val="center"/>
            <w:hideMark/>
          </w:tcPr>
          <w:p w14:paraId="45A36647" w14:textId="45E17F5E"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26 422 090</w:t>
            </w:r>
          </w:p>
        </w:tc>
        <w:tc>
          <w:tcPr>
            <w:tcW w:w="607" w:type="pct"/>
            <w:tcBorders>
              <w:top w:val="nil"/>
              <w:left w:val="nil"/>
              <w:bottom w:val="single" w:sz="8" w:space="0" w:color="DCE6F1"/>
              <w:right w:val="nil"/>
            </w:tcBorders>
            <w:shd w:val="clear" w:color="auto" w:fill="auto"/>
            <w:noWrap/>
            <w:vAlign w:val="center"/>
            <w:hideMark/>
          </w:tcPr>
          <w:p w14:paraId="28979A78" w14:textId="4322012B"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26 467 507</w:t>
            </w:r>
          </w:p>
        </w:tc>
        <w:tc>
          <w:tcPr>
            <w:tcW w:w="529" w:type="pct"/>
            <w:tcBorders>
              <w:top w:val="nil"/>
              <w:left w:val="nil"/>
              <w:bottom w:val="single" w:sz="8" w:space="0" w:color="DCE6F1"/>
              <w:right w:val="nil"/>
            </w:tcBorders>
            <w:shd w:val="clear" w:color="000000" w:fill="EBF1DE"/>
            <w:noWrap/>
            <w:vAlign w:val="center"/>
            <w:hideMark/>
          </w:tcPr>
          <w:p w14:paraId="5B0DBDEA" w14:textId="5BB5BF6E"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45 417</w:t>
            </w:r>
          </w:p>
        </w:tc>
        <w:tc>
          <w:tcPr>
            <w:tcW w:w="568" w:type="pct"/>
            <w:tcBorders>
              <w:top w:val="nil"/>
              <w:left w:val="nil"/>
              <w:bottom w:val="single" w:sz="8" w:space="0" w:color="DCE6F1"/>
              <w:right w:val="nil"/>
            </w:tcBorders>
            <w:shd w:val="clear" w:color="000000" w:fill="EBF1DE"/>
            <w:noWrap/>
            <w:vAlign w:val="center"/>
            <w:hideMark/>
          </w:tcPr>
          <w:p w14:paraId="393BAF6C" w14:textId="002A4205"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0,17%</w:t>
            </w:r>
          </w:p>
        </w:tc>
      </w:tr>
      <w:tr w:rsidR="008A6FCB" w:rsidRPr="00BF2403" w14:paraId="027BD8EA"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52E20F04" w14:textId="7777777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Program 8: Vzdelávanie</w:t>
            </w:r>
          </w:p>
        </w:tc>
        <w:tc>
          <w:tcPr>
            <w:tcW w:w="724" w:type="pct"/>
            <w:tcBorders>
              <w:top w:val="nil"/>
              <w:left w:val="nil"/>
              <w:bottom w:val="single" w:sz="8" w:space="0" w:color="DCE6F1"/>
              <w:right w:val="nil"/>
            </w:tcBorders>
            <w:shd w:val="clear" w:color="auto" w:fill="auto"/>
            <w:noWrap/>
            <w:vAlign w:val="center"/>
            <w:hideMark/>
          </w:tcPr>
          <w:p w14:paraId="4566F175" w14:textId="44D012E7"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107 813 939</w:t>
            </w:r>
          </w:p>
        </w:tc>
        <w:tc>
          <w:tcPr>
            <w:tcW w:w="607" w:type="pct"/>
            <w:tcBorders>
              <w:top w:val="nil"/>
              <w:left w:val="nil"/>
              <w:bottom w:val="single" w:sz="8" w:space="0" w:color="DCE6F1"/>
              <w:right w:val="nil"/>
            </w:tcBorders>
            <w:shd w:val="clear" w:color="auto" w:fill="auto"/>
            <w:noWrap/>
            <w:vAlign w:val="center"/>
            <w:hideMark/>
          </w:tcPr>
          <w:p w14:paraId="1949E9A7" w14:textId="7F454FCE"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118 228 095</w:t>
            </w:r>
          </w:p>
        </w:tc>
        <w:tc>
          <w:tcPr>
            <w:tcW w:w="529" w:type="pct"/>
            <w:tcBorders>
              <w:top w:val="nil"/>
              <w:left w:val="nil"/>
              <w:bottom w:val="single" w:sz="8" w:space="0" w:color="DCE6F1"/>
              <w:right w:val="nil"/>
            </w:tcBorders>
            <w:shd w:val="clear" w:color="000000" w:fill="EBF1DE"/>
            <w:noWrap/>
            <w:vAlign w:val="center"/>
            <w:hideMark/>
          </w:tcPr>
          <w:p w14:paraId="43955E78" w14:textId="065DA0D1"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10 414 156</w:t>
            </w:r>
          </w:p>
        </w:tc>
        <w:tc>
          <w:tcPr>
            <w:tcW w:w="568" w:type="pct"/>
            <w:tcBorders>
              <w:top w:val="nil"/>
              <w:left w:val="nil"/>
              <w:bottom w:val="single" w:sz="8" w:space="0" w:color="DCE6F1"/>
              <w:right w:val="nil"/>
            </w:tcBorders>
            <w:shd w:val="clear" w:color="000000" w:fill="EBF1DE"/>
            <w:noWrap/>
            <w:vAlign w:val="center"/>
            <w:hideMark/>
          </w:tcPr>
          <w:p w14:paraId="54560147" w14:textId="7FA6272B"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9,66%</w:t>
            </w:r>
          </w:p>
        </w:tc>
      </w:tr>
      <w:tr w:rsidR="008A6FCB" w:rsidRPr="00BF2403" w14:paraId="1F5FECC4"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643D2D7F" w14:textId="7777777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 xml:space="preserve">Program 9: Šport </w:t>
            </w:r>
          </w:p>
        </w:tc>
        <w:tc>
          <w:tcPr>
            <w:tcW w:w="724" w:type="pct"/>
            <w:tcBorders>
              <w:top w:val="nil"/>
              <w:left w:val="nil"/>
              <w:bottom w:val="single" w:sz="8" w:space="0" w:color="DCE6F1"/>
              <w:right w:val="nil"/>
            </w:tcBorders>
            <w:shd w:val="clear" w:color="auto" w:fill="auto"/>
            <w:noWrap/>
            <w:vAlign w:val="center"/>
            <w:hideMark/>
          </w:tcPr>
          <w:p w14:paraId="1A074C97" w14:textId="74412ECB"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600 000</w:t>
            </w:r>
          </w:p>
        </w:tc>
        <w:tc>
          <w:tcPr>
            <w:tcW w:w="607" w:type="pct"/>
            <w:tcBorders>
              <w:top w:val="nil"/>
              <w:left w:val="nil"/>
              <w:bottom w:val="single" w:sz="8" w:space="0" w:color="DCE6F1"/>
              <w:right w:val="nil"/>
            </w:tcBorders>
            <w:shd w:val="clear" w:color="auto" w:fill="auto"/>
            <w:noWrap/>
            <w:vAlign w:val="center"/>
            <w:hideMark/>
          </w:tcPr>
          <w:p w14:paraId="2511F31B" w14:textId="4E5F5DB6"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550 000</w:t>
            </w:r>
          </w:p>
        </w:tc>
        <w:tc>
          <w:tcPr>
            <w:tcW w:w="529" w:type="pct"/>
            <w:tcBorders>
              <w:top w:val="nil"/>
              <w:left w:val="nil"/>
              <w:bottom w:val="single" w:sz="8" w:space="0" w:color="DCE6F1"/>
              <w:right w:val="nil"/>
            </w:tcBorders>
            <w:shd w:val="clear" w:color="000000" w:fill="EBF1DE"/>
            <w:noWrap/>
            <w:vAlign w:val="center"/>
            <w:hideMark/>
          </w:tcPr>
          <w:p w14:paraId="3CA819C4" w14:textId="40AB7364"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-50 000</w:t>
            </w:r>
          </w:p>
        </w:tc>
        <w:tc>
          <w:tcPr>
            <w:tcW w:w="568" w:type="pct"/>
            <w:tcBorders>
              <w:top w:val="nil"/>
              <w:left w:val="nil"/>
              <w:bottom w:val="single" w:sz="8" w:space="0" w:color="DCE6F1"/>
              <w:right w:val="nil"/>
            </w:tcBorders>
            <w:shd w:val="clear" w:color="000000" w:fill="EBF1DE"/>
            <w:noWrap/>
            <w:vAlign w:val="center"/>
            <w:hideMark/>
          </w:tcPr>
          <w:p w14:paraId="17F14E92" w14:textId="3EDF9C21"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-8,33%</w:t>
            </w:r>
          </w:p>
        </w:tc>
      </w:tr>
      <w:tr w:rsidR="008A6FCB" w:rsidRPr="00BF2403" w14:paraId="1DBEB3C6"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3E0AD7BF" w14:textId="7777777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 xml:space="preserve">Program 10: Kultúra </w:t>
            </w:r>
          </w:p>
        </w:tc>
        <w:tc>
          <w:tcPr>
            <w:tcW w:w="724" w:type="pct"/>
            <w:tcBorders>
              <w:top w:val="nil"/>
              <w:left w:val="nil"/>
              <w:bottom w:val="single" w:sz="8" w:space="0" w:color="DCE6F1"/>
              <w:right w:val="nil"/>
            </w:tcBorders>
            <w:shd w:val="clear" w:color="auto" w:fill="auto"/>
            <w:noWrap/>
            <w:vAlign w:val="center"/>
            <w:hideMark/>
          </w:tcPr>
          <w:p w14:paraId="41038B3C" w14:textId="43E3E955"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6 913 430</w:t>
            </w:r>
          </w:p>
        </w:tc>
        <w:tc>
          <w:tcPr>
            <w:tcW w:w="607" w:type="pct"/>
            <w:tcBorders>
              <w:top w:val="nil"/>
              <w:left w:val="nil"/>
              <w:bottom w:val="single" w:sz="8" w:space="0" w:color="DCE6F1"/>
              <w:right w:val="nil"/>
            </w:tcBorders>
            <w:shd w:val="clear" w:color="auto" w:fill="auto"/>
            <w:noWrap/>
            <w:vAlign w:val="center"/>
            <w:hideMark/>
          </w:tcPr>
          <w:p w14:paraId="40015643" w14:textId="69FC0EC9"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7 187 357</w:t>
            </w:r>
          </w:p>
        </w:tc>
        <w:tc>
          <w:tcPr>
            <w:tcW w:w="529" w:type="pct"/>
            <w:tcBorders>
              <w:top w:val="nil"/>
              <w:left w:val="nil"/>
              <w:bottom w:val="single" w:sz="8" w:space="0" w:color="DCE6F1"/>
              <w:right w:val="nil"/>
            </w:tcBorders>
            <w:shd w:val="clear" w:color="000000" w:fill="EBF1DE"/>
            <w:noWrap/>
            <w:vAlign w:val="center"/>
            <w:hideMark/>
          </w:tcPr>
          <w:p w14:paraId="0E571D89" w14:textId="1ABFB51F"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273 927</w:t>
            </w:r>
          </w:p>
        </w:tc>
        <w:tc>
          <w:tcPr>
            <w:tcW w:w="568" w:type="pct"/>
            <w:tcBorders>
              <w:top w:val="nil"/>
              <w:left w:val="nil"/>
              <w:bottom w:val="single" w:sz="8" w:space="0" w:color="DCE6F1"/>
              <w:right w:val="nil"/>
            </w:tcBorders>
            <w:shd w:val="clear" w:color="000000" w:fill="EBF1DE"/>
            <w:noWrap/>
            <w:vAlign w:val="center"/>
            <w:hideMark/>
          </w:tcPr>
          <w:p w14:paraId="3F14D867" w14:textId="1952C653"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3,96%</w:t>
            </w:r>
          </w:p>
        </w:tc>
      </w:tr>
      <w:tr w:rsidR="008A6FCB" w:rsidRPr="00BF2403" w14:paraId="052C776E"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380369EE" w14:textId="7777777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Program 11: Sociálne zabezpečenie</w:t>
            </w:r>
          </w:p>
        </w:tc>
        <w:tc>
          <w:tcPr>
            <w:tcW w:w="724" w:type="pct"/>
            <w:tcBorders>
              <w:top w:val="nil"/>
              <w:left w:val="nil"/>
              <w:bottom w:val="single" w:sz="8" w:space="0" w:color="DCE6F1"/>
              <w:right w:val="nil"/>
            </w:tcBorders>
            <w:shd w:val="clear" w:color="auto" w:fill="auto"/>
            <w:noWrap/>
            <w:vAlign w:val="center"/>
            <w:hideMark/>
          </w:tcPr>
          <w:p w14:paraId="76038F5F" w14:textId="3582384C"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43 803 831</w:t>
            </w:r>
          </w:p>
        </w:tc>
        <w:tc>
          <w:tcPr>
            <w:tcW w:w="607" w:type="pct"/>
            <w:tcBorders>
              <w:top w:val="nil"/>
              <w:left w:val="nil"/>
              <w:bottom w:val="single" w:sz="8" w:space="0" w:color="DCE6F1"/>
              <w:right w:val="nil"/>
            </w:tcBorders>
            <w:shd w:val="clear" w:color="auto" w:fill="auto"/>
            <w:noWrap/>
            <w:vAlign w:val="center"/>
            <w:hideMark/>
          </w:tcPr>
          <w:p w14:paraId="01A02D65" w14:textId="67C67219"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48 684 826</w:t>
            </w:r>
          </w:p>
        </w:tc>
        <w:tc>
          <w:tcPr>
            <w:tcW w:w="529" w:type="pct"/>
            <w:tcBorders>
              <w:top w:val="nil"/>
              <w:left w:val="nil"/>
              <w:bottom w:val="single" w:sz="8" w:space="0" w:color="DCE6F1"/>
              <w:right w:val="nil"/>
            </w:tcBorders>
            <w:shd w:val="clear" w:color="000000" w:fill="EBF1DE"/>
            <w:noWrap/>
            <w:vAlign w:val="center"/>
            <w:hideMark/>
          </w:tcPr>
          <w:p w14:paraId="78FA3529" w14:textId="728D0039"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4 880 995</w:t>
            </w:r>
          </w:p>
        </w:tc>
        <w:tc>
          <w:tcPr>
            <w:tcW w:w="568" w:type="pct"/>
            <w:tcBorders>
              <w:top w:val="nil"/>
              <w:left w:val="nil"/>
              <w:bottom w:val="single" w:sz="8" w:space="0" w:color="DCE6F1"/>
              <w:right w:val="nil"/>
            </w:tcBorders>
            <w:shd w:val="clear" w:color="000000" w:fill="EBF1DE"/>
            <w:noWrap/>
            <w:vAlign w:val="center"/>
            <w:hideMark/>
          </w:tcPr>
          <w:p w14:paraId="31D64BF3" w14:textId="2A87E89C"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11,14%</w:t>
            </w:r>
          </w:p>
        </w:tc>
      </w:tr>
      <w:tr w:rsidR="008A6FCB" w:rsidRPr="00BF2403" w14:paraId="5DA51E3A"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15EE7BBF" w14:textId="7777777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 xml:space="preserve">Program 12: Zdravotníctvo </w:t>
            </w:r>
          </w:p>
        </w:tc>
        <w:tc>
          <w:tcPr>
            <w:tcW w:w="724" w:type="pct"/>
            <w:tcBorders>
              <w:top w:val="nil"/>
              <w:left w:val="nil"/>
              <w:bottom w:val="single" w:sz="8" w:space="0" w:color="DCE6F1"/>
              <w:right w:val="nil"/>
            </w:tcBorders>
            <w:shd w:val="clear" w:color="auto" w:fill="auto"/>
            <w:noWrap/>
            <w:vAlign w:val="center"/>
            <w:hideMark/>
          </w:tcPr>
          <w:p w14:paraId="790E1E7B" w14:textId="326DA922"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355 200</w:t>
            </w:r>
          </w:p>
        </w:tc>
        <w:tc>
          <w:tcPr>
            <w:tcW w:w="607" w:type="pct"/>
            <w:tcBorders>
              <w:top w:val="nil"/>
              <w:left w:val="nil"/>
              <w:bottom w:val="single" w:sz="8" w:space="0" w:color="DCE6F1"/>
              <w:right w:val="nil"/>
            </w:tcBorders>
            <w:shd w:val="clear" w:color="auto" w:fill="auto"/>
            <w:noWrap/>
            <w:vAlign w:val="center"/>
            <w:hideMark/>
          </w:tcPr>
          <w:p w14:paraId="2DB45B8E" w14:textId="25CC87D9"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354 300</w:t>
            </w:r>
          </w:p>
        </w:tc>
        <w:tc>
          <w:tcPr>
            <w:tcW w:w="529" w:type="pct"/>
            <w:tcBorders>
              <w:top w:val="nil"/>
              <w:left w:val="nil"/>
              <w:bottom w:val="single" w:sz="8" w:space="0" w:color="DCE6F1"/>
              <w:right w:val="nil"/>
            </w:tcBorders>
            <w:shd w:val="clear" w:color="000000" w:fill="EBF1DE"/>
            <w:noWrap/>
            <w:vAlign w:val="center"/>
            <w:hideMark/>
          </w:tcPr>
          <w:p w14:paraId="7B292EA0" w14:textId="1AD4344F"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-900</w:t>
            </w:r>
          </w:p>
        </w:tc>
        <w:tc>
          <w:tcPr>
            <w:tcW w:w="568" w:type="pct"/>
            <w:tcBorders>
              <w:top w:val="nil"/>
              <w:left w:val="nil"/>
              <w:bottom w:val="single" w:sz="8" w:space="0" w:color="DCE6F1"/>
              <w:right w:val="nil"/>
            </w:tcBorders>
            <w:shd w:val="clear" w:color="000000" w:fill="EBF1DE"/>
            <w:noWrap/>
            <w:vAlign w:val="center"/>
            <w:hideMark/>
          </w:tcPr>
          <w:p w14:paraId="75EE9A5F" w14:textId="1FB997AB"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-0,25%</w:t>
            </w:r>
          </w:p>
        </w:tc>
      </w:tr>
      <w:tr w:rsidR="008A6FCB" w:rsidRPr="00BF2403" w14:paraId="10D3D2F0"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228590AE" w14:textId="77777777"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Program 13: Administratíva</w:t>
            </w:r>
          </w:p>
        </w:tc>
        <w:tc>
          <w:tcPr>
            <w:tcW w:w="724" w:type="pct"/>
            <w:tcBorders>
              <w:top w:val="nil"/>
              <w:left w:val="nil"/>
              <w:bottom w:val="single" w:sz="8" w:space="0" w:color="DCE6F1"/>
              <w:right w:val="nil"/>
            </w:tcBorders>
            <w:shd w:val="clear" w:color="auto" w:fill="auto"/>
            <w:noWrap/>
            <w:vAlign w:val="center"/>
            <w:hideMark/>
          </w:tcPr>
          <w:p w14:paraId="790C357B" w14:textId="020E18D5"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12 302 720</w:t>
            </w:r>
          </w:p>
        </w:tc>
        <w:tc>
          <w:tcPr>
            <w:tcW w:w="607" w:type="pct"/>
            <w:tcBorders>
              <w:top w:val="nil"/>
              <w:left w:val="nil"/>
              <w:bottom w:val="single" w:sz="8" w:space="0" w:color="DCE6F1"/>
              <w:right w:val="nil"/>
            </w:tcBorders>
            <w:shd w:val="clear" w:color="auto" w:fill="auto"/>
            <w:noWrap/>
            <w:vAlign w:val="center"/>
            <w:hideMark/>
          </w:tcPr>
          <w:p w14:paraId="646C9A74" w14:textId="3EF350FD"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13 099 313</w:t>
            </w:r>
          </w:p>
        </w:tc>
        <w:tc>
          <w:tcPr>
            <w:tcW w:w="529" w:type="pct"/>
            <w:tcBorders>
              <w:top w:val="nil"/>
              <w:left w:val="nil"/>
              <w:bottom w:val="single" w:sz="8" w:space="0" w:color="DCE6F1"/>
              <w:right w:val="nil"/>
            </w:tcBorders>
            <w:shd w:val="clear" w:color="000000" w:fill="EBF1DE"/>
            <w:noWrap/>
            <w:vAlign w:val="center"/>
            <w:hideMark/>
          </w:tcPr>
          <w:p w14:paraId="356E4E33" w14:textId="41730348"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796 593</w:t>
            </w:r>
          </w:p>
        </w:tc>
        <w:tc>
          <w:tcPr>
            <w:tcW w:w="568" w:type="pct"/>
            <w:tcBorders>
              <w:top w:val="nil"/>
              <w:left w:val="nil"/>
              <w:bottom w:val="single" w:sz="8" w:space="0" w:color="DCE6F1"/>
              <w:right w:val="nil"/>
            </w:tcBorders>
            <w:shd w:val="clear" w:color="000000" w:fill="EBF1DE"/>
            <w:noWrap/>
            <w:vAlign w:val="center"/>
            <w:hideMark/>
          </w:tcPr>
          <w:p w14:paraId="63BAD03E" w14:textId="7C38148F"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6,47%</w:t>
            </w:r>
          </w:p>
        </w:tc>
      </w:tr>
      <w:tr w:rsidR="008A6FCB" w:rsidRPr="00BF2403" w14:paraId="4C6E7458" w14:textId="77777777" w:rsidTr="00A849C2">
        <w:trPr>
          <w:trHeight w:val="109"/>
        </w:trPr>
        <w:tc>
          <w:tcPr>
            <w:tcW w:w="2572" w:type="pct"/>
            <w:tcBorders>
              <w:top w:val="nil"/>
              <w:left w:val="nil"/>
              <w:bottom w:val="single" w:sz="8" w:space="0" w:color="DCE6F1"/>
              <w:right w:val="nil"/>
            </w:tcBorders>
            <w:shd w:val="clear" w:color="auto" w:fill="auto"/>
            <w:noWrap/>
            <w:vAlign w:val="center"/>
            <w:hideMark/>
          </w:tcPr>
          <w:p w14:paraId="294FF0B2" w14:textId="57444841" w:rsidR="008A6FCB" w:rsidRPr="00BF2403" w:rsidRDefault="008A6FCB" w:rsidP="008A6FCB">
            <w:pPr>
              <w:spacing w:after="0" w:line="240" w:lineRule="auto"/>
              <w:rPr>
                <w:rFonts w:eastAsia="Times New Roman" w:cstheme="minorHAnsi"/>
                <w:color w:val="000000"/>
                <w:sz w:val="20"/>
                <w:szCs w:val="20"/>
                <w:lang w:eastAsia="sk-SK"/>
              </w:rPr>
            </w:pPr>
            <w:r w:rsidRPr="00BF2403">
              <w:rPr>
                <w:rFonts w:eastAsia="Times New Roman" w:cstheme="minorHAnsi"/>
                <w:color w:val="000000"/>
                <w:sz w:val="20"/>
                <w:szCs w:val="20"/>
                <w:lang w:eastAsia="sk-SK"/>
              </w:rPr>
              <w:t>Program 14: Podpora verej</w:t>
            </w:r>
            <w:r>
              <w:rPr>
                <w:rFonts w:eastAsia="Times New Roman" w:cstheme="minorHAnsi"/>
                <w:color w:val="000000"/>
                <w:sz w:val="20"/>
                <w:szCs w:val="20"/>
                <w:lang w:eastAsia="sk-SK"/>
              </w:rPr>
              <w:t>ného</w:t>
            </w:r>
            <w:r w:rsidRPr="00BF2403">
              <w:rPr>
                <w:rFonts w:eastAsia="Times New Roman" w:cstheme="minorHAnsi"/>
                <w:color w:val="000000"/>
                <w:sz w:val="20"/>
                <w:szCs w:val="20"/>
                <w:lang w:eastAsia="sk-SK"/>
              </w:rPr>
              <w:t xml:space="preserve"> života v regióne</w:t>
            </w:r>
          </w:p>
        </w:tc>
        <w:tc>
          <w:tcPr>
            <w:tcW w:w="724" w:type="pct"/>
            <w:tcBorders>
              <w:top w:val="nil"/>
              <w:left w:val="nil"/>
              <w:bottom w:val="single" w:sz="8" w:space="0" w:color="DCE6F1"/>
              <w:right w:val="nil"/>
            </w:tcBorders>
            <w:shd w:val="clear" w:color="auto" w:fill="auto"/>
            <w:noWrap/>
            <w:vAlign w:val="center"/>
            <w:hideMark/>
          </w:tcPr>
          <w:p w14:paraId="7AD19648" w14:textId="1E382912" w:rsidR="008A6FCB" w:rsidRPr="00BF2403" w:rsidRDefault="008A6FCB" w:rsidP="008A6FCB">
            <w:pPr>
              <w:spacing w:after="0" w:line="240" w:lineRule="auto"/>
              <w:jc w:val="right"/>
              <w:rPr>
                <w:rFonts w:eastAsia="Times New Roman" w:cstheme="minorHAnsi"/>
                <w:color w:val="000000"/>
                <w:sz w:val="20"/>
                <w:szCs w:val="20"/>
                <w:lang w:eastAsia="sk-SK"/>
              </w:rPr>
            </w:pPr>
            <w:r>
              <w:rPr>
                <w:rFonts w:ascii="Calibri" w:hAnsi="Calibri" w:cs="Calibri"/>
                <w:color w:val="000000"/>
                <w:sz w:val="18"/>
                <w:szCs w:val="18"/>
              </w:rPr>
              <w:t>1 000 000</w:t>
            </w:r>
          </w:p>
        </w:tc>
        <w:tc>
          <w:tcPr>
            <w:tcW w:w="607" w:type="pct"/>
            <w:tcBorders>
              <w:top w:val="nil"/>
              <w:left w:val="nil"/>
              <w:bottom w:val="single" w:sz="8" w:space="0" w:color="DCE6F1"/>
              <w:right w:val="nil"/>
            </w:tcBorders>
            <w:shd w:val="clear" w:color="auto" w:fill="auto"/>
            <w:noWrap/>
            <w:vAlign w:val="center"/>
            <w:hideMark/>
          </w:tcPr>
          <w:p w14:paraId="557F3C25" w14:textId="6C89615D"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1 000 000</w:t>
            </w:r>
          </w:p>
        </w:tc>
        <w:tc>
          <w:tcPr>
            <w:tcW w:w="529" w:type="pct"/>
            <w:tcBorders>
              <w:top w:val="nil"/>
              <w:left w:val="nil"/>
              <w:bottom w:val="single" w:sz="8" w:space="0" w:color="DCE6F1"/>
              <w:right w:val="nil"/>
            </w:tcBorders>
            <w:shd w:val="clear" w:color="000000" w:fill="EBF1DE"/>
            <w:noWrap/>
            <w:vAlign w:val="center"/>
            <w:hideMark/>
          </w:tcPr>
          <w:p w14:paraId="0D33382D" w14:textId="73270350" w:rsidR="008A6FCB" w:rsidRPr="00F15174"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0</w:t>
            </w:r>
          </w:p>
        </w:tc>
        <w:tc>
          <w:tcPr>
            <w:tcW w:w="568" w:type="pct"/>
            <w:tcBorders>
              <w:top w:val="nil"/>
              <w:left w:val="nil"/>
              <w:bottom w:val="single" w:sz="8" w:space="0" w:color="DCE6F1"/>
              <w:right w:val="nil"/>
            </w:tcBorders>
            <w:shd w:val="clear" w:color="000000" w:fill="EBF1DE"/>
            <w:noWrap/>
            <w:vAlign w:val="center"/>
            <w:hideMark/>
          </w:tcPr>
          <w:p w14:paraId="00FEDCEF" w14:textId="1A01E3F0" w:rsidR="008A6FCB" w:rsidRPr="00AC6416" w:rsidRDefault="008A6FCB" w:rsidP="008A6FCB">
            <w:pPr>
              <w:spacing w:after="0" w:line="240" w:lineRule="auto"/>
              <w:jc w:val="right"/>
              <w:rPr>
                <w:rFonts w:eastAsia="Times New Roman" w:cstheme="minorHAnsi"/>
                <w:color w:val="000000"/>
                <w:sz w:val="18"/>
                <w:szCs w:val="18"/>
                <w:lang w:eastAsia="sk-SK"/>
              </w:rPr>
            </w:pPr>
            <w:r>
              <w:rPr>
                <w:rFonts w:ascii="Calibri" w:hAnsi="Calibri" w:cs="Calibri"/>
                <w:color w:val="000000"/>
                <w:sz w:val="18"/>
                <w:szCs w:val="18"/>
              </w:rPr>
              <w:t>0,00%</w:t>
            </w:r>
          </w:p>
        </w:tc>
      </w:tr>
    </w:tbl>
    <w:p w14:paraId="5EFB02B9" w14:textId="77777777" w:rsidR="00A849C2" w:rsidRDefault="00A849C2" w:rsidP="003C62E7">
      <w:pPr>
        <w:spacing w:after="240"/>
        <w:jc w:val="both"/>
        <w:rPr>
          <w:rFonts w:eastAsia="Times New Roman" w:cstheme="minorHAnsi"/>
          <w:sz w:val="24"/>
          <w:szCs w:val="24"/>
        </w:rPr>
      </w:pPr>
    </w:p>
    <w:p w14:paraId="53B0FC4C" w14:textId="5004F0F5" w:rsidR="000F057C" w:rsidRDefault="00A849C2" w:rsidP="00C8280C">
      <w:pPr>
        <w:jc w:val="both"/>
        <w:rPr>
          <w:rFonts w:eastAsia="Times New Roman" w:cstheme="minorHAnsi"/>
          <w:sz w:val="24"/>
          <w:szCs w:val="24"/>
        </w:rPr>
      </w:pPr>
      <w:r>
        <w:rPr>
          <w:rFonts w:eastAsia="Times New Roman" w:cstheme="minorHAnsi"/>
          <w:sz w:val="24"/>
          <w:szCs w:val="24"/>
        </w:rPr>
        <w:t>Rozpočtované c</w:t>
      </w:r>
      <w:r w:rsidRPr="00BE2A1F">
        <w:rPr>
          <w:rFonts w:eastAsia="Times New Roman" w:cstheme="minorHAnsi"/>
          <w:sz w:val="24"/>
          <w:szCs w:val="24"/>
        </w:rPr>
        <w:t xml:space="preserve">elkové výdavky </w:t>
      </w:r>
      <w:r w:rsidR="00E04F38">
        <w:rPr>
          <w:rFonts w:eastAsia="Times New Roman" w:cstheme="minorHAnsi"/>
          <w:sz w:val="24"/>
          <w:szCs w:val="24"/>
        </w:rPr>
        <w:t xml:space="preserve">s </w:t>
      </w:r>
      <w:r>
        <w:rPr>
          <w:rFonts w:eastAsia="Times New Roman" w:cstheme="minorHAnsi"/>
          <w:sz w:val="24"/>
          <w:szCs w:val="24"/>
        </w:rPr>
        <w:t>výdavkovými finančnými operáciami</w:t>
      </w:r>
      <w:r w:rsidRPr="00BE2A1F">
        <w:rPr>
          <w:rFonts w:eastAsia="Times New Roman" w:cstheme="minorHAnsi"/>
          <w:sz w:val="24"/>
          <w:szCs w:val="24"/>
        </w:rPr>
        <w:t>:</w:t>
      </w:r>
    </w:p>
    <w:tbl>
      <w:tblPr>
        <w:tblW w:w="0" w:type="auto"/>
        <w:tblInd w:w="-284" w:type="dxa"/>
        <w:tblLayout w:type="fixed"/>
        <w:tblCellMar>
          <w:left w:w="70" w:type="dxa"/>
          <w:right w:w="70" w:type="dxa"/>
        </w:tblCellMar>
        <w:tblLook w:val="04A0" w:firstRow="1" w:lastRow="0" w:firstColumn="1" w:lastColumn="0" w:noHBand="0" w:noVBand="1"/>
      </w:tblPr>
      <w:tblGrid>
        <w:gridCol w:w="1985"/>
        <w:gridCol w:w="993"/>
        <w:gridCol w:w="992"/>
        <w:gridCol w:w="992"/>
        <w:gridCol w:w="992"/>
        <w:gridCol w:w="993"/>
        <w:gridCol w:w="992"/>
        <w:gridCol w:w="850"/>
        <w:gridCol w:w="993"/>
        <w:gridCol w:w="968"/>
      </w:tblGrid>
      <w:tr w:rsidR="00850422" w:rsidRPr="00307A0A" w14:paraId="697DE721" w14:textId="77777777" w:rsidTr="009749F0">
        <w:trPr>
          <w:trHeight w:val="411"/>
          <w:tblHeader/>
        </w:trPr>
        <w:tc>
          <w:tcPr>
            <w:tcW w:w="1985" w:type="dxa"/>
            <w:tcBorders>
              <w:top w:val="nil"/>
              <w:left w:val="nil"/>
              <w:bottom w:val="single" w:sz="8" w:space="0" w:color="DCE6F1"/>
              <w:right w:val="nil"/>
            </w:tcBorders>
            <w:shd w:val="clear" w:color="000000" w:fill="366092"/>
            <w:noWrap/>
            <w:vAlign w:val="center"/>
            <w:hideMark/>
          </w:tcPr>
          <w:p w14:paraId="3C2AAACE" w14:textId="77777777" w:rsidR="00850422" w:rsidRPr="00307A0A" w:rsidRDefault="00850422" w:rsidP="00850422">
            <w:pPr>
              <w:spacing w:after="0" w:line="240" w:lineRule="auto"/>
              <w:rPr>
                <w:rFonts w:ascii="Calibri" w:eastAsia="Times New Roman" w:hAnsi="Calibri" w:cs="Calibri"/>
                <w:b/>
                <w:bCs/>
                <w:color w:val="FFFFFF"/>
                <w:sz w:val="20"/>
                <w:szCs w:val="20"/>
                <w:lang w:eastAsia="sk-SK"/>
              </w:rPr>
            </w:pPr>
            <w:r w:rsidRPr="00307A0A">
              <w:rPr>
                <w:rFonts w:ascii="Calibri" w:eastAsia="Times New Roman" w:hAnsi="Calibri" w:cs="Calibri"/>
                <w:b/>
                <w:bCs/>
                <w:color w:val="FFFFFF"/>
                <w:sz w:val="20"/>
                <w:szCs w:val="20"/>
                <w:lang w:eastAsia="sk-SK"/>
              </w:rPr>
              <w:t>Ukazovateľ</w:t>
            </w:r>
          </w:p>
        </w:tc>
        <w:tc>
          <w:tcPr>
            <w:tcW w:w="993" w:type="dxa"/>
            <w:tcBorders>
              <w:top w:val="nil"/>
              <w:left w:val="nil"/>
              <w:bottom w:val="single" w:sz="8" w:space="0" w:color="B8CCE4"/>
              <w:right w:val="nil"/>
            </w:tcBorders>
            <w:shd w:val="clear" w:color="000000" w:fill="366092"/>
            <w:noWrap/>
            <w:vAlign w:val="center"/>
            <w:hideMark/>
          </w:tcPr>
          <w:p w14:paraId="4BE77701" w14:textId="78B324C3" w:rsidR="00850422" w:rsidRPr="00307A0A" w:rsidRDefault="00850422" w:rsidP="00850422">
            <w:pPr>
              <w:spacing w:after="0" w:line="240" w:lineRule="auto"/>
              <w:jc w:val="center"/>
              <w:rPr>
                <w:rFonts w:ascii="Calibri" w:eastAsia="Times New Roman" w:hAnsi="Calibri" w:cs="Calibri"/>
                <w:b/>
                <w:bCs/>
                <w:color w:val="FFFFFF"/>
                <w:sz w:val="20"/>
                <w:szCs w:val="20"/>
                <w:lang w:eastAsia="sk-SK"/>
              </w:rPr>
            </w:pPr>
            <w:r>
              <w:rPr>
                <w:rFonts w:ascii="Calibri" w:hAnsi="Calibri" w:cs="Calibri"/>
                <w:b/>
                <w:bCs/>
                <w:color w:val="FFFFFF"/>
                <w:sz w:val="16"/>
                <w:szCs w:val="16"/>
              </w:rPr>
              <w:t>2022 (S)</w:t>
            </w:r>
          </w:p>
        </w:tc>
        <w:tc>
          <w:tcPr>
            <w:tcW w:w="992" w:type="dxa"/>
            <w:tcBorders>
              <w:top w:val="nil"/>
              <w:left w:val="nil"/>
              <w:bottom w:val="single" w:sz="8" w:space="0" w:color="B8CCE4"/>
              <w:right w:val="nil"/>
            </w:tcBorders>
            <w:shd w:val="clear" w:color="000000" w:fill="366092"/>
            <w:noWrap/>
            <w:vAlign w:val="center"/>
            <w:hideMark/>
          </w:tcPr>
          <w:p w14:paraId="09CD36DC" w14:textId="20E8473B" w:rsidR="00850422" w:rsidRPr="00307A0A" w:rsidRDefault="00850422" w:rsidP="00850422">
            <w:pPr>
              <w:spacing w:after="0" w:line="240" w:lineRule="auto"/>
              <w:jc w:val="center"/>
              <w:rPr>
                <w:rFonts w:ascii="Calibri" w:eastAsia="Times New Roman" w:hAnsi="Calibri" w:cs="Calibri"/>
                <w:b/>
                <w:bCs/>
                <w:color w:val="FFFFFF"/>
                <w:sz w:val="20"/>
                <w:szCs w:val="20"/>
                <w:lang w:eastAsia="sk-SK"/>
              </w:rPr>
            </w:pPr>
            <w:r>
              <w:rPr>
                <w:rFonts w:ascii="Calibri" w:hAnsi="Calibri" w:cs="Calibri"/>
                <w:b/>
                <w:bCs/>
                <w:color w:val="FFFFFF"/>
                <w:sz w:val="16"/>
                <w:szCs w:val="16"/>
              </w:rPr>
              <w:t xml:space="preserve">2023 (S) </w:t>
            </w:r>
          </w:p>
        </w:tc>
        <w:tc>
          <w:tcPr>
            <w:tcW w:w="992" w:type="dxa"/>
            <w:tcBorders>
              <w:top w:val="nil"/>
              <w:left w:val="nil"/>
              <w:bottom w:val="single" w:sz="8" w:space="0" w:color="F2F2F2"/>
              <w:right w:val="nil"/>
            </w:tcBorders>
            <w:shd w:val="clear" w:color="000000" w:fill="366092"/>
            <w:noWrap/>
            <w:vAlign w:val="center"/>
            <w:hideMark/>
          </w:tcPr>
          <w:p w14:paraId="20BE5311" w14:textId="7121339D" w:rsidR="00850422" w:rsidRPr="00307A0A" w:rsidRDefault="00850422" w:rsidP="00850422">
            <w:pPr>
              <w:spacing w:after="0" w:line="240" w:lineRule="auto"/>
              <w:jc w:val="center"/>
              <w:rPr>
                <w:rFonts w:ascii="Calibri" w:eastAsia="Times New Roman" w:hAnsi="Calibri" w:cs="Calibri"/>
                <w:b/>
                <w:bCs/>
                <w:color w:val="FFFFFF"/>
                <w:sz w:val="16"/>
                <w:szCs w:val="16"/>
                <w:lang w:eastAsia="sk-SK"/>
              </w:rPr>
            </w:pPr>
            <w:r>
              <w:rPr>
                <w:rFonts w:ascii="Calibri" w:hAnsi="Calibri" w:cs="Calibri"/>
                <w:b/>
                <w:bCs/>
                <w:color w:val="FFFFFF"/>
                <w:sz w:val="16"/>
                <w:szCs w:val="16"/>
              </w:rPr>
              <w:t xml:space="preserve"> 2024 (SR) </w:t>
            </w:r>
          </w:p>
        </w:tc>
        <w:tc>
          <w:tcPr>
            <w:tcW w:w="992" w:type="dxa"/>
            <w:tcBorders>
              <w:top w:val="nil"/>
              <w:left w:val="nil"/>
              <w:bottom w:val="single" w:sz="8" w:space="0" w:color="F2F2F2"/>
              <w:right w:val="nil"/>
            </w:tcBorders>
            <w:shd w:val="clear" w:color="000000" w:fill="366092"/>
            <w:noWrap/>
            <w:vAlign w:val="center"/>
            <w:hideMark/>
          </w:tcPr>
          <w:p w14:paraId="40856F0B" w14:textId="45B8705C" w:rsidR="00850422" w:rsidRPr="00307A0A" w:rsidRDefault="00850422" w:rsidP="00850422">
            <w:pPr>
              <w:spacing w:after="0" w:line="240" w:lineRule="auto"/>
              <w:jc w:val="center"/>
              <w:rPr>
                <w:rFonts w:ascii="Calibri" w:eastAsia="Times New Roman" w:hAnsi="Calibri" w:cs="Calibri"/>
                <w:b/>
                <w:bCs/>
                <w:color w:val="FFFFFF"/>
                <w:sz w:val="16"/>
                <w:szCs w:val="16"/>
                <w:lang w:eastAsia="sk-SK"/>
              </w:rPr>
            </w:pPr>
            <w:r>
              <w:rPr>
                <w:rFonts w:ascii="Calibri" w:hAnsi="Calibri" w:cs="Calibri"/>
                <w:b/>
                <w:bCs/>
                <w:color w:val="FFFFFF"/>
                <w:sz w:val="16"/>
                <w:szCs w:val="16"/>
              </w:rPr>
              <w:t xml:space="preserve"> 2024 (OS) </w:t>
            </w:r>
          </w:p>
        </w:tc>
        <w:tc>
          <w:tcPr>
            <w:tcW w:w="993" w:type="dxa"/>
            <w:tcBorders>
              <w:top w:val="nil"/>
              <w:left w:val="nil"/>
              <w:bottom w:val="single" w:sz="8" w:space="0" w:color="F2F2F2"/>
              <w:right w:val="nil"/>
            </w:tcBorders>
            <w:shd w:val="clear" w:color="000000" w:fill="366092"/>
            <w:noWrap/>
            <w:vAlign w:val="center"/>
            <w:hideMark/>
          </w:tcPr>
          <w:p w14:paraId="5A01D7DB" w14:textId="5F0333B1" w:rsidR="00850422" w:rsidRPr="00307A0A" w:rsidRDefault="00850422" w:rsidP="00850422">
            <w:pPr>
              <w:spacing w:after="0" w:line="240" w:lineRule="auto"/>
              <w:jc w:val="center"/>
              <w:rPr>
                <w:rFonts w:ascii="Calibri" w:eastAsia="Times New Roman" w:hAnsi="Calibri" w:cs="Calibri"/>
                <w:b/>
                <w:bCs/>
                <w:color w:val="FFFFFF"/>
                <w:sz w:val="16"/>
                <w:szCs w:val="16"/>
                <w:lang w:eastAsia="sk-SK"/>
              </w:rPr>
            </w:pPr>
            <w:r>
              <w:rPr>
                <w:rFonts w:ascii="Calibri" w:hAnsi="Calibri" w:cs="Calibri"/>
                <w:b/>
                <w:bCs/>
                <w:color w:val="FFFFFF"/>
                <w:sz w:val="16"/>
                <w:szCs w:val="16"/>
              </w:rPr>
              <w:t xml:space="preserve">2025 (N) </w:t>
            </w:r>
          </w:p>
        </w:tc>
        <w:tc>
          <w:tcPr>
            <w:tcW w:w="1842" w:type="dxa"/>
            <w:gridSpan w:val="2"/>
            <w:tcBorders>
              <w:top w:val="nil"/>
              <w:left w:val="nil"/>
              <w:bottom w:val="single" w:sz="8" w:space="0" w:color="B8CCE4"/>
              <w:right w:val="nil"/>
            </w:tcBorders>
            <w:shd w:val="clear" w:color="000000" w:fill="366092"/>
            <w:noWrap/>
            <w:vAlign w:val="center"/>
            <w:hideMark/>
          </w:tcPr>
          <w:p w14:paraId="13C2C4C1" w14:textId="2E0C0868" w:rsidR="00850422" w:rsidRPr="00307A0A" w:rsidRDefault="00850422" w:rsidP="007360F4">
            <w:pPr>
              <w:spacing w:after="0" w:line="240" w:lineRule="auto"/>
              <w:rPr>
                <w:rFonts w:ascii="Calibri" w:eastAsia="Times New Roman" w:hAnsi="Calibri" w:cs="Calibri"/>
                <w:b/>
                <w:bCs/>
                <w:color w:val="FFFFFF"/>
                <w:sz w:val="16"/>
                <w:szCs w:val="16"/>
                <w:lang w:eastAsia="sk-SK"/>
              </w:rPr>
            </w:pPr>
            <w:r>
              <w:rPr>
                <w:rFonts w:ascii="Calibri" w:hAnsi="Calibri" w:cs="Calibri"/>
                <w:b/>
                <w:bCs/>
                <w:color w:val="FFFFFF"/>
                <w:sz w:val="16"/>
                <w:szCs w:val="16"/>
              </w:rPr>
              <w:t>Rozdiel 2025 -2024 (</w:t>
            </w:r>
            <w:r w:rsidR="007360F4">
              <w:rPr>
                <w:rFonts w:ascii="Calibri" w:hAnsi="Calibri" w:cs="Calibri"/>
                <w:b/>
                <w:bCs/>
                <w:color w:val="FFFFFF"/>
                <w:sz w:val="16"/>
                <w:szCs w:val="16"/>
              </w:rPr>
              <w:t>SR</w:t>
            </w:r>
            <w:r>
              <w:rPr>
                <w:rFonts w:ascii="Calibri" w:hAnsi="Calibri" w:cs="Calibri"/>
                <w:b/>
                <w:bCs/>
                <w:color w:val="FFFFFF"/>
                <w:sz w:val="16"/>
                <w:szCs w:val="16"/>
              </w:rPr>
              <w:t>)</w:t>
            </w:r>
          </w:p>
        </w:tc>
        <w:tc>
          <w:tcPr>
            <w:tcW w:w="993" w:type="dxa"/>
            <w:tcBorders>
              <w:top w:val="nil"/>
              <w:left w:val="nil"/>
              <w:bottom w:val="single" w:sz="8" w:space="0" w:color="F2F2F2"/>
              <w:right w:val="nil"/>
            </w:tcBorders>
            <w:shd w:val="clear" w:color="000000" w:fill="366092"/>
            <w:noWrap/>
            <w:vAlign w:val="center"/>
            <w:hideMark/>
          </w:tcPr>
          <w:p w14:paraId="3202CB93" w14:textId="5DEF871A" w:rsidR="00850422" w:rsidRPr="00307A0A" w:rsidRDefault="00850422" w:rsidP="00850422">
            <w:pPr>
              <w:spacing w:after="0" w:line="240" w:lineRule="auto"/>
              <w:jc w:val="center"/>
              <w:rPr>
                <w:rFonts w:ascii="Calibri" w:eastAsia="Times New Roman" w:hAnsi="Calibri" w:cs="Calibri"/>
                <w:b/>
                <w:bCs/>
                <w:color w:val="FFFFFF"/>
                <w:sz w:val="16"/>
                <w:szCs w:val="16"/>
                <w:lang w:eastAsia="sk-SK"/>
              </w:rPr>
            </w:pPr>
            <w:r>
              <w:rPr>
                <w:rFonts w:ascii="Calibri" w:hAnsi="Calibri" w:cs="Calibri"/>
                <w:b/>
                <w:bCs/>
                <w:color w:val="FFFFFF"/>
                <w:sz w:val="16"/>
                <w:szCs w:val="16"/>
              </w:rPr>
              <w:t xml:space="preserve">2026 (N) </w:t>
            </w:r>
          </w:p>
        </w:tc>
        <w:tc>
          <w:tcPr>
            <w:tcW w:w="968" w:type="dxa"/>
            <w:tcBorders>
              <w:top w:val="single" w:sz="8" w:space="0" w:color="366092"/>
              <w:left w:val="nil"/>
              <w:bottom w:val="single" w:sz="8" w:space="0" w:color="F2F2F2"/>
              <w:right w:val="nil"/>
            </w:tcBorders>
            <w:shd w:val="clear" w:color="000000" w:fill="366092"/>
            <w:noWrap/>
            <w:vAlign w:val="center"/>
            <w:hideMark/>
          </w:tcPr>
          <w:p w14:paraId="3048875E" w14:textId="3C998BD2" w:rsidR="00850422" w:rsidRPr="00307A0A" w:rsidRDefault="00850422" w:rsidP="00850422">
            <w:pPr>
              <w:spacing w:after="0" w:line="240" w:lineRule="auto"/>
              <w:jc w:val="center"/>
              <w:rPr>
                <w:rFonts w:ascii="Calibri" w:eastAsia="Times New Roman" w:hAnsi="Calibri" w:cs="Calibri"/>
                <w:b/>
                <w:bCs/>
                <w:color w:val="FFFFFF"/>
                <w:sz w:val="16"/>
                <w:szCs w:val="16"/>
                <w:lang w:eastAsia="sk-SK"/>
              </w:rPr>
            </w:pPr>
            <w:r>
              <w:rPr>
                <w:rFonts w:ascii="Calibri" w:hAnsi="Calibri" w:cs="Calibri"/>
                <w:b/>
                <w:bCs/>
                <w:color w:val="FFFFFF"/>
                <w:sz w:val="16"/>
                <w:szCs w:val="16"/>
              </w:rPr>
              <w:t xml:space="preserve">2027 (N) </w:t>
            </w:r>
          </w:p>
        </w:tc>
      </w:tr>
      <w:tr w:rsidR="009B588E" w:rsidRPr="00307A0A" w14:paraId="6C7BF40B" w14:textId="77777777" w:rsidTr="00BD0CCF">
        <w:trPr>
          <w:trHeight w:val="287"/>
        </w:trPr>
        <w:tc>
          <w:tcPr>
            <w:tcW w:w="1985" w:type="dxa"/>
            <w:tcBorders>
              <w:top w:val="nil"/>
              <w:left w:val="nil"/>
              <w:bottom w:val="single" w:sz="8" w:space="0" w:color="DCE6F1"/>
              <w:right w:val="nil"/>
            </w:tcBorders>
            <w:shd w:val="clear" w:color="000000" w:fill="95B3D7"/>
            <w:noWrap/>
            <w:vAlign w:val="center"/>
            <w:hideMark/>
          </w:tcPr>
          <w:p w14:paraId="1E18CFDB" w14:textId="77777777" w:rsidR="00856A9C" w:rsidRPr="00307A0A" w:rsidRDefault="00856A9C" w:rsidP="00856A9C">
            <w:pPr>
              <w:spacing w:after="0" w:line="240" w:lineRule="auto"/>
              <w:rPr>
                <w:rFonts w:ascii="Calibri" w:eastAsia="Times New Roman" w:hAnsi="Calibri" w:cs="Calibri"/>
                <w:b/>
                <w:bCs/>
                <w:color w:val="000000"/>
                <w:sz w:val="16"/>
                <w:szCs w:val="16"/>
                <w:lang w:eastAsia="sk-SK"/>
              </w:rPr>
            </w:pPr>
            <w:r w:rsidRPr="00307A0A">
              <w:rPr>
                <w:rFonts w:ascii="Calibri" w:eastAsia="Times New Roman" w:hAnsi="Calibri" w:cs="Calibri"/>
                <w:b/>
                <w:bCs/>
                <w:color w:val="000000"/>
                <w:sz w:val="16"/>
                <w:szCs w:val="16"/>
                <w:lang w:eastAsia="sk-SK"/>
              </w:rPr>
              <w:t>Výdavky celkom v EUR</w:t>
            </w:r>
          </w:p>
        </w:tc>
        <w:tc>
          <w:tcPr>
            <w:tcW w:w="993" w:type="dxa"/>
            <w:tcBorders>
              <w:top w:val="nil"/>
              <w:left w:val="nil"/>
              <w:bottom w:val="single" w:sz="8" w:space="0" w:color="DCE6F1"/>
              <w:right w:val="nil"/>
            </w:tcBorders>
            <w:shd w:val="clear" w:color="000000" w:fill="95B3D7"/>
            <w:noWrap/>
            <w:vAlign w:val="center"/>
            <w:hideMark/>
          </w:tcPr>
          <w:p w14:paraId="38EAC97E" w14:textId="07F809FD"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239 608 658</w:t>
            </w:r>
          </w:p>
        </w:tc>
        <w:tc>
          <w:tcPr>
            <w:tcW w:w="992" w:type="dxa"/>
            <w:tcBorders>
              <w:top w:val="nil"/>
              <w:left w:val="nil"/>
              <w:bottom w:val="single" w:sz="8" w:space="0" w:color="DCE6F1"/>
              <w:right w:val="nil"/>
            </w:tcBorders>
            <w:shd w:val="clear" w:color="000000" w:fill="95B3D7"/>
            <w:noWrap/>
            <w:vAlign w:val="center"/>
            <w:hideMark/>
          </w:tcPr>
          <w:p w14:paraId="2240C4D0" w14:textId="168A0924"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264 944 827</w:t>
            </w:r>
          </w:p>
        </w:tc>
        <w:tc>
          <w:tcPr>
            <w:tcW w:w="992" w:type="dxa"/>
            <w:tcBorders>
              <w:top w:val="single" w:sz="8" w:space="0" w:color="B8CCE4"/>
              <w:left w:val="nil"/>
              <w:bottom w:val="single" w:sz="8" w:space="0" w:color="DCE6F1"/>
              <w:right w:val="nil"/>
            </w:tcBorders>
            <w:shd w:val="clear" w:color="000000" w:fill="95B3D7"/>
            <w:noWrap/>
            <w:vAlign w:val="center"/>
            <w:hideMark/>
          </w:tcPr>
          <w:p w14:paraId="29CB1177" w14:textId="738CD3C5"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300 558 006</w:t>
            </w:r>
          </w:p>
        </w:tc>
        <w:tc>
          <w:tcPr>
            <w:tcW w:w="992" w:type="dxa"/>
            <w:tcBorders>
              <w:top w:val="single" w:sz="8" w:space="0" w:color="B8CCE4"/>
              <w:left w:val="nil"/>
              <w:bottom w:val="single" w:sz="8" w:space="0" w:color="DCE6F1"/>
              <w:right w:val="nil"/>
            </w:tcBorders>
            <w:shd w:val="clear" w:color="000000" w:fill="95B3D7"/>
            <w:noWrap/>
            <w:vAlign w:val="center"/>
            <w:hideMark/>
          </w:tcPr>
          <w:p w14:paraId="6E69DB05" w14:textId="67741628" w:rsidR="00856A9C" w:rsidRPr="00307A0A" w:rsidRDefault="00856A9C" w:rsidP="00856A9C">
            <w:pPr>
              <w:spacing w:after="0" w:line="240" w:lineRule="auto"/>
              <w:jc w:val="center"/>
              <w:rPr>
                <w:rFonts w:ascii="Calibri" w:eastAsia="Times New Roman" w:hAnsi="Calibri" w:cs="Calibri"/>
                <w:b/>
                <w:bCs/>
                <w:color w:val="000000"/>
                <w:sz w:val="16"/>
                <w:szCs w:val="16"/>
                <w:lang w:eastAsia="sk-SK"/>
              </w:rPr>
            </w:pPr>
            <w:r>
              <w:rPr>
                <w:rFonts w:ascii="Calibri" w:hAnsi="Calibri" w:cs="Calibri"/>
                <w:b/>
                <w:bCs/>
                <w:color w:val="000000"/>
                <w:sz w:val="16"/>
                <w:szCs w:val="16"/>
              </w:rPr>
              <w:t>275 190 478</w:t>
            </w:r>
          </w:p>
        </w:tc>
        <w:tc>
          <w:tcPr>
            <w:tcW w:w="993" w:type="dxa"/>
            <w:tcBorders>
              <w:top w:val="single" w:sz="8" w:space="0" w:color="B8CCE4"/>
              <w:left w:val="nil"/>
              <w:bottom w:val="single" w:sz="8" w:space="0" w:color="DCE6F1"/>
              <w:right w:val="nil"/>
            </w:tcBorders>
            <w:shd w:val="clear" w:color="000000" w:fill="D9D9D9"/>
            <w:noWrap/>
            <w:vAlign w:val="center"/>
            <w:hideMark/>
          </w:tcPr>
          <w:p w14:paraId="6E043205" w14:textId="187A68C0" w:rsidR="00856A9C" w:rsidRPr="00307A0A" w:rsidRDefault="00856A9C" w:rsidP="00856A9C">
            <w:pPr>
              <w:spacing w:after="0" w:line="240" w:lineRule="auto"/>
              <w:jc w:val="center"/>
              <w:rPr>
                <w:rFonts w:ascii="Calibri" w:eastAsia="Times New Roman" w:hAnsi="Calibri" w:cs="Calibri"/>
                <w:b/>
                <w:bCs/>
                <w:color w:val="000000"/>
                <w:sz w:val="16"/>
                <w:szCs w:val="16"/>
                <w:lang w:eastAsia="sk-SK"/>
              </w:rPr>
            </w:pPr>
            <w:r>
              <w:rPr>
                <w:rFonts w:ascii="Calibri" w:hAnsi="Calibri" w:cs="Calibri"/>
                <w:b/>
                <w:bCs/>
                <w:color w:val="000000"/>
                <w:sz w:val="16"/>
                <w:szCs w:val="16"/>
              </w:rPr>
              <w:t>320 544 295</w:t>
            </w:r>
          </w:p>
        </w:tc>
        <w:tc>
          <w:tcPr>
            <w:tcW w:w="992" w:type="dxa"/>
            <w:tcBorders>
              <w:top w:val="nil"/>
              <w:left w:val="nil"/>
              <w:bottom w:val="single" w:sz="8" w:space="0" w:color="DCE6F1"/>
              <w:right w:val="nil"/>
            </w:tcBorders>
            <w:shd w:val="clear" w:color="000000" w:fill="EBF1DE"/>
            <w:noWrap/>
            <w:vAlign w:val="center"/>
            <w:hideMark/>
          </w:tcPr>
          <w:p w14:paraId="31FFD68A" w14:textId="02B97031" w:rsidR="00856A9C" w:rsidRPr="00307A0A" w:rsidRDefault="00856A9C" w:rsidP="00856A9C">
            <w:pPr>
              <w:spacing w:after="0" w:line="240" w:lineRule="auto"/>
              <w:jc w:val="center"/>
              <w:rPr>
                <w:rFonts w:ascii="Calibri" w:eastAsia="Times New Roman" w:hAnsi="Calibri" w:cs="Calibri"/>
                <w:b/>
                <w:bCs/>
                <w:color w:val="000000"/>
                <w:sz w:val="16"/>
                <w:szCs w:val="16"/>
                <w:lang w:eastAsia="sk-SK"/>
              </w:rPr>
            </w:pPr>
            <w:r>
              <w:rPr>
                <w:rFonts w:ascii="Calibri" w:hAnsi="Calibri" w:cs="Calibri"/>
                <w:b/>
                <w:bCs/>
                <w:color w:val="000000"/>
                <w:sz w:val="16"/>
                <w:szCs w:val="16"/>
              </w:rPr>
              <w:t>19 986 288</w:t>
            </w:r>
          </w:p>
        </w:tc>
        <w:tc>
          <w:tcPr>
            <w:tcW w:w="850" w:type="dxa"/>
            <w:tcBorders>
              <w:top w:val="single" w:sz="8" w:space="0" w:color="DCE6F1"/>
              <w:left w:val="nil"/>
              <w:bottom w:val="single" w:sz="8" w:space="0" w:color="DCE6F1"/>
              <w:right w:val="nil"/>
            </w:tcBorders>
            <w:shd w:val="clear" w:color="000000" w:fill="EBF1DE"/>
            <w:noWrap/>
            <w:vAlign w:val="center"/>
            <w:hideMark/>
          </w:tcPr>
          <w:p w14:paraId="3ED63530" w14:textId="1FF72293" w:rsidR="00856A9C" w:rsidRPr="00307A0A" w:rsidRDefault="00856A9C" w:rsidP="00856A9C">
            <w:pPr>
              <w:spacing w:after="0" w:line="240" w:lineRule="auto"/>
              <w:jc w:val="center"/>
              <w:rPr>
                <w:rFonts w:ascii="Calibri" w:eastAsia="Times New Roman" w:hAnsi="Calibri" w:cs="Calibri"/>
                <w:b/>
                <w:bCs/>
                <w:color w:val="000000"/>
                <w:sz w:val="16"/>
                <w:szCs w:val="16"/>
                <w:lang w:eastAsia="sk-SK"/>
              </w:rPr>
            </w:pPr>
            <w:r>
              <w:rPr>
                <w:rFonts w:ascii="Calibri" w:hAnsi="Calibri" w:cs="Calibri"/>
                <w:b/>
                <w:bCs/>
                <w:color w:val="000000"/>
                <w:sz w:val="16"/>
                <w:szCs w:val="16"/>
              </w:rPr>
              <w:t>6,65%</w:t>
            </w:r>
          </w:p>
        </w:tc>
        <w:tc>
          <w:tcPr>
            <w:tcW w:w="993" w:type="dxa"/>
            <w:tcBorders>
              <w:top w:val="single" w:sz="8" w:space="0" w:color="B8CCE4"/>
              <w:left w:val="nil"/>
              <w:bottom w:val="single" w:sz="8" w:space="0" w:color="DCE6F1"/>
              <w:right w:val="nil"/>
            </w:tcBorders>
            <w:shd w:val="clear" w:color="000000" w:fill="95B3D7"/>
            <w:noWrap/>
            <w:vAlign w:val="center"/>
            <w:hideMark/>
          </w:tcPr>
          <w:p w14:paraId="3AC35019" w14:textId="491A2921" w:rsidR="00856A9C" w:rsidRPr="00307A0A" w:rsidRDefault="00856A9C" w:rsidP="00856A9C">
            <w:pPr>
              <w:spacing w:after="0" w:line="240" w:lineRule="auto"/>
              <w:jc w:val="center"/>
              <w:rPr>
                <w:rFonts w:ascii="Calibri" w:eastAsia="Times New Roman" w:hAnsi="Calibri" w:cs="Calibri"/>
                <w:b/>
                <w:bCs/>
                <w:color w:val="000000"/>
                <w:sz w:val="16"/>
                <w:szCs w:val="16"/>
                <w:lang w:eastAsia="sk-SK"/>
              </w:rPr>
            </w:pPr>
            <w:r>
              <w:rPr>
                <w:rFonts w:ascii="Calibri" w:hAnsi="Calibri" w:cs="Calibri"/>
                <w:b/>
                <w:bCs/>
                <w:color w:val="000000"/>
                <w:sz w:val="16"/>
                <w:szCs w:val="16"/>
              </w:rPr>
              <w:t>345 485 364</w:t>
            </w:r>
          </w:p>
        </w:tc>
        <w:tc>
          <w:tcPr>
            <w:tcW w:w="968" w:type="dxa"/>
            <w:tcBorders>
              <w:top w:val="single" w:sz="8" w:space="0" w:color="B8CCE4"/>
              <w:left w:val="nil"/>
              <w:bottom w:val="single" w:sz="8" w:space="0" w:color="DCE6F1"/>
              <w:right w:val="nil"/>
            </w:tcBorders>
            <w:shd w:val="clear" w:color="000000" w:fill="95B3D7"/>
            <w:noWrap/>
            <w:vAlign w:val="center"/>
            <w:hideMark/>
          </w:tcPr>
          <w:p w14:paraId="71E4AADE" w14:textId="61DF4353" w:rsidR="00856A9C" w:rsidRPr="00307A0A" w:rsidRDefault="00856A9C" w:rsidP="00856A9C">
            <w:pPr>
              <w:spacing w:after="0" w:line="240" w:lineRule="auto"/>
              <w:jc w:val="center"/>
              <w:rPr>
                <w:rFonts w:ascii="Calibri" w:eastAsia="Times New Roman" w:hAnsi="Calibri" w:cs="Calibri"/>
                <w:b/>
                <w:bCs/>
                <w:color w:val="000000"/>
                <w:sz w:val="16"/>
                <w:szCs w:val="16"/>
                <w:lang w:eastAsia="sk-SK"/>
              </w:rPr>
            </w:pPr>
            <w:r>
              <w:rPr>
                <w:rFonts w:ascii="Calibri" w:hAnsi="Calibri" w:cs="Calibri"/>
                <w:b/>
                <w:bCs/>
                <w:color w:val="000000"/>
                <w:sz w:val="16"/>
                <w:szCs w:val="16"/>
              </w:rPr>
              <w:t>360 454 035</w:t>
            </w:r>
          </w:p>
        </w:tc>
      </w:tr>
      <w:tr w:rsidR="00856A9C" w:rsidRPr="00307A0A" w14:paraId="2F5044C9" w14:textId="77777777" w:rsidTr="00BD0CCF">
        <w:trPr>
          <w:trHeight w:val="287"/>
        </w:trPr>
        <w:tc>
          <w:tcPr>
            <w:tcW w:w="1985" w:type="dxa"/>
            <w:tcBorders>
              <w:top w:val="nil"/>
              <w:left w:val="nil"/>
              <w:bottom w:val="single" w:sz="8" w:space="0" w:color="4F81BD"/>
              <w:right w:val="nil"/>
            </w:tcBorders>
            <w:shd w:val="clear" w:color="000000" w:fill="DCE6F1"/>
            <w:noWrap/>
            <w:vAlign w:val="center"/>
            <w:hideMark/>
          </w:tcPr>
          <w:p w14:paraId="6A4E2B53" w14:textId="77777777" w:rsidR="00856A9C" w:rsidRPr="00307A0A" w:rsidRDefault="00856A9C" w:rsidP="00856A9C">
            <w:pPr>
              <w:spacing w:after="0" w:line="240" w:lineRule="auto"/>
              <w:rPr>
                <w:rFonts w:ascii="Calibri" w:eastAsia="Times New Roman" w:hAnsi="Calibri" w:cs="Calibri"/>
                <w:b/>
                <w:bCs/>
                <w:color w:val="000000"/>
                <w:sz w:val="16"/>
                <w:szCs w:val="16"/>
                <w:lang w:eastAsia="sk-SK"/>
              </w:rPr>
            </w:pPr>
            <w:r w:rsidRPr="00307A0A">
              <w:rPr>
                <w:rFonts w:ascii="Calibri" w:eastAsia="Times New Roman" w:hAnsi="Calibri" w:cs="Calibri"/>
                <w:b/>
                <w:bCs/>
                <w:color w:val="000000"/>
                <w:sz w:val="16"/>
                <w:szCs w:val="16"/>
                <w:lang w:eastAsia="sk-SK"/>
              </w:rPr>
              <w:t>Bežné výdavky v EUR</w:t>
            </w:r>
          </w:p>
        </w:tc>
        <w:tc>
          <w:tcPr>
            <w:tcW w:w="993" w:type="dxa"/>
            <w:tcBorders>
              <w:top w:val="nil"/>
              <w:left w:val="nil"/>
              <w:bottom w:val="single" w:sz="8" w:space="0" w:color="4F81BD"/>
              <w:right w:val="nil"/>
            </w:tcBorders>
            <w:shd w:val="clear" w:color="000000" w:fill="DCE6F1"/>
            <w:noWrap/>
            <w:vAlign w:val="center"/>
            <w:hideMark/>
          </w:tcPr>
          <w:p w14:paraId="53E10D8E" w14:textId="5F1A7503"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186 104 448</w:t>
            </w:r>
          </w:p>
        </w:tc>
        <w:tc>
          <w:tcPr>
            <w:tcW w:w="992" w:type="dxa"/>
            <w:tcBorders>
              <w:top w:val="nil"/>
              <w:left w:val="nil"/>
              <w:bottom w:val="single" w:sz="8" w:space="0" w:color="4F81BD"/>
              <w:right w:val="nil"/>
            </w:tcBorders>
            <w:shd w:val="clear" w:color="000000" w:fill="DCE6F1"/>
            <w:noWrap/>
            <w:vAlign w:val="center"/>
            <w:hideMark/>
          </w:tcPr>
          <w:p w14:paraId="7BD1EAD5" w14:textId="68DE24D6"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206 732 437</w:t>
            </w:r>
          </w:p>
        </w:tc>
        <w:tc>
          <w:tcPr>
            <w:tcW w:w="992" w:type="dxa"/>
            <w:tcBorders>
              <w:top w:val="nil"/>
              <w:left w:val="nil"/>
              <w:bottom w:val="single" w:sz="8" w:space="0" w:color="4F81BD"/>
              <w:right w:val="nil"/>
            </w:tcBorders>
            <w:shd w:val="clear" w:color="000000" w:fill="DCE6F1"/>
            <w:noWrap/>
            <w:vAlign w:val="center"/>
            <w:hideMark/>
          </w:tcPr>
          <w:p w14:paraId="3F2ADCF3" w14:textId="5AEFAACC"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222 022 429</w:t>
            </w:r>
          </w:p>
        </w:tc>
        <w:tc>
          <w:tcPr>
            <w:tcW w:w="992" w:type="dxa"/>
            <w:tcBorders>
              <w:top w:val="nil"/>
              <w:left w:val="nil"/>
              <w:bottom w:val="single" w:sz="8" w:space="0" w:color="4F81BD"/>
              <w:right w:val="nil"/>
            </w:tcBorders>
            <w:shd w:val="clear" w:color="000000" w:fill="DCE6F1"/>
            <w:noWrap/>
            <w:vAlign w:val="center"/>
            <w:hideMark/>
          </w:tcPr>
          <w:p w14:paraId="6A6B1B95" w14:textId="18E9508E"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228 150 491</w:t>
            </w:r>
          </w:p>
        </w:tc>
        <w:tc>
          <w:tcPr>
            <w:tcW w:w="993" w:type="dxa"/>
            <w:tcBorders>
              <w:top w:val="nil"/>
              <w:left w:val="nil"/>
              <w:bottom w:val="single" w:sz="8" w:space="0" w:color="4F81BD"/>
              <w:right w:val="nil"/>
            </w:tcBorders>
            <w:shd w:val="clear" w:color="000000" w:fill="D9D9D9"/>
            <w:noWrap/>
            <w:vAlign w:val="center"/>
            <w:hideMark/>
          </w:tcPr>
          <w:p w14:paraId="2A0E2402" w14:textId="02D7A03F"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240 483 346</w:t>
            </w:r>
          </w:p>
        </w:tc>
        <w:tc>
          <w:tcPr>
            <w:tcW w:w="992" w:type="dxa"/>
            <w:tcBorders>
              <w:top w:val="nil"/>
              <w:left w:val="nil"/>
              <w:bottom w:val="single" w:sz="8" w:space="0" w:color="4F81BD"/>
              <w:right w:val="nil"/>
            </w:tcBorders>
            <w:shd w:val="clear" w:color="000000" w:fill="EBF1DE"/>
            <w:noWrap/>
            <w:vAlign w:val="center"/>
            <w:hideMark/>
          </w:tcPr>
          <w:p w14:paraId="7B882462" w14:textId="15B7CD0B"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18 460 917</w:t>
            </w:r>
          </w:p>
        </w:tc>
        <w:tc>
          <w:tcPr>
            <w:tcW w:w="850" w:type="dxa"/>
            <w:tcBorders>
              <w:top w:val="nil"/>
              <w:left w:val="nil"/>
              <w:bottom w:val="single" w:sz="8" w:space="0" w:color="4F81BD"/>
              <w:right w:val="nil"/>
            </w:tcBorders>
            <w:shd w:val="clear" w:color="000000" w:fill="EBF1DE"/>
            <w:noWrap/>
            <w:vAlign w:val="center"/>
            <w:hideMark/>
          </w:tcPr>
          <w:p w14:paraId="30E8C4A1" w14:textId="0CCD67E9" w:rsidR="00856A9C" w:rsidRPr="00307A0A" w:rsidRDefault="00856A9C" w:rsidP="00856A9C">
            <w:pPr>
              <w:spacing w:after="0" w:line="240" w:lineRule="auto"/>
              <w:jc w:val="center"/>
              <w:rPr>
                <w:rFonts w:ascii="Calibri" w:eastAsia="Times New Roman" w:hAnsi="Calibri" w:cs="Calibri"/>
                <w:b/>
                <w:bCs/>
                <w:color w:val="000000"/>
                <w:sz w:val="16"/>
                <w:szCs w:val="16"/>
                <w:lang w:eastAsia="sk-SK"/>
              </w:rPr>
            </w:pPr>
            <w:r>
              <w:rPr>
                <w:rFonts w:ascii="Calibri" w:hAnsi="Calibri" w:cs="Calibri"/>
                <w:b/>
                <w:bCs/>
                <w:color w:val="000000"/>
                <w:sz w:val="16"/>
                <w:szCs w:val="16"/>
              </w:rPr>
              <w:t>8,31%</w:t>
            </w:r>
          </w:p>
        </w:tc>
        <w:tc>
          <w:tcPr>
            <w:tcW w:w="993" w:type="dxa"/>
            <w:tcBorders>
              <w:top w:val="nil"/>
              <w:left w:val="nil"/>
              <w:bottom w:val="single" w:sz="8" w:space="0" w:color="4F81BD"/>
              <w:right w:val="nil"/>
            </w:tcBorders>
            <w:shd w:val="clear" w:color="000000" w:fill="DCE6F1"/>
            <w:noWrap/>
            <w:vAlign w:val="center"/>
            <w:hideMark/>
          </w:tcPr>
          <w:p w14:paraId="6CCC263C" w14:textId="617B62BD"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246 348 715</w:t>
            </w:r>
          </w:p>
        </w:tc>
        <w:tc>
          <w:tcPr>
            <w:tcW w:w="968" w:type="dxa"/>
            <w:tcBorders>
              <w:top w:val="nil"/>
              <w:left w:val="nil"/>
              <w:bottom w:val="single" w:sz="8" w:space="0" w:color="4F81BD"/>
              <w:right w:val="nil"/>
            </w:tcBorders>
            <w:shd w:val="clear" w:color="000000" w:fill="DCE6F1"/>
            <w:noWrap/>
            <w:vAlign w:val="center"/>
            <w:hideMark/>
          </w:tcPr>
          <w:p w14:paraId="6EE3AC27" w14:textId="5968D989"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254 851 720</w:t>
            </w:r>
          </w:p>
        </w:tc>
      </w:tr>
      <w:tr w:rsidR="00856A9C" w:rsidRPr="00307A0A" w14:paraId="37A57FE9"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356BAD29" w14:textId="53F8549B" w:rsidR="00856A9C" w:rsidRPr="00307A0A" w:rsidRDefault="00856A9C" w:rsidP="00856A9C">
            <w:pPr>
              <w:spacing w:after="0" w:line="240" w:lineRule="auto"/>
              <w:rPr>
                <w:rFonts w:ascii="Calibri" w:eastAsia="Times New Roman" w:hAnsi="Calibri" w:cs="Calibri"/>
                <w:color w:val="000000"/>
                <w:sz w:val="16"/>
                <w:szCs w:val="16"/>
                <w:lang w:eastAsia="sk-SK"/>
              </w:rPr>
            </w:pPr>
            <w:bookmarkStart w:id="2" w:name="RANGE!G36"/>
            <w:r w:rsidRPr="00307A0A">
              <w:rPr>
                <w:rFonts w:ascii="Calibri" w:eastAsia="Times New Roman" w:hAnsi="Calibri" w:cs="Calibri"/>
                <w:color w:val="000000"/>
                <w:sz w:val="16"/>
                <w:szCs w:val="16"/>
                <w:lang w:eastAsia="sk-SK"/>
              </w:rPr>
              <w:t>Program 1: Plánovanie,</w:t>
            </w:r>
            <w:r w:rsidR="003F6455">
              <w:rPr>
                <w:rFonts w:ascii="Calibri" w:eastAsia="Times New Roman" w:hAnsi="Calibri" w:cs="Calibri"/>
                <w:color w:val="000000"/>
                <w:sz w:val="16"/>
                <w:szCs w:val="16"/>
                <w:lang w:eastAsia="sk-SK"/>
              </w:rPr>
              <w:t xml:space="preserve"> </w:t>
            </w:r>
            <w:r w:rsidRPr="00307A0A">
              <w:rPr>
                <w:rFonts w:ascii="Calibri" w:eastAsia="Times New Roman" w:hAnsi="Calibri" w:cs="Calibri"/>
                <w:color w:val="000000"/>
                <w:sz w:val="16"/>
                <w:szCs w:val="16"/>
                <w:lang w:eastAsia="sk-SK"/>
              </w:rPr>
              <w:t>manažment, kontrola</w:t>
            </w:r>
            <w:bookmarkEnd w:id="2"/>
          </w:p>
        </w:tc>
        <w:tc>
          <w:tcPr>
            <w:tcW w:w="993" w:type="dxa"/>
            <w:tcBorders>
              <w:top w:val="nil"/>
              <w:left w:val="nil"/>
              <w:bottom w:val="single" w:sz="8" w:space="0" w:color="DCE6F1"/>
              <w:right w:val="nil"/>
            </w:tcBorders>
            <w:shd w:val="clear" w:color="auto" w:fill="auto"/>
            <w:noWrap/>
            <w:vAlign w:val="center"/>
            <w:hideMark/>
          </w:tcPr>
          <w:p w14:paraId="7EDEC513" w14:textId="6EBB9EA0"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3 969 250</w:t>
            </w:r>
          </w:p>
        </w:tc>
        <w:tc>
          <w:tcPr>
            <w:tcW w:w="992" w:type="dxa"/>
            <w:tcBorders>
              <w:top w:val="nil"/>
              <w:left w:val="nil"/>
              <w:bottom w:val="single" w:sz="8" w:space="0" w:color="DCE6F1"/>
              <w:right w:val="nil"/>
            </w:tcBorders>
            <w:shd w:val="clear" w:color="auto" w:fill="auto"/>
            <w:noWrap/>
            <w:vAlign w:val="center"/>
            <w:hideMark/>
          </w:tcPr>
          <w:p w14:paraId="433B592C" w14:textId="47691893"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5 053 633</w:t>
            </w:r>
          </w:p>
        </w:tc>
        <w:tc>
          <w:tcPr>
            <w:tcW w:w="992" w:type="dxa"/>
            <w:tcBorders>
              <w:top w:val="nil"/>
              <w:left w:val="nil"/>
              <w:bottom w:val="single" w:sz="8" w:space="0" w:color="DCE6F1"/>
              <w:right w:val="nil"/>
            </w:tcBorders>
            <w:shd w:val="clear" w:color="auto" w:fill="auto"/>
            <w:noWrap/>
            <w:vAlign w:val="center"/>
            <w:hideMark/>
          </w:tcPr>
          <w:p w14:paraId="56D8BCC8" w14:textId="36CDB564"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7 364 367</w:t>
            </w:r>
          </w:p>
        </w:tc>
        <w:tc>
          <w:tcPr>
            <w:tcW w:w="992" w:type="dxa"/>
            <w:tcBorders>
              <w:top w:val="single" w:sz="8" w:space="0" w:color="DCE6F1"/>
              <w:left w:val="nil"/>
              <w:bottom w:val="single" w:sz="8" w:space="0" w:color="DCE6F1"/>
              <w:right w:val="nil"/>
            </w:tcBorders>
            <w:shd w:val="clear" w:color="auto" w:fill="auto"/>
            <w:noWrap/>
            <w:vAlign w:val="center"/>
            <w:hideMark/>
          </w:tcPr>
          <w:p w14:paraId="53CF2FA7" w14:textId="067A0569"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6 539 423</w:t>
            </w:r>
          </w:p>
        </w:tc>
        <w:tc>
          <w:tcPr>
            <w:tcW w:w="993" w:type="dxa"/>
            <w:tcBorders>
              <w:top w:val="single" w:sz="8" w:space="0" w:color="DCE6F1"/>
              <w:left w:val="nil"/>
              <w:bottom w:val="single" w:sz="8" w:space="0" w:color="DCE6F1"/>
              <w:right w:val="nil"/>
            </w:tcBorders>
            <w:shd w:val="clear" w:color="000000" w:fill="D9D9D9"/>
            <w:noWrap/>
            <w:vAlign w:val="center"/>
            <w:hideMark/>
          </w:tcPr>
          <w:p w14:paraId="4E640231" w14:textId="12D98C4A"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7 055 067</w:t>
            </w:r>
          </w:p>
        </w:tc>
        <w:tc>
          <w:tcPr>
            <w:tcW w:w="992" w:type="dxa"/>
            <w:tcBorders>
              <w:top w:val="single" w:sz="8" w:space="0" w:color="DCE6F1"/>
              <w:left w:val="nil"/>
              <w:bottom w:val="single" w:sz="8" w:space="0" w:color="DCE6F1"/>
              <w:right w:val="nil"/>
            </w:tcBorders>
            <w:shd w:val="clear" w:color="000000" w:fill="EBF1DE"/>
            <w:noWrap/>
            <w:vAlign w:val="center"/>
            <w:hideMark/>
          </w:tcPr>
          <w:p w14:paraId="6DB4FA8C" w14:textId="23A0750E"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-309 300</w:t>
            </w:r>
          </w:p>
        </w:tc>
        <w:tc>
          <w:tcPr>
            <w:tcW w:w="850" w:type="dxa"/>
            <w:tcBorders>
              <w:top w:val="single" w:sz="8" w:space="0" w:color="DCE6F1"/>
              <w:left w:val="nil"/>
              <w:bottom w:val="single" w:sz="8" w:space="0" w:color="DCE6F1"/>
              <w:right w:val="nil"/>
            </w:tcBorders>
            <w:shd w:val="clear" w:color="000000" w:fill="EBF1DE"/>
            <w:noWrap/>
            <w:vAlign w:val="center"/>
            <w:hideMark/>
          </w:tcPr>
          <w:p w14:paraId="52FCCA83" w14:textId="173146CD"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-4,20%</w:t>
            </w:r>
          </w:p>
        </w:tc>
        <w:tc>
          <w:tcPr>
            <w:tcW w:w="993" w:type="dxa"/>
            <w:tcBorders>
              <w:top w:val="single" w:sz="8" w:space="0" w:color="DCE6F1"/>
              <w:left w:val="nil"/>
              <w:bottom w:val="single" w:sz="8" w:space="0" w:color="DCE6F1"/>
              <w:right w:val="nil"/>
            </w:tcBorders>
            <w:shd w:val="clear" w:color="auto" w:fill="auto"/>
            <w:noWrap/>
            <w:vAlign w:val="center"/>
            <w:hideMark/>
          </w:tcPr>
          <w:p w14:paraId="46F1F4F5" w14:textId="59EDCCE9"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7 022 070</w:t>
            </w:r>
          </w:p>
        </w:tc>
        <w:tc>
          <w:tcPr>
            <w:tcW w:w="968" w:type="dxa"/>
            <w:tcBorders>
              <w:top w:val="single" w:sz="8" w:space="0" w:color="DCE6F1"/>
              <w:left w:val="nil"/>
              <w:bottom w:val="single" w:sz="8" w:space="0" w:color="DCE6F1"/>
              <w:right w:val="nil"/>
            </w:tcBorders>
            <w:shd w:val="clear" w:color="auto" w:fill="auto"/>
            <w:noWrap/>
            <w:vAlign w:val="center"/>
            <w:hideMark/>
          </w:tcPr>
          <w:p w14:paraId="4B4F2E06" w14:textId="7275601F"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8 333 084</w:t>
            </w:r>
          </w:p>
        </w:tc>
      </w:tr>
      <w:tr w:rsidR="00856A9C" w:rsidRPr="00307A0A" w14:paraId="58C648D8"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6328DE6A"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2: Organizácia podujatí a komunikácia s verejnosťou</w:t>
            </w:r>
          </w:p>
        </w:tc>
        <w:tc>
          <w:tcPr>
            <w:tcW w:w="993" w:type="dxa"/>
            <w:tcBorders>
              <w:top w:val="nil"/>
              <w:left w:val="nil"/>
              <w:bottom w:val="single" w:sz="8" w:space="0" w:color="DCE6F1"/>
              <w:right w:val="nil"/>
            </w:tcBorders>
            <w:shd w:val="clear" w:color="auto" w:fill="auto"/>
            <w:noWrap/>
            <w:vAlign w:val="center"/>
            <w:hideMark/>
          </w:tcPr>
          <w:p w14:paraId="31E9815E" w14:textId="323C785D"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420 993</w:t>
            </w:r>
          </w:p>
        </w:tc>
        <w:tc>
          <w:tcPr>
            <w:tcW w:w="992" w:type="dxa"/>
            <w:tcBorders>
              <w:top w:val="nil"/>
              <w:left w:val="nil"/>
              <w:bottom w:val="single" w:sz="8" w:space="0" w:color="DCE6F1"/>
              <w:right w:val="nil"/>
            </w:tcBorders>
            <w:shd w:val="clear" w:color="auto" w:fill="auto"/>
            <w:noWrap/>
            <w:vAlign w:val="center"/>
            <w:hideMark/>
          </w:tcPr>
          <w:p w14:paraId="6614CC76" w14:textId="0B802C09"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317 238</w:t>
            </w:r>
          </w:p>
        </w:tc>
        <w:tc>
          <w:tcPr>
            <w:tcW w:w="992" w:type="dxa"/>
            <w:tcBorders>
              <w:top w:val="nil"/>
              <w:left w:val="nil"/>
              <w:bottom w:val="single" w:sz="8" w:space="0" w:color="DCE6F1"/>
              <w:right w:val="nil"/>
            </w:tcBorders>
            <w:shd w:val="clear" w:color="auto" w:fill="auto"/>
            <w:noWrap/>
            <w:vAlign w:val="center"/>
            <w:hideMark/>
          </w:tcPr>
          <w:p w14:paraId="46F4B87D" w14:textId="7F4A4EA7"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400 000</w:t>
            </w:r>
          </w:p>
        </w:tc>
        <w:tc>
          <w:tcPr>
            <w:tcW w:w="992" w:type="dxa"/>
            <w:tcBorders>
              <w:top w:val="nil"/>
              <w:left w:val="nil"/>
              <w:bottom w:val="single" w:sz="8" w:space="0" w:color="DCE6F1"/>
              <w:right w:val="nil"/>
            </w:tcBorders>
            <w:shd w:val="clear" w:color="auto" w:fill="auto"/>
            <w:noWrap/>
            <w:vAlign w:val="center"/>
            <w:hideMark/>
          </w:tcPr>
          <w:p w14:paraId="35566349" w14:textId="1B654D9F"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401 000</w:t>
            </w:r>
          </w:p>
        </w:tc>
        <w:tc>
          <w:tcPr>
            <w:tcW w:w="993" w:type="dxa"/>
            <w:tcBorders>
              <w:top w:val="nil"/>
              <w:left w:val="nil"/>
              <w:bottom w:val="single" w:sz="8" w:space="0" w:color="DCE6F1"/>
              <w:right w:val="nil"/>
            </w:tcBorders>
            <w:shd w:val="clear" w:color="000000" w:fill="D9D9D9"/>
            <w:noWrap/>
            <w:vAlign w:val="center"/>
            <w:hideMark/>
          </w:tcPr>
          <w:p w14:paraId="4E2BB31F" w14:textId="24A7803D"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498 030</w:t>
            </w:r>
          </w:p>
        </w:tc>
        <w:tc>
          <w:tcPr>
            <w:tcW w:w="992" w:type="dxa"/>
            <w:tcBorders>
              <w:top w:val="nil"/>
              <w:left w:val="nil"/>
              <w:bottom w:val="single" w:sz="8" w:space="0" w:color="DCE6F1"/>
              <w:right w:val="nil"/>
            </w:tcBorders>
            <w:shd w:val="clear" w:color="000000" w:fill="EBF1DE"/>
            <w:noWrap/>
            <w:vAlign w:val="center"/>
            <w:hideMark/>
          </w:tcPr>
          <w:p w14:paraId="7D8390AA" w14:textId="1E280856"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98 030</w:t>
            </w:r>
          </w:p>
        </w:tc>
        <w:tc>
          <w:tcPr>
            <w:tcW w:w="850" w:type="dxa"/>
            <w:tcBorders>
              <w:top w:val="nil"/>
              <w:left w:val="nil"/>
              <w:bottom w:val="single" w:sz="8" w:space="0" w:color="DCE6F1"/>
              <w:right w:val="nil"/>
            </w:tcBorders>
            <w:shd w:val="clear" w:color="000000" w:fill="EBF1DE"/>
            <w:noWrap/>
            <w:vAlign w:val="center"/>
            <w:hideMark/>
          </w:tcPr>
          <w:p w14:paraId="3B51B2E2" w14:textId="3C48502C"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24,51%</w:t>
            </w:r>
          </w:p>
        </w:tc>
        <w:tc>
          <w:tcPr>
            <w:tcW w:w="993" w:type="dxa"/>
            <w:tcBorders>
              <w:top w:val="nil"/>
              <w:left w:val="nil"/>
              <w:bottom w:val="single" w:sz="8" w:space="0" w:color="DCE6F1"/>
              <w:right w:val="nil"/>
            </w:tcBorders>
            <w:shd w:val="clear" w:color="auto" w:fill="auto"/>
            <w:noWrap/>
            <w:vAlign w:val="center"/>
            <w:hideMark/>
          </w:tcPr>
          <w:p w14:paraId="48485BF2" w14:textId="2D125392"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498 030</w:t>
            </w:r>
          </w:p>
        </w:tc>
        <w:tc>
          <w:tcPr>
            <w:tcW w:w="968" w:type="dxa"/>
            <w:tcBorders>
              <w:top w:val="nil"/>
              <w:left w:val="nil"/>
              <w:bottom w:val="single" w:sz="8" w:space="0" w:color="DCE6F1"/>
              <w:right w:val="nil"/>
            </w:tcBorders>
            <w:shd w:val="clear" w:color="auto" w:fill="auto"/>
            <w:noWrap/>
            <w:vAlign w:val="center"/>
            <w:hideMark/>
          </w:tcPr>
          <w:p w14:paraId="1AFC3692" w14:textId="72A58DDA"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498 030</w:t>
            </w:r>
          </w:p>
        </w:tc>
      </w:tr>
      <w:tr w:rsidR="00856A9C" w:rsidRPr="00307A0A" w14:paraId="04BE850D"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49E55D16"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3: Interné služby</w:t>
            </w:r>
          </w:p>
        </w:tc>
        <w:tc>
          <w:tcPr>
            <w:tcW w:w="993" w:type="dxa"/>
            <w:tcBorders>
              <w:top w:val="nil"/>
              <w:left w:val="nil"/>
              <w:bottom w:val="single" w:sz="8" w:space="0" w:color="DCE6F1"/>
              <w:right w:val="nil"/>
            </w:tcBorders>
            <w:shd w:val="clear" w:color="auto" w:fill="auto"/>
            <w:noWrap/>
            <w:vAlign w:val="center"/>
            <w:hideMark/>
          </w:tcPr>
          <w:p w14:paraId="7F30EDEE" w14:textId="30BCDF27"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7 302 080</w:t>
            </w:r>
          </w:p>
        </w:tc>
        <w:tc>
          <w:tcPr>
            <w:tcW w:w="992" w:type="dxa"/>
            <w:tcBorders>
              <w:top w:val="nil"/>
              <w:left w:val="nil"/>
              <w:bottom w:val="single" w:sz="8" w:space="0" w:color="DCE6F1"/>
              <w:right w:val="nil"/>
            </w:tcBorders>
            <w:shd w:val="clear" w:color="auto" w:fill="auto"/>
            <w:noWrap/>
            <w:vAlign w:val="center"/>
            <w:hideMark/>
          </w:tcPr>
          <w:p w14:paraId="1324B49B" w14:textId="4B1297D7"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6 280 203</w:t>
            </w:r>
          </w:p>
        </w:tc>
        <w:tc>
          <w:tcPr>
            <w:tcW w:w="992" w:type="dxa"/>
            <w:tcBorders>
              <w:top w:val="nil"/>
              <w:left w:val="nil"/>
              <w:bottom w:val="single" w:sz="8" w:space="0" w:color="DCE6F1"/>
              <w:right w:val="nil"/>
            </w:tcBorders>
            <w:shd w:val="clear" w:color="auto" w:fill="auto"/>
            <w:noWrap/>
            <w:vAlign w:val="center"/>
            <w:hideMark/>
          </w:tcPr>
          <w:p w14:paraId="02315C94" w14:textId="00D61E52"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6 825 572</w:t>
            </w:r>
          </w:p>
        </w:tc>
        <w:tc>
          <w:tcPr>
            <w:tcW w:w="992" w:type="dxa"/>
            <w:tcBorders>
              <w:top w:val="nil"/>
              <w:left w:val="nil"/>
              <w:bottom w:val="single" w:sz="8" w:space="0" w:color="DCE6F1"/>
              <w:right w:val="nil"/>
            </w:tcBorders>
            <w:shd w:val="clear" w:color="auto" w:fill="auto"/>
            <w:noWrap/>
            <w:vAlign w:val="center"/>
            <w:hideMark/>
          </w:tcPr>
          <w:p w14:paraId="3AB94B12" w14:textId="46E29A8A"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6 284 240</w:t>
            </w:r>
          </w:p>
        </w:tc>
        <w:tc>
          <w:tcPr>
            <w:tcW w:w="993" w:type="dxa"/>
            <w:tcBorders>
              <w:top w:val="nil"/>
              <w:left w:val="nil"/>
              <w:bottom w:val="single" w:sz="8" w:space="0" w:color="DCE6F1"/>
              <w:right w:val="nil"/>
            </w:tcBorders>
            <w:shd w:val="clear" w:color="000000" w:fill="D9D9D9"/>
            <w:noWrap/>
            <w:vAlign w:val="center"/>
            <w:hideMark/>
          </w:tcPr>
          <w:p w14:paraId="7181B8F2" w14:textId="4B7E3637"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8 571 272</w:t>
            </w:r>
          </w:p>
        </w:tc>
        <w:tc>
          <w:tcPr>
            <w:tcW w:w="992" w:type="dxa"/>
            <w:tcBorders>
              <w:top w:val="nil"/>
              <w:left w:val="nil"/>
              <w:bottom w:val="single" w:sz="8" w:space="0" w:color="DCE6F1"/>
              <w:right w:val="nil"/>
            </w:tcBorders>
            <w:shd w:val="clear" w:color="000000" w:fill="EBF1DE"/>
            <w:noWrap/>
            <w:vAlign w:val="center"/>
            <w:hideMark/>
          </w:tcPr>
          <w:p w14:paraId="18A110BB" w14:textId="599ABE73"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1 745 700</w:t>
            </w:r>
          </w:p>
        </w:tc>
        <w:tc>
          <w:tcPr>
            <w:tcW w:w="850" w:type="dxa"/>
            <w:tcBorders>
              <w:top w:val="nil"/>
              <w:left w:val="nil"/>
              <w:bottom w:val="single" w:sz="8" w:space="0" w:color="DCE6F1"/>
              <w:right w:val="nil"/>
            </w:tcBorders>
            <w:shd w:val="clear" w:color="000000" w:fill="EBF1DE"/>
            <w:noWrap/>
            <w:vAlign w:val="center"/>
            <w:hideMark/>
          </w:tcPr>
          <w:p w14:paraId="760B904D" w14:textId="3DD33690"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25,58%</w:t>
            </w:r>
          </w:p>
        </w:tc>
        <w:tc>
          <w:tcPr>
            <w:tcW w:w="993" w:type="dxa"/>
            <w:tcBorders>
              <w:top w:val="nil"/>
              <w:left w:val="nil"/>
              <w:bottom w:val="single" w:sz="8" w:space="0" w:color="DCE6F1"/>
              <w:right w:val="nil"/>
            </w:tcBorders>
            <w:shd w:val="clear" w:color="auto" w:fill="auto"/>
            <w:noWrap/>
            <w:vAlign w:val="center"/>
            <w:hideMark/>
          </w:tcPr>
          <w:p w14:paraId="34ABC6EB" w14:textId="7158D208"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8 524 272</w:t>
            </w:r>
          </w:p>
        </w:tc>
        <w:tc>
          <w:tcPr>
            <w:tcW w:w="968" w:type="dxa"/>
            <w:tcBorders>
              <w:top w:val="nil"/>
              <w:left w:val="nil"/>
              <w:bottom w:val="single" w:sz="8" w:space="0" w:color="DCE6F1"/>
              <w:right w:val="nil"/>
            </w:tcBorders>
            <w:shd w:val="clear" w:color="auto" w:fill="auto"/>
            <w:noWrap/>
            <w:vAlign w:val="center"/>
            <w:hideMark/>
          </w:tcPr>
          <w:p w14:paraId="3CFB0368" w14:textId="46485E52"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8 537 272</w:t>
            </w:r>
          </w:p>
        </w:tc>
      </w:tr>
      <w:tr w:rsidR="00856A9C" w:rsidRPr="00307A0A" w14:paraId="3A6F0A2E"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1C02F627"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4: Cestovný ruch</w:t>
            </w:r>
          </w:p>
        </w:tc>
        <w:tc>
          <w:tcPr>
            <w:tcW w:w="993" w:type="dxa"/>
            <w:tcBorders>
              <w:top w:val="nil"/>
              <w:left w:val="nil"/>
              <w:bottom w:val="single" w:sz="8" w:space="0" w:color="DCE6F1"/>
              <w:right w:val="nil"/>
            </w:tcBorders>
            <w:shd w:val="clear" w:color="auto" w:fill="auto"/>
            <w:noWrap/>
            <w:vAlign w:val="center"/>
            <w:hideMark/>
          </w:tcPr>
          <w:p w14:paraId="38A9F303" w14:textId="6DE12973"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888 992</w:t>
            </w:r>
          </w:p>
        </w:tc>
        <w:tc>
          <w:tcPr>
            <w:tcW w:w="992" w:type="dxa"/>
            <w:tcBorders>
              <w:top w:val="nil"/>
              <w:left w:val="nil"/>
              <w:bottom w:val="single" w:sz="8" w:space="0" w:color="DCE6F1"/>
              <w:right w:val="nil"/>
            </w:tcBorders>
            <w:shd w:val="clear" w:color="auto" w:fill="auto"/>
            <w:noWrap/>
            <w:vAlign w:val="center"/>
            <w:hideMark/>
          </w:tcPr>
          <w:p w14:paraId="6ADC8072" w14:textId="07B3A951"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643 136</w:t>
            </w:r>
          </w:p>
        </w:tc>
        <w:tc>
          <w:tcPr>
            <w:tcW w:w="992" w:type="dxa"/>
            <w:tcBorders>
              <w:top w:val="nil"/>
              <w:left w:val="nil"/>
              <w:bottom w:val="single" w:sz="8" w:space="0" w:color="DCE6F1"/>
              <w:right w:val="nil"/>
            </w:tcBorders>
            <w:shd w:val="clear" w:color="auto" w:fill="auto"/>
            <w:noWrap/>
            <w:vAlign w:val="center"/>
            <w:hideMark/>
          </w:tcPr>
          <w:p w14:paraId="283884C2" w14:textId="6A4C58E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930 000</w:t>
            </w:r>
          </w:p>
        </w:tc>
        <w:tc>
          <w:tcPr>
            <w:tcW w:w="992" w:type="dxa"/>
            <w:tcBorders>
              <w:top w:val="nil"/>
              <w:left w:val="nil"/>
              <w:bottom w:val="single" w:sz="8" w:space="0" w:color="DCE6F1"/>
              <w:right w:val="nil"/>
            </w:tcBorders>
            <w:shd w:val="clear" w:color="auto" w:fill="auto"/>
            <w:noWrap/>
            <w:vAlign w:val="center"/>
            <w:hideMark/>
          </w:tcPr>
          <w:p w14:paraId="1B49DD52" w14:textId="7DBCA808"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906 500</w:t>
            </w:r>
          </w:p>
        </w:tc>
        <w:tc>
          <w:tcPr>
            <w:tcW w:w="993" w:type="dxa"/>
            <w:tcBorders>
              <w:top w:val="nil"/>
              <w:left w:val="nil"/>
              <w:bottom w:val="single" w:sz="8" w:space="0" w:color="DCE6F1"/>
              <w:right w:val="nil"/>
            </w:tcBorders>
            <w:shd w:val="clear" w:color="000000" w:fill="D9D9D9"/>
            <w:noWrap/>
            <w:vAlign w:val="center"/>
            <w:hideMark/>
          </w:tcPr>
          <w:p w14:paraId="7BBC5A44" w14:textId="619D8DD1"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1 853 159</w:t>
            </w:r>
          </w:p>
        </w:tc>
        <w:tc>
          <w:tcPr>
            <w:tcW w:w="992" w:type="dxa"/>
            <w:tcBorders>
              <w:top w:val="nil"/>
              <w:left w:val="nil"/>
              <w:bottom w:val="single" w:sz="8" w:space="0" w:color="DCE6F1"/>
              <w:right w:val="nil"/>
            </w:tcBorders>
            <w:shd w:val="clear" w:color="000000" w:fill="EBF1DE"/>
            <w:noWrap/>
            <w:vAlign w:val="center"/>
            <w:hideMark/>
          </w:tcPr>
          <w:p w14:paraId="03DFEDD9" w14:textId="7BC56984"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923 159</w:t>
            </w:r>
          </w:p>
        </w:tc>
        <w:tc>
          <w:tcPr>
            <w:tcW w:w="850" w:type="dxa"/>
            <w:tcBorders>
              <w:top w:val="nil"/>
              <w:left w:val="nil"/>
              <w:bottom w:val="single" w:sz="8" w:space="0" w:color="DCE6F1"/>
              <w:right w:val="nil"/>
            </w:tcBorders>
            <w:shd w:val="clear" w:color="000000" w:fill="EBF1DE"/>
            <w:noWrap/>
            <w:vAlign w:val="center"/>
            <w:hideMark/>
          </w:tcPr>
          <w:p w14:paraId="40B45D26" w14:textId="5714C068"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99,26%</w:t>
            </w:r>
          </w:p>
        </w:tc>
        <w:tc>
          <w:tcPr>
            <w:tcW w:w="993" w:type="dxa"/>
            <w:tcBorders>
              <w:top w:val="nil"/>
              <w:left w:val="nil"/>
              <w:bottom w:val="single" w:sz="8" w:space="0" w:color="DCE6F1"/>
              <w:right w:val="nil"/>
            </w:tcBorders>
            <w:shd w:val="clear" w:color="auto" w:fill="auto"/>
            <w:noWrap/>
            <w:vAlign w:val="center"/>
            <w:hideMark/>
          </w:tcPr>
          <w:p w14:paraId="626640F0" w14:textId="28EA3B0E"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1 855 632</w:t>
            </w:r>
          </w:p>
        </w:tc>
        <w:tc>
          <w:tcPr>
            <w:tcW w:w="968" w:type="dxa"/>
            <w:tcBorders>
              <w:top w:val="nil"/>
              <w:left w:val="nil"/>
              <w:bottom w:val="single" w:sz="8" w:space="0" w:color="DCE6F1"/>
              <w:right w:val="nil"/>
            </w:tcBorders>
            <w:shd w:val="clear" w:color="auto" w:fill="auto"/>
            <w:noWrap/>
            <w:vAlign w:val="center"/>
            <w:hideMark/>
          </w:tcPr>
          <w:p w14:paraId="07D611A1" w14:textId="39A596E9"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1 694 500</w:t>
            </w:r>
          </w:p>
        </w:tc>
      </w:tr>
      <w:tr w:rsidR="00856A9C" w:rsidRPr="00307A0A" w14:paraId="3CD9BD32"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50E6657F"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 xml:space="preserve">Program 5: Starostlivosť o krajinu, </w:t>
            </w:r>
            <w:proofErr w:type="spellStart"/>
            <w:r w:rsidRPr="00307A0A">
              <w:rPr>
                <w:rFonts w:ascii="Calibri" w:eastAsia="Times New Roman" w:hAnsi="Calibri" w:cs="Calibri"/>
                <w:color w:val="000000"/>
                <w:sz w:val="16"/>
                <w:szCs w:val="16"/>
                <w:lang w:eastAsia="sk-SK"/>
              </w:rPr>
              <w:t>prír</w:t>
            </w:r>
            <w:proofErr w:type="spellEnd"/>
            <w:r w:rsidRPr="00307A0A">
              <w:rPr>
                <w:rFonts w:ascii="Calibri" w:eastAsia="Times New Roman" w:hAnsi="Calibri" w:cs="Calibri"/>
                <w:color w:val="000000"/>
                <w:sz w:val="16"/>
                <w:szCs w:val="16"/>
                <w:lang w:eastAsia="sk-SK"/>
              </w:rPr>
              <w:t>. zdroje, územné plánovanie a prevenciu obyvateľstva</w:t>
            </w:r>
          </w:p>
        </w:tc>
        <w:tc>
          <w:tcPr>
            <w:tcW w:w="993" w:type="dxa"/>
            <w:tcBorders>
              <w:top w:val="nil"/>
              <w:left w:val="nil"/>
              <w:bottom w:val="single" w:sz="8" w:space="0" w:color="DCE6F1"/>
              <w:right w:val="nil"/>
            </w:tcBorders>
            <w:shd w:val="clear" w:color="auto" w:fill="auto"/>
            <w:noWrap/>
            <w:vAlign w:val="center"/>
            <w:hideMark/>
          </w:tcPr>
          <w:p w14:paraId="31D08A5C" w14:textId="7C0546BD"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104 799</w:t>
            </w:r>
          </w:p>
        </w:tc>
        <w:tc>
          <w:tcPr>
            <w:tcW w:w="992" w:type="dxa"/>
            <w:tcBorders>
              <w:top w:val="nil"/>
              <w:left w:val="nil"/>
              <w:bottom w:val="single" w:sz="8" w:space="0" w:color="DCE6F1"/>
              <w:right w:val="nil"/>
            </w:tcBorders>
            <w:shd w:val="clear" w:color="auto" w:fill="auto"/>
            <w:noWrap/>
            <w:vAlign w:val="center"/>
            <w:hideMark/>
          </w:tcPr>
          <w:p w14:paraId="2858C15E" w14:textId="17B64C7D"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82 150</w:t>
            </w:r>
          </w:p>
        </w:tc>
        <w:tc>
          <w:tcPr>
            <w:tcW w:w="992" w:type="dxa"/>
            <w:tcBorders>
              <w:top w:val="nil"/>
              <w:left w:val="nil"/>
              <w:bottom w:val="single" w:sz="8" w:space="0" w:color="DCE6F1"/>
              <w:right w:val="nil"/>
            </w:tcBorders>
            <w:shd w:val="clear" w:color="auto" w:fill="auto"/>
            <w:noWrap/>
            <w:vAlign w:val="center"/>
            <w:hideMark/>
          </w:tcPr>
          <w:p w14:paraId="6FFEF3BC" w14:textId="070C0513"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496 580</w:t>
            </w:r>
          </w:p>
        </w:tc>
        <w:tc>
          <w:tcPr>
            <w:tcW w:w="992" w:type="dxa"/>
            <w:tcBorders>
              <w:top w:val="nil"/>
              <w:left w:val="nil"/>
              <w:bottom w:val="single" w:sz="8" w:space="0" w:color="DCE6F1"/>
              <w:right w:val="nil"/>
            </w:tcBorders>
            <w:shd w:val="clear" w:color="auto" w:fill="auto"/>
            <w:noWrap/>
            <w:vAlign w:val="center"/>
            <w:hideMark/>
          </w:tcPr>
          <w:p w14:paraId="22D9632B" w14:textId="601D75C1"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275 580</w:t>
            </w:r>
          </w:p>
        </w:tc>
        <w:tc>
          <w:tcPr>
            <w:tcW w:w="993" w:type="dxa"/>
            <w:tcBorders>
              <w:top w:val="nil"/>
              <w:left w:val="nil"/>
              <w:bottom w:val="single" w:sz="8" w:space="0" w:color="DCE6F1"/>
              <w:right w:val="nil"/>
            </w:tcBorders>
            <w:shd w:val="clear" w:color="000000" w:fill="D9D9D9"/>
            <w:noWrap/>
            <w:vAlign w:val="center"/>
            <w:hideMark/>
          </w:tcPr>
          <w:p w14:paraId="08BE2372" w14:textId="32C99A84"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361 580</w:t>
            </w:r>
          </w:p>
        </w:tc>
        <w:tc>
          <w:tcPr>
            <w:tcW w:w="992" w:type="dxa"/>
            <w:tcBorders>
              <w:top w:val="nil"/>
              <w:left w:val="nil"/>
              <w:bottom w:val="single" w:sz="8" w:space="0" w:color="DCE6F1"/>
              <w:right w:val="nil"/>
            </w:tcBorders>
            <w:shd w:val="clear" w:color="000000" w:fill="EBF1DE"/>
            <w:noWrap/>
            <w:vAlign w:val="center"/>
            <w:hideMark/>
          </w:tcPr>
          <w:p w14:paraId="01627016" w14:textId="484F15DF"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-135 000</w:t>
            </w:r>
          </w:p>
        </w:tc>
        <w:tc>
          <w:tcPr>
            <w:tcW w:w="850" w:type="dxa"/>
            <w:tcBorders>
              <w:top w:val="nil"/>
              <w:left w:val="nil"/>
              <w:bottom w:val="single" w:sz="8" w:space="0" w:color="DCE6F1"/>
              <w:right w:val="nil"/>
            </w:tcBorders>
            <w:shd w:val="clear" w:color="000000" w:fill="EBF1DE"/>
            <w:noWrap/>
            <w:vAlign w:val="center"/>
            <w:hideMark/>
          </w:tcPr>
          <w:p w14:paraId="38729ACA" w14:textId="20BB18E1"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-27,19%</w:t>
            </w:r>
          </w:p>
        </w:tc>
        <w:tc>
          <w:tcPr>
            <w:tcW w:w="993" w:type="dxa"/>
            <w:tcBorders>
              <w:top w:val="nil"/>
              <w:left w:val="nil"/>
              <w:bottom w:val="single" w:sz="8" w:space="0" w:color="DCE6F1"/>
              <w:right w:val="nil"/>
            </w:tcBorders>
            <w:shd w:val="clear" w:color="auto" w:fill="auto"/>
            <w:noWrap/>
            <w:vAlign w:val="center"/>
            <w:hideMark/>
          </w:tcPr>
          <w:p w14:paraId="1FA903F7" w14:textId="7A2B4B81"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273 580</w:t>
            </w:r>
          </w:p>
        </w:tc>
        <w:tc>
          <w:tcPr>
            <w:tcW w:w="968" w:type="dxa"/>
            <w:tcBorders>
              <w:top w:val="nil"/>
              <w:left w:val="nil"/>
              <w:bottom w:val="single" w:sz="8" w:space="0" w:color="DCE6F1"/>
              <w:right w:val="nil"/>
            </w:tcBorders>
            <w:shd w:val="clear" w:color="auto" w:fill="auto"/>
            <w:noWrap/>
            <w:vAlign w:val="center"/>
            <w:hideMark/>
          </w:tcPr>
          <w:p w14:paraId="3209CBBC" w14:textId="191F897B"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463 580</w:t>
            </w:r>
          </w:p>
        </w:tc>
      </w:tr>
      <w:tr w:rsidR="00856A9C" w:rsidRPr="00307A0A" w14:paraId="7EFAE89F"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083BEF19"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6: Komunikácie</w:t>
            </w:r>
          </w:p>
        </w:tc>
        <w:tc>
          <w:tcPr>
            <w:tcW w:w="993" w:type="dxa"/>
            <w:tcBorders>
              <w:top w:val="nil"/>
              <w:left w:val="nil"/>
              <w:bottom w:val="single" w:sz="8" w:space="0" w:color="DCE6F1"/>
              <w:right w:val="nil"/>
            </w:tcBorders>
            <w:shd w:val="clear" w:color="auto" w:fill="auto"/>
            <w:noWrap/>
            <w:vAlign w:val="center"/>
            <w:hideMark/>
          </w:tcPr>
          <w:p w14:paraId="7E5053F1" w14:textId="4F35EBF8"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5 369 715</w:t>
            </w:r>
          </w:p>
        </w:tc>
        <w:tc>
          <w:tcPr>
            <w:tcW w:w="992" w:type="dxa"/>
            <w:tcBorders>
              <w:top w:val="nil"/>
              <w:left w:val="nil"/>
              <w:bottom w:val="single" w:sz="8" w:space="0" w:color="DCE6F1"/>
              <w:right w:val="nil"/>
            </w:tcBorders>
            <w:shd w:val="clear" w:color="auto" w:fill="auto"/>
            <w:noWrap/>
            <w:vAlign w:val="center"/>
            <w:hideMark/>
          </w:tcPr>
          <w:p w14:paraId="6AB137CA" w14:textId="3DEA1943"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5 332 347</w:t>
            </w:r>
          </w:p>
        </w:tc>
        <w:tc>
          <w:tcPr>
            <w:tcW w:w="992" w:type="dxa"/>
            <w:tcBorders>
              <w:top w:val="nil"/>
              <w:left w:val="nil"/>
              <w:bottom w:val="single" w:sz="8" w:space="0" w:color="DCE6F1"/>
              <w:right w:val="nil"/>
            </w:tcBorders>
            <w:shd w:val="clear" w:color="auto" w:fill="auto"/>
            <w:noWrap/>
            <w:vAlign w:val="center"/>
            <w:hideMark/>
          </w:tcPr>
          <w:p w14:paraId="2BB6284F" w14:textId="723CB75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7 700 000</w:t>
            </w:r>
          </w:p>
        </w:tc>
        <w:tc>
          <w:tcPr>
            <w:tcW w:w="992" w:type="dxa"/>
            <w:tcBorders>
              <w:top w:val="nil"/>
              <w:left w:val="nil"/>
              <w:bottom w:val="single" w:sz="8" w:space="0" w:color="DCE6F1"/>
              <w:right w:val="nil"/>
            </w:tcBorders>
            <w:shd w:val="clear" w:color="auto" w:fill="auto"/>
            <w:noWrap/>
            <w:vAlign w:val="center"/>
            <w:hideMark/>
          </w:tcPr>
          <w:p w14:paraId="06353612" w14:textId="552F98ED"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7 700 000</w:t>
            </w:r>
          </w:p>
        </w:tc>
        <w:tc>
          <w:tcPr>
            <w:tcW w:w="993" w:type="dxa"/>
            <w:tcBorders>
              <w:top w:val="nil"/>
              <w:left w:val="nil"/>
              <w:bottom w:val="single" w:sz="8" w:space="0" w:color="DCE6F1"/>
              <w:right w:val="nil"/>
            </w:tcBorders>
            <w:shd w:val="clear" w:color="000000" w:fill="D9D9D9"/>
            <w:noWrap/>
            <w:vAlign w:val="center"/>
            <w:hideMark/>
          </w:tcPr>
          <w:p w14:paraId="4267FC13" w14:textId="1979EF17"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7 000 000</w:t>
            </w:r>
          </w:p>
        </w:tc>
        <w:tc>
          <w:tcPr>
            <w:tcW w:w="992" w:type="dxa"/>
            <w:tcBorders>
              <w:top w:val="nil"/>
              <w:left w:val="nil"/>
              <w:bottom w:val="single" w:sz="8" w:space="0" w:color="DCE6F1"/>
              <w:right w:val="nil"/>
            </w:tcBorders>
            <w:shd w:val="clear" w:color="000000" w:fill="EBF1DE"/>
            <w:noWrap/>
            <w:vAlign w:val="center"/>
            <w:hideMark/>
          </w:tcPr>
          <w:p w14:paraId="2A3E2CD6" w14:textId="2DA15C4E"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-700 000</w:t>
            </w:r>
          </w:p>
        </w:tc>
        <w:tc>
          <w:tcPr>
            <w:tcW w:w="850" w:type="dxa"/>
            <w:tcBorders>
              <w:top w:val="nil"/>
              <w:left w:val="nil"/>
              <w:bottom w:val="single" w:sz="8" w:space="0" w:color="DCE6F1"/>
              <w:right w:val="nil"/>
            </w:tcBorders>
            <w:shd w:val="clear" w:color="000000" w:fill="EBF1DE"/>
            <w:noWrap/>
            <w:vAlign w:val="center"/>
            <w:hideMark/>
          </w:tcPr>
          <w:p w14:paraId="2E4ACF9B" w14:textId="1EE9D32F"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-9,09%</w:t>
            </w:r>
          </w:p>
        </w:tc>
        <w:tc>
          <w:tcPr>
            <w:tcW w:w="993" w:type="dxa"/>
            <w:tcBorders>
              <w:top w:val="nil"/>
              <w:left w:val="nil"/>
              <w:bottom w:val="single" w:sz="8" w:space="0" w:color="DCE6F1"/>
              <w:right w:val="nil"/>
            </w:tcBorders>
            <w:shd w:val="clear" w:color="auto" w:fill="auto"/>
            <w:noWrap/>
            <w:vAlign w:val="center"/>
            <w:hideMark/>
          </w:tcPr>
          <w:p w14:paraId="070B3A30" w14:textId="32126D1F"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7 300 000</w:t>
            </w:r>
          </w:p>
        </w:tc>
        <w:tc>
          <w:tcPr>
            <w:tcW w:w="968" w:type="dxa"/>
            <w:tcBorders>
              <w:top w:val="nil"/>
              <w:left w:val="nil"/>
              <w:bottom w:val="single" w:sz="8" w:space="0" w:color="DCE6F1"/>
              <w:right w:val="nil"/>
            </w:tcBorders>
            <w:shd w:val="clear" w:color="auto" w:fill="auto"/>
            <w:noWrap/>
            <w:vAlign w:val="center"/>
            <w:hideMark/>
          </w:tcPr>
          <w:p w14:paraId="54C404D9" w14:textId="4559449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7 800 000</w:t>
            </w:r>
          </w:p>
        </w:tc>
      </w:tr>
      <w:tr w:rsidR="00856A9C" w:rsidRPr="00307A0A" w14:paraId="1EAAFB5E"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7ABB1C43"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7: Doprava</w:t>
            </w:r>
          </w:p>
        </w:tc>
        <w:tc>
          <w:tcPr>
            <w:tcW w:w="993" w:type="dxa"/>
            <w:tcBorders>
              <w:top w:val="nil"/>
              <w:left w:val="nil"/>
              <w:bottom w:val="single" w:sz="8" w:space="0" w:color="DCE6F1"/>
              <w:right w:val="nil"/>
            </w:tcBorders>
            <w:shd w:val="clear" w:color="auto" w:fill="auto"/>
            <w:noWrap/>
            <w:vAlign w:val="center"/>
            <w:hideMark/>
          </w:tcPr>
          <w:p w14:paraId="773823F5" w14:textId="4AA90273"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25 453 636</w:t>
            </w:r>
          </w:p>
        </w:tc>
        <w:tc>
          <w:tcPr>
            <w:tcW w:w="992" w:type="dxa"/>
            <w:tcBorders>
              <w:top w:val="nil"/>
              <w:left w:val="nil"/>
              <w:bottom w:val="single" w:sz="8" w:space="0" w:color="DCE6F1"/>
              <w:right w:val="nil"/>
            </w:tcBorders>
            <w:shd w:val="clear" w:color="auto" w:fill="auto"/>
            <w:noWrap/>
            <w:vAlign w:val="center"/>
            <w:hideMark/>
          </w:tcPr>
          <w:p w14:paraId="3FC86451" w14:textId="4E9EFA9B"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24 214 970</w:t>
            </w:r>
          </w:p>
        </w:tc>
        <w:tc>
          <w:tcPr>
            <w:tcW w:w="992" w:type="dxa"/>
            <w:tcBorders>
              <w:top w:val="nil"/>
              <w:left w:val="nil"/>
              <w:bottom w:val="single" w:sz="8" w:space="0" w:color="DCE6F1"/>
              <w:right w:val="nil"/>
            </w:tcBorders>
            <w:shd w:val="clear" w:color="auto" w:fill="auto"/>
            <w:noWrap/>
            <w:vAlign w:val="center"/>
            <w:hideMark/>
          </w:tcPr>
          <w:p w14:paraId="05BD4A13" w14:textId="71FD0C4D"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26 422 090</w:t>
            </w:r>
          </w:p>
        </w:tc>
        <w:tc>
          <w:tcPr>
            <w:tcW w:w="992" w:type="dxa"/>
            <w:tcBorders>
              <w:top w:val="nil"/>
              <w:left w:val="nil"/>
              <w:bottom w:val="single" w:sz="8" w:space="0" w:color="DCE6F1"/>
              <w:right w:val="nil"/>
            </w:tcBorders>
            <w:shd w:val="clear" w:color="auto" w:fill="auto"/>
            <w:noWrap/>
            <w:vAlign w:val="center"/>
            <w:hideMark/>
          </w:tcPr>
          <w:p w14:paraId="49CF7BCA" w14:textId="5B3DF287"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24 463 672</w:t>
            </w:r>
          </w:p>
        </w:tc>
        <w:tc>
          <w:tcPr>
            <w:tcW w:w="993" w:type="dxa"/>
            <w:tcBorders>
              <w:top w:val="nil"/>
              <w:left w:val="nil"/>
              <w:bottom w:val="single" w:sz="8" w:space="0" w:color="DCE6F1"/>
              <w:right w:val="nil"/>
            </w:tcBorders>
            <w:shd w:val="clear" w:color="000000" w:fill="D9D9D9"/>
            <w:noWrap/>
            <w:vAlign w:val="center"/>
            <w:hideMark/>
          </w:tcPr>
          <w:p w14:paraId="37CCD9C3" w14:textId="4D49CC55"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26 467 507</w:t>
            </w:r>
          </w:p>
        </w:tc>
        <w:tc>
          <w:tcPr>
            <w:tcW w:w="992" w:type="dxa"/>
            <w:tcBorders>
              <w:top w:val="nil"/>
              <w:left w:val="nil"/>
              <w:bottom w:val="single" w:sz="8" w:space="0" w:color="DCE6F1"/>
              <w:right w:val="nil"/>
            </w:tcBorders>
            <w:shd w:val="clear" w:color="000000" w:fill="EBF1DE"/>
            <w:noWrap/>
            <w:vAlign w:val="center"/>
            <w:hideMark/>
          </w:tcPr>
          <w:p w14:paraId="48CADE76" w14:textId="2F79C9FC"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45 417</w:t>
            </w:r>
          </w:p>
        </w:tc>
        <w:tc>
          <w:tcPr>
            <w:tcW w:w="850" w:type="dxa"/>
            <w:tcBorders>
              <w:top w:val="nil"/>
              <w:left w:val="nil"/>
              <w:bottom w:val="single" w:sz="8" w:space="0" w:color="DCE6F1"/>
              <w:right w:val="nil"/>
            </w:tcBorders>
            <w:shd w:val="clear" w:color="000000" w:fill="EBF1DE"/>
            <w:noWrap/>
            <w:vAlign w:val="center"/>
            <w:hideMark/>
          </w:tcPr>
          <w:p w14:paraId="29C53FCB" w14:textId="34389460"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0,17%</w:t>
            </w:r>
          </w:p>
        </w:tc>
        <w:tc>
          <w:tcPr>
            <w:tcW w:w="993" w:type="dxa"/>
            <w:tcBorders>
              <w:top w:val="nil"/>
              <w:left w:val="nil"/>
              <w:bottom w:val="single" w:sz="8" w:space="0" w:color="DCE6F1"/>
              <w:right w:val="nil"/>
            </w:tcBorders>
            <w:shd w:val="clear" w:color="auto" w:fill="auto"/>
            <w:noWrap/>
            <w:vAlign w:val="center"/>
            <w:hideMark/>
          </w:tcPr>
          <w:p w14:paraId="0F2D09F1" w14:textId="641C6650"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27 366 344</w:t>
            </w:r>
          </w:p>
        </w:tc>
        <w:tc>
          <w:tcPr>
            <w:tcW w:w="968" w:type="dxa"/>
            <w:tcBorders>
              <w:top w:val="nil"/>
              <w:left w:val="nil"/>
              <w:bottom w:val="single" w:sz="8" w:space="0" w:color="DCE6F1"/>
              <w:right w:val="nil"/>
            </w:tcBorders>
            <w:shd w:val="clear" w:color="auto" w:fill="auto"/>
            <w:noWrap/>
            <w:vAlign w:val="center"/>
            <w:hideMark/>
          </w:tcPr>
          <w:p w14:paraId="4DE3290F" w14:textId="4F035E8C"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28 519 029</w:t>
            </w:r>
          </w:p>
        </w:tc>
      </w:tr>
      <w:tr w:rsidR="00856A9C" w:rsidRPr="00307A0A" w14:paraId="256D4D9E"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207A139A"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8: Vzdelávanie</w:t>
            </w:r>
          </w:p>
        </w:tc>
        <w:tc>
          <w:tcPr>
            <w:tcW w:w="993" w:type="dxa"/>
            <w:tcBorders>
              <w:top w:val="nil"/>
              <w:left w:val="nil"/>
              <w:bottom w:val="single" w:sz="8" w:space="0" w:color="DCE6F1"/>
              <w:right w:val="nil"/>
            </w:tcBorders>
            <w:shd w:val="clear" w:color="auto" w:fill="auto"/>
            <w:noWrap/>
            <w:vAlign w:val="center"/>
            <w:hideMark/>
          </w:tcPr>
          <w:p w14:paraId="064EB53E" w14:textId="22CC640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90 042 687</w:t>
            </w:r>
          </w:p>
        </w:tc>
        <w:tc>
          <w:tcPr>
            <w:tcW w:w="992" w:type="dxa"/>
            <w:tcBorders>
              <w:top w:val="nil"/>
              <w:left w:val="nil"/>
              <w:bottom w:val="single" w:sz="8" w:space="0" w:color="DCE6F1"/>
              <w:right w:val="nil"/>
            </w:tcBorders>
            <w:shd w:val="clear" w:color="auto" w:fill="auto"/>
            <w:noWrap/>
            <w:vAlign w:val="center"/>
            <w:hideMark/>
          </w:tcPr>
          <w:p w14:paraId="148BCB24" w14:textId="4868B43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106 918 755</w:t>
            </w:r>
          </w:p>
        </w:tc>
        <w:tc>
          <w:tcPr>
            <w:tcW w:w="992" w:type="dxa"/>
            <w:tcBorders>
              <w:top w:val="nil"/>
              <w:left w:val="nil"/>
              <w:bottom w:val="single" w:sz="8" w:space="0" w:color="DCE6F1"/>
              <w:right w:val="nil"/>
            </w:tcBorders>
            <w:shd w:val="clear" w:color="auto" w:fill="auto"/>
            <w:noWrap/>
            <w:vAlign w:val="center"/>
            <w:hideMark/>
          </w:tcPr>
          <w:p w14:paraId="51FCDFB8" w14:textId="011A955C"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107 813 939</w:t>
            </w:r>
          </w:p>
        </w:tc>
        <w:tc>
          <w:tcPr>
            <w:tcW w:w="992" w:type="dxa"/>
            <w:tcBorders>
              <w:top w:val="nil"/>
              <w:left w:val="nil"/>
              <w:bottom w:val="single" w:sz="8" w:space="0" w:color="DCE6F1"/>
              <w:right w:val="nil"/>
            </w:tcBorders>
            <w:shd w:val="clear" w:color="auto" w:fill="auto"/>
            <w:noWrap/>
            <w:vAlign w:val="center"/>
            <w:hideMark/>
          </w:tcPr>
          <w:p w14:paraId="6D1F8629" w14:textId="0BFC47E3"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119 874 292</w:t>
            </w:r>
          </w:p>
        </w:tc>
        <w:tc>
          <w:tcPr>
            <w:tcW w:w="993" w:type="dxa"/>
            <w:tcBorders>
              <w:top w:val="nil"/>
              <w:left w:val="nil"/>
              <w:bottom w:val="single" w:sz="8" w:space="0" w:color="DCE6F1"/>
              <w:right w:val="nil"/>
            </w:tcBorders>
            <w:shd w:val="clear" w:color="000000" w:fill="D9D9D9"/>
            <w:noWrap/>
            <w:vAlign w:val="center"/>
            <w:hideMark/>
          </w:tcPr>
          <w:p w14:paraId="6D6AB772" w14:textId="0B11BD67"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118 228 095</w:t>
            </w:r>
          </w:p>
        </w:tc>
        <w:tc>
          <w:tcPr>
            <w:tcW w:w="992" w:type="dxa"/>
            <w:tcBorders>
              <w:top w:val="nil"/>
              <w:left w:val="nil"/>
              <w:bottom w:val="single" w:sz="8" w:space="0" w:color="DCE6F1"/>
              <w:right w:val="nil"/>
            </w:tcBorders>
            <w:shd w:val="clear" w:color="000000" w:fill="EBF1DE"/>
            <w:noWrap/>
            <w:vAlign w:val="center"/>
            <w:hideMark/>
          </w:tcPr>
          <w:p w14:paraId="320C87A0" w14:textId="21C29075"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10 414 156</w:t>
            </w:r>
          </w:p>
        </w:tc>
        <w:tc>
          <w:tcPr>
            <w:tcW w:w="850" w:type="dxa"/>
            <w:tcBorders>
              <w:top w:val="nil"/>
              <w:left w:val="nil"/>
              <w:bottom w:val="single" w:sz="8" w:space="0" w:color="DCE6F1"/>
              <w:right w:val="nil"/>
            </w:tcBorders>
            <w:shd w:val="clear" w:color="000000" w:fill="EBF1DE"/>
            <w:noWrap/>
            <w:vAlign w:val="center"/>
            <w:hideMark/>
          </w:tcPr>
          <w:p w14:paraId="25BBDEAB" w14:textId="3134F7B0"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9,66%</w:t>
            </w:r>
          </w:p>
        </w:tc>
        <w:tc>
          <w:tcPr>
            <w:tcW w:w="993" w:type="dxa"/>
            <w:tcBorders>
              <w:top w:val="nil"/>
              <w:left w:val="nil"/>
              <w:bottom w:val="single" w:sz="8" w:space="0" w:color="DCE6F1"/>
              <w:right w:val="nil"/>
            </w:tcBorders>
            <w:shd w:val="clear" w:color="auto" w:fill="auto"/>
            <w:noWrap/>
            <w:vAlign w:val="center"/>
            <w:hideMark/>
          </w:tcPr>
          <w:p w14:paraId="3359FBEC" w14:textId="5652543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122 444 619</w:t>
            </w:r>
          </w:p>
        </w:tc>
        <w:tc>
          <w:tcPr>
            <w:tcW w:w="968" w:type="dxa"/>
            <w:tcBorders>
              <w:top w:val="nil"/>
              <w:left w:val="nil"/>
              <w:bottom w:val="single" w:sz="8" w:space="0" w:color="DCE6F1"/>
              <w:right w:val="nil"/>
            </w:tcBorders>
            <w:shd w:val="clear" w:color="auto" w:fill="auto"/>
            <w:noWrap/>
            <w:vAlign w:val="center"/>
            <w:hideMark/>
          </w:tcPr>
          <w:p w14:paraId="1E22503F" w14:textId="495B6D5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126 498 255</w:t>
            </w:r>
          </w:p>
        </w:tc>
      </w:tr>
      <w:tr w:rsidR="00856A9C" w:rsidRPr="00307A0A" w14:paraId="1A3CE383"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6D4759DF"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 xml:space="preserve">Program 9: Šport </w:t>
            </w:r>
          </w:p>
        </w:tc>
        <w:tc>
          <w:tcPr>
            <w:tcW w:w="993" w:type="dxa"/>
            <w:tcBorders>
              <w:top w:val="nil"/>
              <w:left w:val="nil"/>
              <w:bottom w:val="single" w:sz="8" w:space="0" w:color="DCE6F1"/>
              <w:right w:val="nil"/>
            </w:tcBorders>
            <w:shd w:val="clear" w:color="auto" w:fill="auto"/>
            <w:noWrap/>
            <w:vAlign w:val="center"/>
            <w:hideMark/>
          </w:tcPr>
          <w:p w14:paraId="654FB80B" w14:textId="33907495"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424 414</w:t>
            </w:r>
          </w:p>
        </w:tc>
        <w:tc>
          <w:tcPr>
            <w:tcW w:w="992" w:type="dxa"/>
            <w:tcBorders>
              <w:top w:val="nil"/>
              <w:left w:val="nil"/>
              <w:bottom w:val="single" w:sz="8" w:space="0" w:color="DCE6F1"/>
              <w:right w:val="nil"/>
            </w:tcBorders>
            <w:shd w:val="clear" w:color="auto" w:fill="auto"/>
            <w:noWrap/>
            <w:vAlign w:val="center"/>
            <w:hideMark/>
          </w:tcPr>
          <w:p w14:paraId="3E547DE6" w14:textId="5C9F954F"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396 442</w:t>
            </w:r>
          </w:p>
        </w:tc>
        <w:tc>
          <w:tcPr>
            <w:tcW w:w="992" w:type="dxa"/>
            <w:tcBorders>
              <w:top w:val="nil"/>
              <w:left w:val="nil"/>
              <w:bottom w:val="single" w:sz="8" w:space="0" w:color="DCE6F1"/>
              <w:right w:val="nil"/>
            </w:tcBorders>
            <w:shd w:val="clear" w:color="auto" w:fill="auto"/>
            <w:noWrap/>
            <w:vAlign w:val="center"/>
            <w:hideMark/>
          </w:tcPr>
          <w:p w14:paraId="4A6EBCB7" w14:textId="54DF31C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560 000</w:t>
            </w:r>
          </w:p>
        </w:tc>
        <w:tc>
          <w:tcPr>
            <w:tcW w:w="992" w:type="dxa"/>
            <w:tcBorders>
              <w:top w:val="nil"/>
              <w:left w:val="nil"/>
              <w:bottom w:val="single" w:sz="8" w:space="0" w:color="DCE6F1"/>
              <w:right w:val="nil"/>
            </w:tcBorders>
            <w:shd w:val="clear" w:color="auto" w:fill="auto"/>
            <w:noWrap/>
            <w:vAlign w:val="center"/>
            <w:hideMark/>
          </w:tcPr>
          <w:p w14:paraId="154AA25B" w14:textId="45DE7D8B"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621 760</w:t>
            </w:r>
          </w:p>
        </w:tc>
        <w:tc>
          <w:tcPr>
            <w:tcW w:w="993" w:type="dxa"/>
            <w:tcBorders>
              <w:top w:val="nil"/>
              <w:left w:val="nil"/>
              <w:bottom w:val="single" w:sz="8" w:space="0" w:color="DCE6F1"/>
              <w:right w:val="nil"/>
            </w:tcBorders>
            <w:shd w:val="clear" w:color="000000" w:fill="D9D9D9"/>
            <w:noWrap/>
            <w:vAlign w:val="center"/>
            <w:hideMark/>
          </w:tcPr>
          <w:p w14:paraId="6B4349C8" w14:textId="59173969"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510 000</w:t>
            </w:r>
          </w:p>
        </w:tc>
        <w:tc>
          <w:tcPr>
            <w:tcW w:w="992" w:type="dxa"/>
            <w:tcBorders>
              <w:top w:val="nil"/>
              <w:left w:val="nil"/>
              <w:bottom w:val="single" w:sz="8" w:space="0" w:color="DCE6F1"/>
              <w:right w:val="nil"/>
            </w:tcBorders>
            <w:shd w:val="clear" w:color="000000" w:fill="EBF1DE"/>
            <w:noWrap/>
            <w:vAlign w:val="center"/>
            <w:hideMark/>
          </w:tcPr>
          <w:p w14:paraId="0F727DDD" w14:textId="64769C84"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-50 000</w:t>
            </w:r>
          </w:p>
        </w:tc>
        <w:tc>
          <w:tcPr>
            <w:tcW w:w="850" w:type="dxa"/>
            <w:tcBorders>
              <w:top w:val="nil"/>
              <w:left w:val="nil"/>
              <w:bottom w:val="single" w:sz="8" w:space="0" w:color="DCE6F1"/>
              <w:right w:val="nil"/>
            </w:tcBorders>
            <w:shd w:val="clear" w:color="000000" w:fill="EBF1DE"/>
            <w:noWrap/>
            <w:vAlign w:val="center"/>
            <w:hideMark/>
          </w:tcPr>
          <w:p w14:paraId="365332AB" w14:textId="4E9DE150"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-8,93%</w:t>
            </w:r>
          </w:p>
        </w:tc>
        <w:tc>
          <w:tcPr>
            <w:tcW w:w="993" w:type="dxa"/>
            <w:tcBorders>
              <w:top w:val="nil"/>
              <w:left w:val="nil"/>
              <w:bottom w:val="single" w:sz="8" w:space="0" w:color="DCE6F1"/>
              <w:right w:val="nil"/>
            </w:tcBorders>
            <w:shd w:val="clear" w:color="auto" w:fill="auto"/>
            <w:noWrap/>
            <w:vAlign w:val="center"/>
            <w:hideMark/>
          </w:tcPr>
          <w:p w14:paraId="30CBAA7B" w14:textId="1424CA7D"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520 000</w:t>
            </w:r>
          </w:p>
        </w:tc>
        <w:tc>
          <w:tcPr>
            <w:tcW w:w="968" w:type="dxa"/>
            <w:tcBorders>
              <w:top w:val="nil"/>
              <w:left w:val="nil"/>
              <w:bottom w:val="single" w:sz="8" w:space="0" w:color="DCE6F1"/>
              <w:right w:val="nil"/>
            </w:tcBorders>
            <w:shd w:val="clear" w:color="auto" w:fill="auto"/>
            <w:noWrap/>
            <w:vAlign w:val="center"/>
            <w:hideMark/>
          </w:tcPr>
          <w:p w14:paraId="1057FACA" w14:textId="525F4A34"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530 000</w:t>
            </w:r>
          </w:p>
        </w:tc>
      </w:tr>
      <w:tr w:rsidR="00856A9C" w:rsidRPr="00307A0A" w14:paraId="1533B9DF"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2CF0E10C"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 xml:space="preserve">Program 10: Kultúra </w:t>
            </w:r>
          </w:p>
        </w:tc>
        <w:tc>
          <w:tcPr>
            <w:tcW w:w="993" w:type="dxa"/>
            <w:tcBorders>
              <w:top w:val="nil"/>
              <w:left w:val="nil"/>
              <w:bottom w:val="single" w:sz="8" w:space="0" w:color="DCE6F1"/>
              <w:right w:val="nil"/>
            </w:tcBorders>
            <w:shd w:val="clear" w:color="auto" w:fill="auto"/>
            <w:noWrap/>
            <w:vAlign w:val="center"/>
            <w:hideMark/>
          </w:tcPr>
          <w:p w14:paraId="2FF655A3" w14:textId="3D3753D5"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4 922 650</w:t>
            </w:r>
          </w:p>
        </w:tc>
        <w:tc>
          <w:tcPr>
            <w:tcW w:w="992" w:type="dxa"/>
            <w:tcBorders>
              <w:top w:val="nil"/>
              <w:left w:val="nil"/>
              <w:bottom w:val="single" w:sz="8" w:space="0" w:color="DCE6F1"/>
              <w:right w:val="nil"/>
            </w:tcBorders>
            <w:shd w:val="clear" w:color="auto" w:fill="auto"/>
            <w:noWrap/>
            <w:vAlign w:val="center"/>
            <w:hideMark/>
          </w:tcPr>
          <w:p w14:paraId="1840249C" w14:textId="742E7EF2"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5 196 322</w:t>
            </w:r>
          </w:p>
        </w:tc>
        <w:tc>
          <w:tcPr>
            <w:tcW w:w="992" w:type="dxa"/>
            <w:tcBorders>
              <w:top w:val="nil"/>
              <w:left w:val="nil"/>
              <w:bottom w:val="single" w:sz="8" w:space="0" w:color="DCE6F1"/>
              <w:right w:val="nil"/>
            </w:tcBorders>
            <w:shd w:val="clear" w:color="auto" w:fill="auto"/>
            <w:noWrap/>
            <w:vAlign w:val="center"/>
            <w:hideMark/>
          </w:tcPr>
          <w:p w14:paraId="6FC938B4" w14:textId="5809447E"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6 160 630</w:t>
            </w:r>
          </w:p>
        </w:tc>
        <w:tc>
          <w:tcPr>
            <w:tcW w:w="992" w:type="dxa"/>
            <w:tcBorders>
              <w:top w:val="nil"/>
              <w:left w:val="nil"/>
              <w:bottom w:val="single" w:sz="8" w:space="0" w:color="DCE6F1"/>
              <w:right w:val="nil"/>
            </w:tcBorders>
            <w:shd w:val="clear" w:color="auto" w:fill="auto"/>
            <w:noWrap/>
            <w:vAlign w:val="center"/>
            <w:hideMark/>
          </w:tcPr>
          <w:p w14:paraId="15914EE6" w14:textId="5DDF0C18"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5 976 586</w:t>
            </w:r>
          </w:p>
        </w:tc>
        <w:tc>
          <w:tcPr>
            <w:tcW w:w="993" w:type="dxa"/>
            <w:tcBorders>
              <w:top w:val="nil"/>
              <w:left w:val="nil"/>
              <w:bottom w:val="single" w:sz="8" w:space="0" w:color="DCE6F1"/>
              <w:right w:val="nil"/>
            </w:tcBorders>
            <w:shd w:val="clear" w:color="000000" w:fill="D9D9D9"/>
            <w:noWrap/>
            <w:vAlign w:val="center"/>
            <w:hideMark/>
          </w:tcPr>
          <w:p w14:paraId="028C8AA0" w14:textId="36D000EE"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6 941 357</w:t>
            </w:r>
          </w:p>
        </w:tc>
        <w:tc>
          <w:tcPr>
            <w:tcW w:w="992" w:type="dxa"/>
            <w:tcBorders>
              <w:top w:val="nil"/>
              <w:left w:val="nil"/>
              <w:bottom w:val="single" w:sz="8" w:space="0" w:color="DCE6F1"/>
              <w:right w:val="nil"/>
            </w:tcBorders>
            <w:shd w:val="clear" w:color="000000" w:fill="EBF1DE"/>
            <w:noWrap/>
            <w:vAlign w:val="center"/>
            <w:hideMark/>
          </w:tcPr>
          <w:p w14:paraId="64AED106" w14:textId="24E212ED"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780 727</w:t>
            </w:r>
          </w:p>
        </w:tc>
        <w:tc>
          <w:tcPr>
            <w:tcW w:w="850" w:type="dxa"/>
            <w:tcBorders>
              <w:top w:val="nil"/>
              <w:left w:val="nil"/>
              <w:bottom w:val="single" w:sz="8" w:space="0" w:color="DCE6F1"/>
              <w:right w:val="nil"/>
            </w:tcBorders>
            <w:shd w:val="clear" w:color="000000" w:fill="EBF1DE"/>
            <w:noWrap/>
            <w:vAlign w:val="center"/>
            <w:hideMark/>
          </w:tcPr>
          <w:p w14:paraId="2195B62A" w14:textId="4B4B13BF"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12,67%</w:t>
            </w:r>
          </w:p>
        </w:tc>
        <w:tc>
          <w:tcPr>
            <w:tcW w:w="993" w:type="dxa"/>
            <w:tcBorders>
              <w:top w:val="nil"/>
              <w:left w:val="nil"/>
              <w:bottom w:val="single" w:sz="8" w:space="0" w:color="DCE6F1"/>
              <w:right w:val="nil"/>
            </w:tcBorders>
            <w:shd w:val="clear" w:color="auto" w:fill="auto"/>
            <w:noWrap/>
            <w:vAlign w:val="center"/>
            <w:hideMark/>
          </w:tcPr>
          <w:p w14:paraId="077A31B8" w14:textId="255653D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7 077 407</w:t>
            </w:r>
          </w:p>
        </w:tc>
        <w:tc>
          <w:tcPr>
            <w:tcW w:w="968" w:type="dxa"/>
            <w:tcBorders>
              <w:top w:val="nil"/>
              <w:left w:val="nil"/>
              <w:bottom w:val="single" w:sz="8" w:space="0" w:color="DCE6F1"/>
              <w:right w:val="nil"/>
            </w:tcBorders>
            <w:shd w:val="clear" w:color="auto" w:fill="auto"/>
            <w:noWrap/>
            <w:vAlign w:val="center"/>
            <w:hideMark/>
          </w:tcPr>
          <w:p w14:paraId="75D205C1" w14:textId="19CFE492"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7 353 420</w:t>
            </w:r>
          </w:p>
        </w:tc>
      </w:tr>
      <w:tr w:rsidR="00856A9C" w:rsidRPr="00307A0A" w14:paraId="5348A260"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7C6E641E"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11: Sociálne zabezpečenie</w:t>
            </w:r>
          </w:p>
        </w:tc>
        <w:tc>
          <w:tcPr>
            <w:tcW w:w="993" w:type="dxa"/>
            <w:tcBorders>
              <w:top w:val="nil"/>
              <w:left w:val="nil"/>
              <w:bottom w:val="single" w:sz="8" w:space="0" w:color="DCE6F1"/>
              <w:right w:val="nil"/>
            </w:tcBorders>
            <w:shd w:val="clear" w:color="auto" w:fill="auto"/>
            <w:noWrap/>
            <w:vAlign w:val="center"/>
            <w:hideMark/>
          </w:tcPr>
          <w:p w14:paraId="3203D75F" w14:textId="732DED85"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34 777 879</w:t>
            </w:r>
          </w:p>
        </w:tc>
        <w:tc>
          <w:tcPr>
            <w:tcW w:w="992" w:type="dxa"/>
            <w:tcBorders>
              <w:top w:val="nil"/>
              <w:left w:val="nil"/>
              <w:bottom w:val="single" w:sz="8" w:space="0" w:color="DCE6F1"/>
              <w:right w:val="nil"/>
            </w:tcBorders>
            <w:shd w:val="clear" w:color="auto" w:fill="auto"/>
            <w:noWrap/>
            <w:vAlign w:val="center"/>
            <w:hideMark/>
          </w:tcPr>
          <w:p w14:paraId="586A36BF" w14:textId="02B5939A"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39 472 743</w:t>
            </w:r>
          </w:p>
        </w:tc>
        <w:tc>
          <w:tcPr>
            <w:tcW w:w="992" w:type="dxa"/>
            <w:tcBorders>
              <w:top w:val="nil"/>
              <w:left w:val="nil"/>
              <w:bottom w:val="single" w:sz="8" w:space="0" w:color="DCE6F1"/>
              <w:right w:val="nil"/>
            </w:tcBorders>
            <w:shd w:val="clear" w:color="auto" w:fill="auto"/>
            <w:noWrap/>
            <w:vAlign w:val="center"/>
            <w:hideMark/>
          </w:tcPr>
          <w:p w14:paraId="7DC3120D" w14:textId="233C05B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43 691 331</w:t>
            </w:r>
          </w:p>
        </w:tc>
        <w:tc>
          <w:tcPr>
            <w:tcW w:w="992" w:type="dxa"/>
            <w:tcBorders>
              <w:top w:val="nil"/>
              <w:left w:val="nil"/>
              <w:bottom w:val="single" w:sz="8" w:space="0" w:color="DCE6F1"/>
              <w:right w:val="nil"/>
            </w:tcBorders>
            <w:shd w:val="clear" w:color="auto" w:fill="auto"/>
            <w:noWrap/>
            <w:vAlign w:val="center"/>
            <w:hideMark/>
          </w:tcPr>
          <w:p w14:paraId="3F9886AA" w14:textId="1E2A4B01"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41 983 833</w:t>
            </w:r>
          </w:p>
        </w:tc>
        <w:tc>
          <w:tcPr>
            <w:tcW w:w="993" w:type="dxa"/>
            <w:tcBorders>
              <w:top w:val="nil"/>
              <w:left w:val="nil"/>
              <w:bottom w:val="single" w:sz="8" w:space="0" w:color="DCE6F1"/>
              <w:right w:val="nil"/>
            </w:tcBorders>
            <w:shd w:val="clear" w:color="000000" w:fill="D9D9D9"/>
            <w:noWrap/>
            <w:vAlign w:val="center"/>
            <w:hideMark/>
          </w:tcPr>
          <w:p w14:paraId="59731108" w14:textId="3487E2F1"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48 543 666</w:t>
            </w:r>
          </w:p>
        </w:tc>
        <w:tc>
          <w:tcPr>
            <w:tcW w:w="992" w:type="dxa"/>
            <w:tcBorders>
              <w:top w:val="nil"/>
              <w:left w:val="nil"/>
              <w:bottom w:val="single" w:sz="8" w:space="0" w:color="DCE6F1"/>
              <w:right w:val="nil"/>
            </w:tcBorders>
            <w:shd w:val="clear" w:color="000000" w:fill="EBF1DE"/>
            <w:noWrap/>
            <w:vAlign w:val="center"/>
            <w:hideMark/>
          </w:tcPr>
          <w:p w14:paraId="2E61419D" w14:textId="2A390423"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4 852 335</w:t>
            </w:r>
          </w:p>
        </w:tc>
        <w:tc>
          <w:tcPr>
            <w:tcW w:w="850" w:type="dxa"/>
            <w:tcBorders>
              <w:top w:val="nil"/>
              <w:left w:val="nil"/>
              <w:bottom w:val="single" w:sz="8" w:space="0" w:color="DCE6F1"/>
              <w:right w:val="nil"/>
            </w:tcBorders>
            <w:shd w:val="clear" w:color="000000" w:fill="EBF1DE"/>
            <w:noWrap/>
            <w:vAlign w:val="center"/>
            <w:hideMark/>
          </w:tcPr>
          <w:p w14:paraId="641EF87A" w14:textId="56ED7B92"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11,11%</w:t>
            </w:r>
          </w:p>
        </w:tc>
        <w:tc>
          <w:tcPr>
            <w:tcW w:w="993" w:type="dxa"/>
            <w:tcBorders>
              <w:top w:val="nil"/>
              <w:left w:val="nil"/>
              <w:bottom w:val="single" w:sz="8" w:space="0" w:color="DCE6F1"/>
              <w:right w:val="nil"/>
            </w:tcBorders>
            <w:shd w:val="clear" w:color="auto" w:fill="auto"/>
            <w:noWrap/>
            <w:vAlign w:val="center"/>
            <w:hideMark/>
          </w:tcPr>
          <w:p w14:paraId="132F555D" w14:textId="57984F84"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48 960 361</w:t>
            </w:r>
          </w:p>
        </w:tc>
        <w:tc>
          <w:tcPr>
            <w:tcW w:w="968" w:type="dxa"/>
            <w:tcBorders>
              <w:top w:val="nil"/>
              <w:left w:val="nil"/>
              <w:bottom w:val="single" w:sz="8" w:space="0" w:color="DCE6F1"/>
              <w:right w:val="nil"/>
            </w:tcBorders>
            <w:shd w:val="clear" w:color="auto" w:fill="auto"/>
            <w:noWrap/>
            <w:vAlign w:val="center"/>
            <w:hideMark/>
          </w:tcPr>
          <w:p w14:paraId="19EA79A0" w14:textId="784D7BFC"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49 891 724</w:t>
            </w:r>
          </w:p>
        </w:tc>
      </w:tr>
      <w:tr w:rsidR="00856A9C" w:rsidRPr="00307A0A" w14:paraId="37604D87"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248A2002"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 xml:space="preserve">Program 12: Zdravotníctvo </w:t>
            </w:r>
          </w:p>
        </w:tc>
        <w:tc>
          <w:tcPr>
            <w:tcW w:w="993" w:type="dxa"/>
            <w:tcBorders>
              <w:top w:val="nil"/>
              <w:left w:val="nil"/>
              <w:bottom w:val="single" w:sz="8" w:space="0" w:color="DCE6F1"/>
              <w:right w:val="nil"/>
            </w:tcBorders>
            <w:shd w:val="clear" w:color="auto" w:fill="auto"/>
            <w:noWrap/>
            <w:vAlign w:val="center"/>
            <w:hideMark/>
          </w:tcPr>
          <w:p w14:paraId="61FAAC1D" w14:textId="702EA427"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227 762</w:t>
            </w:r>
          </w:p>
        </w:tc>
        <w:tc>
          <w:tcPr>
            <w:tcW w:w="992" w:type="dxa"/>
            <w:tcBorders>
              <w:top w:val="nil"/>
              <w:left w:val="nil"/>
              <w:bottom w:val="single" w:sz="8" w:space="0" w:color="DCE6F1"/>
              <w:right w:val="nil"/>
            </w:tcBorders>
            <w:shd w:val="clear" w:color="auto" w:fill="auto"/>
            <w:noWrap/>
            <w:vAlign w:val="center"/>
            <w:hideMark/>
          </w:tcPr>
          <w:p w14:paraId="68A9C7FF" w14:textId="1C79ED0D"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175 553</w:t>
            </w:r>
          </w:p>
        </w:tc>
        <w:tc>
          <w:tcPr>
            <w:tcW w:w="992" w:type="dxa"/>
            <w:tcBorders>
              <w:top w:val="nil"/>
              <w:left w:val="nil"/>
              <w:bottom w:val="single" w:sz="8" w:space="0" w:color="DCE6F1"/>
              <w:right w:val="nil"/>
            </w:tcBorders>
            <w:shd w:val="clear" w:color="auto" w:fill="auto"/>
            <w:noWrap/>
            <w:vAlign w:val="center"/>
            <w:hideMark/>
          </w:tcPr>
          <w:p w14:paraId="546A7E51" w14:textId="523CD0FA"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355 200</w:t>
            </w:r>
          </w:p>
        </w:tc>
        <w:tc>
          <w:tcPr>
            <w:tcW w:w="992" w:type="dxa"/>
            <w:tcBorders>
              <w:top w:val="nil"/>
              <w:left w:val="nil"/>
              <w:bottom w:val="single" w:sz="8" w:space="0" w:color="DCE6F1"/>
              <w:right w:val="nil"/>
            </w:tcBorders>
            <w:shd w:val="clear" w:color="auto" w:fill="auto"/>
            <w:noWrap/>
            <w:vAlign w:val="center"/>
            <w:hideMark/>
          </w:tcPr>
          <w:p w14:paraId="147CCCDC" w14:textId="1EF23EA9"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39 725</w:t>
            </w:r>
          </w:p>
        </w:tc>
        <w:tc>
          <w:tcPr>
            <w:tcW w:w="993" w:type="dxa"/>
            <w:tcBorders>
              <w:top w:val="nil"/>
              <w:left w:val="nil"/>
              <w:bottom w:val="single" w:sz="8" w:space="0" w:color="DCE6F1"/>
              <w:right w:val="nil"/>
            </w:tcBorders>
            <w:shd w:val="clear" w:color="000000" w:fill="D9D9D9"/>
            <w:noWrap/>
            <w:vAlign w:val="center"/>
            <w:hideMark/>
          </w:tcPr>
          <w:p w14:paraId="12CBC8D3" w14:textId="0356CA21"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354 300</w:t>
            </w:r>
          </w:p>
        </w:tc>
        <w:tc>
          <w:tcPr>
            <w:tcW w:w="992" w:type="dxa"/>
            <w:tcBorders>
              <w:top w:val="nil"/>
              <w:left w:val="nil"/>
              <w:bottom w:val="single" w:sz="8" w:space="0" w:color="DCE6F1"/>
              <w:right w:val="nil"/>
            </w:tcBorders>
            <w:shd w:val="clear" w:color="000000" w:fill="EBF1DE"/>
            <w:noWrap/>
            <w:vAlign w:val="center"/>
            <w:hideMark/>
          </w:tcPr>
          <w:p w14:paraId="2EE40345" w14:textId="31448050"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-900</w:t>
            </w:r>
          </w:p>
        </w:tc>
        <w:tc>
          <w:tcPr>
            <w:tcW w:w="850" w:type="dxa"/>
            <w:tcBorders>
              <w:top w:val="nil"/>
              <w:left w:val="nil"/>
              <w:bottom w:val="single" w:sz="8" w:space="0" w:color="DCE6F1"/>
              <w:right w:val="nil"/>
            </w:tcBorders>
            <w:shd w:val="clear" w:color="000000" w:fill="EBF1DE"/>
            <w:noWrap/>
            <w:vAlign w:val="center"/>
            <w:hideMark/>
          </w:tcPr>
          <w:p w14:paraId="7C5E45E1" w14:textId="7B3345CC"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-0,25%</w:t>
            </w:r>
          </w:p>
        </w:tc>
        <w:tc>
          <w:tcPr>
            <w:tcW w:w="993" w:type="dxa"/>
            <w:tcBorders>
              <w:top w:val="nil"/>
              <w:left w:val="nil"/>
              <w:bottom w:val="single" w:sz="8" w:space="0" w:color="DCE6F1"/>
              <w:right w:val="nil"/>
            </w:tcBorders>
            <w:shd w:val="clear" w:color="auto" w:fill="auto"/>
            <w:noWrap/>
            <w:vAlign w:val="center"/>
            <w:hideMark/>
          </w:tcPr>
          <w:p w14:paraId="47ABC472" w14:textId="032171B5"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374 300</w:t>
            </w:r>
          </w:p>
        </w:tc>
        <w:tc>
          <w:tcPr>
            <w:tcW w:w="968" w:type="dxa"/>
            <w:tcBorders>
              <w:top w:val="nil"/>
              <w:left w:val="nil"/>
              <w:bottom w:val="single" w:sz="8" w:space="0" w:color="DCE6F1"/>
              <w:right w:val="nil"/>
            </w:tcBorders>
            <w:shd w:val="clear" w:color="auto" w:fill="auto"/>
            <w:noWrap/>
            <w:vAlign w:val="center"/>
            <w:hideMark/>
          </w:tcPr>
          <w:p w14:paraId="239C1F0F" w14:textId="53C2494F"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399 300</w:t>
            </w:r>
          </w:p>
        </w:tc>
      </w:tr>
      <w:tr w:rsidR="00856A9C" w:rsidRPr="00307A0A" w14:paraId="5270348B"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048B0E09"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13: Administratíva</w:t>
            </w:r>
          </w:p>
        </w:tc>
        <w:tc>
          <w:tcPr>
            <w:tcW w:w="993" w:type="dxa"/>
            <w:tcBorders>
              <w:top w:val="nil"/>
              <w:left w:val="nil"/>
              <w:bottom w:val="single" w:sz="8" w:space="0" w:color="DCE6F1"/>
              <w:right w:val="nil"/>
            </w:tcBorders>
            <w:shd w:val="clear" w:color="auto" w:fill="auto"/>
            <w:noWrap/>
            <w:vAlign w:val="center"/>
            <w:hideMark/>
          </w:tcPr>
          <w:p w14:paraId="65A62883" w14:textId="49982A8F"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10 065 479</w:t>
            </w:r>
          </w:p>
        </w:tc>
        <w:tc>
          <w:tcPr>
            <w:tcW w:w="992" w:type="dxa"/>
            <w:tcBorders>
              <w:top w:val="nil"/>
              <w:left w:val="nil"/>
              <w:bottom w:val="single" w:sz="8" w:space="0" w:color="DCE6F1"/>
              <w:right w:val="nil"/>
            </w:tcBorders>
            <w:shd w:val="clear" w:color="auto" w:fill="auto"/>
            <w:noWrap/>
            <w:vAlign w:val="center"/>
            <w:hideMark/>
          </w:tcPr>
          <w:p w14:paraId="326D211A" w14:textId="0594FA2D"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11 072 994</w:t>
            </w:r>
          </w:p>
        </w:tc>
        <w:tc>
          <w:tcPr>
            <w:tcW w:w="992" w:type="dxa"/>
            <w:tcBorders>
              <w:top w:val="nil"/>
              <w:left w:val="nil"/>
              <w:bottom w:val="single" w:sz="8" w:space="0" w:color="DCE6F1"/>
              <w:right w:val="nil"/>
            </w:tcBorders>
            <w:shd w:val="clear" w:color="auto" w:fill="auto"/>
            <w:noWrap/>
            <w:vAlign w:val="center"/>
            <w:hideMark/>
          </w:tcPr>
          <w:p w14:paraId="1F9BB16C" w14:textId="37A6D1AC"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12 302 720</w:t>
            </w:r>
          </w:p>
        </w:tc>
        <w:tc>
          <w:tcPr>
            <w:tcW w:w="992" w:type="dxa"/>
            <w:tcBorders>
              <w:top w:val="nil"/>
              <w:left w:val="nil"/>
              <w:bottom w:val="single" w:sz="8" w:space="0" w:color="DCE6F1"/>
              <w:right w:val="nil"/>
            </w:tcBorders>
            <w:shd w:val="clear" w:color="auto" w:fill="auto"/>
            <w:noWrap/>
            <w:vAlign w:val="center"/>
            <w:hideMark/>
          </w:tcPr>
          <w:p w14:paraId="32F240F2" w14:textId="7AC1567F"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12 302 720</w:t>
            </w:r>
          </w:p>
        </w:tc>
        <w:tc>
          <w:tcPr>
            <w:tcW w:w="993" w:type="dxa"/>
            <w:tcBorders>
              <w:top w:val="nil"/>
              <w:left w:val="nil"/>
              <w:bottom w:val="single" w:sz="8" w:space="0" w:color="DCE6F1"/>
              <w:right w:val="nil"/>
            </w:tcBorders>
            <w:shd w:val="clear" w:color="000000" w:fill="D9D9D9"/>
            <w:noWrap/>
            <w:vAlign w:val="center"/>
            <w:hideMark/>
          </w:tcPr>
          <w:p w14:paraId="12B24D0C" w14:textId="7F14CAE7"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13 099 313</w:t>
            </w:r>
          </w:p>
        </w:tc>
        <w:tc>
          <w:tcPr>
            <w:tcW w:w="992" w:type="dxa"/>
            <w:tcBorders>
              <w:top w:val="nil"/>
              <w:left w:val="nil"/>
              <w:bottom w:val="single" w:sz="8" w:space="0" w:color="DCE6F1"/>
              <w:right w:val="nil"/>
            </w:tcBorders>
            <w:shd w:val="clear" w:color="000000" w:fill="EBF1DE"/>
            <w:noWrap/>
            <w:vAlign w:val="center"/>
            <w:hideMark/>
          </w:tcPr>
          <w:p w14:paraId="5D4283A0" w14:textId="389011D6"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796 593</w:t>
            </w:r>
          </w:p>
        </w:tc>
        <w:tc>
          <w:tcPr>
            <w:tcW w:w="850" w:type="dxa"/>
            <w:tcBorders>
              <w:top w:val="nil"/>
              <w:left w:val="nil"/>
              <w:bottom w:val="single" w:sz="8" w:space="0" w:color="DCE6F1"/>
              <w:right w:val="nil"/>
            </w:tcBorders>
            <w:shd w:val="clear" w:color="000000" w:fill="EBF1DE"/>
            <w:noWrap/>
            <w:vAlign w:val="center"/>
            <w:hideMark/>
          </w:tcPr>
          <w:p w14:paraId="5BC068CA" w14:textId="034674BE"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6,47%</w:t>
            </w:r>
          </w:p>
        </w:tc>
        <w:tc>
          <w:tcPr>
            <w:tcW w:w="993" w:type="dxa"/>
            <w:tcBorders>
              <w:top w:val="nil"/>
              <w:left w:val="nil"/>
              <w:bottom w:val="single" w:sz="8" w:space="0" w:color="DCE6F1"/>
              <w:right w:val="nil"/>
            </w:tcBorders>
            <w:shd w:val="clear" w:color="auto" w:fill="auto"/>
            <w:noWrap/>
            <w:vAlign w:val="center"/>
            <w:hideMark/>
          </w:tcPr>
          <w:p w14:paraId="7F80FB26" w14:textId="4E651F5C"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13 132 099</w:t>
            </w:r>
          </w:p>
        </w:tc>
        <w:tc>
          <w:tcPr>
            <w:tcW w:w="968" w:type="dxa"/>
            <w:tcBorders>
              <w:top w:val="nil"/>
              <w:left w:val="nil"/>
              <w:bottom w:val="single" w:sz="8" w:space="0" w:color="DCE6F1"/>
              <w:right w:val="nil"/>
            </w:tcBorders>
            <w:shd w:val="clear" w:color="auto" w:fill="auto"/>
            <w:noWrap/>
            <w:vAlign w:val="center"/>
            <w:hideMark/>
          </w:tcPr>
          <w:p w14:paraId="122FE4FB" w14:textId="3D91F1C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13 333 525</w:t>
            </w:r>
          </w:p>
        </w:tc>
      </w:tr>
      <w:tr w:rsidR="00856A9C" w:rsidRPr="00307A0A" w14:paraId="737D8277"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359C9DA6" w14:textId="77777777" w:rsidR="00856A9C" w:rsidRPr="00307A0A" w:rsidRDefault="00856A9C" w:rsidP="00856A9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 xml:space="preserve">Program 14: Podpora </w:t>
            </w:r>
            <w:proofErr w:type="spellStart"/>
            <w:r w:rsidRPr="00307A0A">
              <w:rPr>
                <w:rFonts w:ascii="Calibri" w:eastAsia="Times New Roman" w:hAnsi="Calibri" w:cs="Calibri"/>
                <w:color w:val="000000"/>
                <w:sz w:val="16"/>
                <w:szCs w:val="16"/>
                <w:lang w:eastAsia="sk-SK"/>
              </w:rPr>
              <w:t>verej</w:t>
            </w:r>
            <w:proofErr w:type="spellEnd"/>
            <w:r w:rsidRPr="00307A0A">
              <w:rPr>
                <w:rFonts w:ascii="Calibri" w:eastAsia="Times New Roman" w:hAnsi="Calibri" w:cs="Calibri"/>
                <w:color w:val="000000"/>
                <w:sz w:val="16"/>
                <w:szCs w:val="16"/>
                <w:lang w:eastAsia="sk-SK"/>
              </w:rPr>
              <w:t>. života v regióne</w:t>
            </w:r>
          </w:p>
        </w:tc>
        <w:tc>
          <w:tcPr>
            <w:tcW w:w="993" w:type="dxa"/>
            <w:tcBorders>
              <w:top w:val="nil"/>
              <w:left w:val="nil"/>
              <w:bottom w:val="single" w:sz="8" w:space="0" w:color="DCE6F1"/>
              <w:right w:val="nil"/>
            </w:tcBorders>
            <w:shd w:val="clear" w:color="auto" w:fill="auto"/>
            <w:noWrap/>
            <w:vAlign w:val="center"/>
            <w:hideMark/>
          </w:tcPr>
          <w:p w14:paraId="5458CB63" w14:textId="2B9C46BF"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2 134 111</w:t>
            </w:r>
          </w:p>
        </w:tc>
        <w:tc>
          <w:tcPr>
            <w:tcW w:w="992" w:type="dxa"/>
            <w:tcBorders>
              <w:top w:val="nil"/>
              <w:left w:val="nil"/>
              <w:bottom w:val="single" w:sz="8" w:space="0" w:color="DCE6F1"/>
              <w:right w:val="nil"/>
            </w:tcBorders>
            <w:shd w:val="clear" w:color="auto" w:fill="auto"/>
            <w:noWrap/>
            <w:vAlign w:val="center"/>
            <w:hideMark/>
          </w:tcPr>
          <w:p w14:paraId="6D7F65E3" w14:textId="738CA6A5"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1 575 952</w:t>
            </w:r>
          </w:p>
        </w:tc>
        <w:tc>
          <w:tcPr>
            <w:tcW w:w="992" w:type="dxa"/>
            <w:tcBorders>
              <w:top w:val="nil"/>
              <w:left w:val="nil"/>
              <w:bottom w:val="single" w:sz="8" w:space="0" w:color="DCE6F1"/>
              <w:right w:val="nil"/>
            </w:tcBorders>
            <w:shd w:val="clear" w:color="auto" w:fill="auto"/>
            <w:noWrap/>
            <w:vAlign w:val="center"/>
            <w:hideMark/>
          </w:tcPr>
          <w:p w14:paraId="4B7495E6" w14:textId="77153696"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1 000 000</w:t>
            </w:r>
          </w:p>
        </w:tc>
        <w:tc>
          <w:tcPr>
            <w:tcW w:w="992" w:type="dxa"/>
            <w:tcBorders>
              <w:top w:val="nil"/>
              <w:left w:val="nil"/>
              <w:bottom w:val="single" w:sz="8" w:space="0" w:color="DCE6F1"/>
              <w:right w:val="nil"/>
            </w:tcBorders>
            <w:shd w:val="clear" w:color="auto" w:fill="auto"/>
            <w:noWrap/>
            <w:vAlign w:val="center"/>
            <w:hideMark/>
          </w:tcPr>
          <w:p w14:paraId="52A769B4" w14:textId="2EDCE8B4"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781 160</w:t>
            </w:r>
          </w:p>
        </w:tc>
        <w:tc>
          <w:tcPr>
            <w:tcW w:w="993" w:type="dxa"/>
            <w:tcBorders>
              <w:top w:val="nil"/>
              <w:left w:val="nil"/>
              <w:bottom w:val="single" w:sz="8" w:space="0" w:color="DCE6F1"/>
              <w:right w:val="nil"/>
            </w:tcBorders>
            <w:shd w:val="clear" w:color="000000" w:fill="D9D9D9"/>
            <w:noWrap/>
            <w:vAlign w:val="center"/>
            <w:hideMark/>
          </w:tcPr>
          <w:p w14:paraId="7B8EED5D" w14:textId="5B5A6676" w:rsidR="00856A9C" w:rsidRPr="00307A0A" w:rsidRDefault="00856A9C" w:rsidP="00856A9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1 000 000</w:t>
            </w:r>
          </w:p>
        </w:tc>
        <w:tc>
          <w:tcPr>
            <w:tcW w:w="992" w:type="dxa"/>
            <w:tcBorders>
              <w:top w:val="nil"/>
              <w:left w:val="nil"/>
              <w:bottom w:val="single" w:sz="8" w:space="0" w:color="DCE6F1"/>
              <w:right w:val="nil"/>
            </w:tcBorders>
            <w:shd w:val="clear" w:color="000000" w:fill="EBF1DE"/>
            <w:noWrap/>
            <w:vAlign w:val="center"/>
            <w:hideMark/>
          </w:tcPr>
          <w:p w14:paraId="3534F3DC" w14:textId="25C00B0C" w:rsidR="00856A9C" w:rsidRPr="003764A8" w:rsidRDefault="00856A9C" w:rsidP="00856A9C">
            <w:pPr>
              <w:spacing w:after="0" w:line="240" w:lineRule="auto"/>
              <w:jc w:val="right"/>
              <w:rPr>
                <w:rFonts w:ascii="Calibri" w:eastAsia="Times New Roman" w:hAnsi="Calibri" w:cs="Calibri"/>
                <w:color w:val="000000"/>
                <w:sz w:val="16"/>
                <w:szCs w:val="16"/>
                <w:lang w:eastAsia="sk-SK"/>
              </w:rPr>
            </w:pPr>
            <w:r w:rsidRPr="003764A8">
              <w:rPr>
                <w:rFonts w:ascii="Calibri" w:hAnsi="Calibri" w:cs="Calibri"/>
                <w:color w:val="000000"/>
                <w:sz w:val="16"/>
                <w:szCs w:val="16"/>
              </w:rPr>
              <w:t>0</w:t>
            </w:r>
          </w:p>
        </w:tc>
        <w:tc>
          <w:tcPr>
            <w:tcW w:w="850" w:type="dxa"/>
            <w:tcBorders>
              <w:top w:val="nil"/>
              <w:left w:val="nil"/>
              <w:bottom w:val="single" w:sz="8" w:space="0" w:color="DCE6F1"/>
              <w:right w:val="nil"/>
            </w:tcBorders>
            <w:shd w:val="clear" w:color="000000" w:fill="EBF1DE"/>
            <w:noWrap/>
            <w:vAlign w:val="center"/>
            <w:hideMark/>
          </w:tcPr>
          <w:p w14:paraId="4B7C0820" w14:textId="378690B1" w:rsidR="00856A9C" w:rsidRPr="003764A8" w:rsidRDefault="00856A9C" w:rsidP="00856A9C">
            <w:pPr>
              <w:spacing w:after="0" w:line="240" w:lineRule="auto"/>
              <w:jc w:val="center"/>
              <w:rPr>
                <w:rFonts w:ascii="Calibri" w:eastAsia="Times New Roman" w:hAnsi="Calibri" w:cs="Calibri"/>
                <w:color w:val="000000"/>
                <w:sz w:val="16"/>
                <w:szCs w:val="16"/>
                <w:lang w:eastAsia="sk-SK"/>
              </w:rPr>
            </w:pPr>
            <w:r w:rsidRPr="003764A8">
              <w:rPr>
                <w:rFonts w:ascii="Calibri" w:hAnsi="Calibri" w:cs="Calibri"/>
                <w:color w:val="000000"/>
                <w:sz w:val="16"/>
                <w:szCs w:val="16"/>
              </w:rPr>
              <w:t>0,00%</w:t>
            </w:r>
          </w:p>
        </w:tc>
        <w:tc>
          <w:tcPr>
            <w:tcW w:w="993" w:type="dxa"/>
            <w:tcBorders>
              <w:top w:val="nil"/>
              <w:left w:val="nil"/>
              <w:bottom w:val="single" w:sz="8" w:space="0" w:color="DCE6F1"/>
              <w:right w:val="nil"/>
            </w:tcBorders>
            <w:shd w:val="clear" w:color="auto" w:fill="auto"/>
            <w:noWrap/>
            <w:vAlign w:val="center"/>
            <w:hideMark/>
          </w:tcPr>
          <w:p w14:paraId="70509F38" w14:textId="302BE6B0"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1 000 000</w:t>
            </w:r>
          </w:p>
        </w:tc>
        <w:tc>
          <w:tcPr>
            <w:tcW w:w="968" w:type="dxa"/>
            <w:tcBorders>
              <w:top w:val="nil"/>
              <w:left w:val="nil"/>
              <w:bottom w:val="single" w:sz="8" w:space="0" w:color="DCE6F1"/>
              <w:right w:val="nil"/>
            </w:tcBorders>
            <w:shd w:val="clear" w:color="auto" w:fill="auto"/>
            <w:noWrap/>
            <w:vAlign w:val="center"/>
            <w:hideMark/>
          </w:tcPr>
          <w:p w14:paraId="5FF92140" w14:textId="2059ACA4" w:rsidR="00856A9C" w:rsidRPr="00307A0A" w:rsidRDefault="00856A9C" w:rsidP="00856A9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1 000 000</w:t>
            </w:r>
          </w:p>
        </w:tc>
      </w:tr>
      <w:tr w:rsidR="000F057C" w:rsidRPr="00307A0A" w14:paraId="468A2F2C" w14:textId="77777777" w:rsidTr="00BD0CCF">
        <w:trPr>
          <w:trHeight w:val="287"/>
        </w:trPr>
        <w:tc>
          <w:tcPr>
            <w:tcW w:w="1985" w:type="dxa"/>
            <w:tcBorders>
              <w:top w:val="nil"/>
              <w:left w:val="nil"/>
              <w:bottom w:val="single" w:sz="8" w:space="0" w:color="4F81BD"/>
              <w:right w:val="nil"/>
            </w:tcBorders>
            <w:shd w:val="clear" w:color="000000" w:fill="DCE6F1"/>
            <w:noWrap/>
            <w:vAlign w:val="center"/>
            <w:hideMark/>
          </w:tcPr>
          <w:p w14:paraId="310316DA" w14:textId="77777777" w:rsidR="000F057C" w:rsidRPr="00307A0A" w:rsidRDefault="000F057C" w:rsidP="000F057C">
            <w:pPr>
              <w:spacing w:after="0" w:line="240" w:lineRule="auto"/>
              <w:rPr>
                <w:rFonts w:ascii="Calibri" w:eastAsia="Times New Roman" w:hAnsi="Calibri" w:cs="Calibri"/>
                <w:b/>
                <w:bCs/>
                <w:color w:val="000000"/>
                <w:sz w:val="16"/>
                <w:szCs w:val="16"/>
                <w:lang w:eastAsia="sk-SK"/>
              </w:rPr>
            </w:pPr>
            <w:r w:rsidRPr="00307A0A">
              <w:rPr>
                <w:rFonts w:ascii="Calibri" w:eastAsia="Times New Roman" w:hAnsi="Calibri" w:cs="Calibri"/>
                <w:b/>
                <w:bCs/>
                <w:color w:val="000000"/>
                <w:sz w:val="16"/>
                <w:szCs w:val="16"/>
                <w:lang w:eastAsia="sk-SK"/>
              </w:rPr>
              <w:lastRenderedPageBreak/>
              <w:t>Kapitálové výdavky  v EUR</w:t>
            </w:r>
          </w:p>
        </w:tc>
        <w:tc>
          <w:tcPr>
            <w:tcW w:w="993" w:type="dxa"/>
            <w:tcBorders>
              <w:top w:val="nil"/>
              <w:left w:val="nil"/>
              <w:bottom w:val="single" w:sz="8" w:space="0" w:color="4F81BD"/>
              <w:right w:val="nil"/>
            </w:tcBorders>
            <w:shd w:val="clear" w:color="000000" w:fill="DCE6F1"/>
            <w:noWrap/>
            <w:vAlign w:val="center"/>
            <w:hideMark/>
          </w:tcPr>
          <w:p w14:paraId="5E907A57" w14:textId="548A7359"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48 813 056</w:t>
            </w:r>
          </w:p>
        </w:tc>
        <w:tc>
          <w:tcPr>
            <w:tcW w:w="992" w:type="dxa"/>
            <w:tcBorders>
              <w:top w:val="nil"/>
              <w:left w:val="nil"/>
              <w:bottom w:val="single" w:sz="8" w:space="0" w:color="4F81BD"/>
              <w:right w:val="nil"/>
            </w:tcBorders>
            <w:shd w:val="clear" w:color="000000" w:fill="DCE6F1"/>
            <w:noWrap/>
            <w:vAlign w:val="center"/>
            <w:hideMark/>
          </w:tcPr>
          <w:p w14:paraId="67B250F1" w14:textId="3D6BAC79"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51 814 360</w:t>
            </w:r>
          </w:p>
        </w:tc>
        <w:tc>
          <w:tcPr>
            <w:tcW w:w="992" w:type="dxa"/>
            <w:tcBorders>
              <w:top w:val="nil"/>
              <w:left w:val="nil"/>
              <w:bottom w:val="single" w:sz="8" w:space="0" w:color="4F81BD"/>
              <w:right w:val="nil"/>
            </w:tcBorders>
            <w:shd w:val="clear" w:color="000000" w:fill="DCE6F1"/>
            <w:noWrap/>
            <w:vAlign w:val="center"/>
            <w:hideMark/>
          </w:tcPr>
          <w:p w14:paraId="3ED818A0" w14:textId="19A20561"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70 749 888</w:t>
            </w:r>
          </w:p>
        </w:tc>
        <w:tc>
          <w:tcPr>
            <w:tcW w:w="992" w:type="dxa"/>
            <w:tcBorders>
              <w:top w:val="nil"/>
              <w:left w:val="nil"/>
              <w:bottom w:val="single" w:sz="8" w:space="0" w:color="4F81BD"/>
              <w:right w:val="nil"/>
            </w:tcBorders>
            <w:shd w:val="clear" w:color="000000" w:fill="DCE6F1"/>
            <w:noWrap/>
            <w:vAlign w:val="center"/>
            <w:hideMark/>
          </w:tcPr>
          <w:p w14:paraId="03357B42" w14:textId="7A8AF83D"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39 254 298</w:t>
            </w:r>
          </w:p>
        </w:tc>
        <w:tc>
          <w:tcPr>
            <w:tcW w:w="993" w:type="dxa"/>
            <w:tcBorders>
              <w:top w:val="nil"/>
              <w:left w:val="nil"/>
              <w:bottom w:val="single" w:sz="8" w:space="0" w:color="4F81BD"/>
              <w:right w:val="nil"/>
            </w:tcBorders>
            <w:shd w:val="clear" w:color="000000" w:fill="D9D9D9"/>
            <w:noWrap/>
            <w:vAlign w:val="center"/>
            <w:hideMark/>
          </w:tcPr>
          <w:p w14:paraId="35C6513E" w14:textId="523F0A46"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73 962 958</w:t>
            </w:r>
          </w:p>
        </w:tc>
        <w:tc>
          <w:tcPr>
            <w:tcW w:w="992" w:type="dxa"/>
            <w:tcBorders>
              <w:top w:val="nil"/>
              <w:left w:val="nil"/>
              <w:bottom w:val="single" w:sz="8" w:space="0" w:color="4F81BD"/>
              <w:right w:val="nil"/>
            </w:tcBorders>
            <w:shd w:val="clear" w:color="000000" w:fill="EBF1DE"/>
            <w:noWrap/>
            <w:vAlign w:val="center"/>
            <w:hideMark/>
          </w:tcPr>
          <w:p w14:paraId="14278F32" w14:textId="7D739CB3"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3 213 070</w:t>
            </w:r>
          </w:p>
        </w:tc>
        <w:tc>
          <w:tcPr>
            <w:tcW w:w="850" w:type="dxa"/>
            <w:tcBorders>
              <w:top w:val="nil"/>
              <w:left w:val="nil"/>
              <w:bottom w:val="single" w:sz="8" w:space="0" w:color="4F81BD"/>
              <w:right w:val="nil"/>
            </w:tcBorders>
            <w:shd w:val="clear" w:color="000000" w:fill="EBF1DE"/>
            <w:noWrap/>
            <w:vAlign w:val="center"/>
            <w:hideMark/>
          </w:tcPr>
          <w:p w14:paraId="4CAD2936" w14:textId="208E83A6" w:rsidR="000F057C" w:rsidRPr="00307A0A" w:rsidRDefault="000F057C" w:rsidP="000F057C">
            <w:pPr>
              <w:spacing w:after="0" w:line="240" w:lineRule="auto"/>
              <w:jc w:val="center"/>
              <w:rPr>
                <w:rFonts w:ascii="Calibri" w:eastAsia="Times New Roman" w:hAnsi="Calibri" w:cs="Calibri"/>
                <w:b/>
                <w:bCs/>
                <w:color w:val="000000"/>
                <w:sz w:val="16"/>
                <w:szCs w:val="16"/>
                <w:lang w:eastAsia="sk-SK"/>
              </w:rPr>
            </w:pPr>
            <w:r>
              <w:rPr>
                <w:rFonts w:ascii="Calibri" w:hAnsi="Calibri" w:cs="Calibri"/>
                <w:b/>
                <w:bCs/>
                <w:color w:val="000000"/>
                <w:sz w:val="16"/>
                <w:szCs w:val="16"/>
              </w:rPr>
              <w:t>4,54%</w:t>
            </w:r>
          </w:p>
        </w:tc>
        <w:tc>
          <w:tcPr>
            <w:tcW w:w="993" w:type="dxa"/>
            <w:tcBorders>
              <w:top w:val="nil"/>
              <w:left w:val="nil"/>
              <w:bottom w:val="single" w:sz="8" w:space="0" w:color="4F81BD"/>
              <w:right w:val="nil"/>
            </w:tcBorders>
            <w:shd w:val="clear" w:color="000000" w:fill="DCE6F1"/>
            <w:noWrap/>
            <w:vAlign w:val="center"/>
            <w:hideMark/>
          </w:tcPr>
          <w:p w14:paraId="2A12D15D" w14:textId="5DACD583"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86 889 529</w:t>
            </w:r>
          </w:p>
        </w:tc>
        <w:tc>
          <w:tcPr>
            <w:tcW w:w="968" w:type="dxa"/>
            <w:tcBorders>
              <w:top w:val="nil"/>
              <w:left w:val="nil"/>
              <w:bottom w:val="single" w:sz="8" w:space="0" w:color="4F81BD"/>
              <w:right w:val="nil"/>
            </w:tcBorders>
            <w:shd w:val="clear" w:color="000000" w:fill="DCE6F1"/>
            <w:noWrap/>
            <w:vAlign w:val="center"/>
            <w:hideMark/>
          </w:tcPr>
          <w:p w14:paraId="2EF6A0F9" w14:textId="5B61FFA3"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96 585 627</w:t>
            </w:r>
          </w:p>
        </w:tc>
      </w:tr>
      <w:tr w:rsidR="000F057C" w:rsidRPr="00307A0A" w14:paraId="5E256160"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3E408619" w14:textId="77777777" w:rsidR="000F057C" w:rsidRPr="00307A0A" w:rsidRDefault="000F057C" w:rsidP="000F057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1: Plánovanie, kontrola</w:t>
            </w:r>
          </w:p>
        </w:tc>
        <w:tc>
          <w:tcPr>
            <w:tcW w:w="993" w:type="dxa"/>
            <w:tcBorders>
              <w:top w:val="nil"/>
              <w:left w:val="nil"/>
              <w:bottom w:val="single" w:sz="8" w:space="0" w:color="DCE6F1"/>
              <w:right w:val="nil"/>
            </w:tcBorders>
            <w:shd w:val="clear" w:color="auto" w:fill="auto"/>
            <w:noWrap/>
            <w:vAlign w:val="center"/>
            <w:hideMark/>
          </w:tcPr>
          <w:p w14:paraId="4C654220" w14:textId="5C9F7281"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14 331 755</w:t>
            </w:r>
          </w:p>
        </w:tc>
        <w:tc>
          <w:tcPr>
            <w:tcW w:w="992" w:type="dxa"/>
            <w:tcBorders>
              <w:top w:val="nil"/>
              <w:left w:val="nil"/>
              <w:bottom w:val="single" w:sz="8" w:space="0" w:color="DCE6F1"/>
              <w:right w:val="nil"/>
            </w:tcBorders>
            <w:shd w:val="clear" w:color="auto" w:fill="auto"/>
            <w:noWrap/>
            <w:vAlign w:val="center"/>
            <w:hideMark/>
          </w:tcPr>
          <w:p w14:paraId="63A6A5AE" w14:textId="3C125709"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15 815 017</w:t>
            </w:r>
          </w:p>
        </w:tc>
        <w:tc>
          <w:tcPr>
            <w:tcW w:w="992" w:type="dxa"/>
            <w:tcBorders>
              <w:top w:val="nil"/>
              <w:left w:val="nil"/>
              <w:bottom w:val="single" w:sz="8" w:space="0" w:color="DCE6F1"/>
              <w:right w:val="nil"/>
            </w:tcBorders>
            <w:shd w:val="clear" w:color="auto" w:fill="auto"/>
            <w:noWrap/>
            <w:vAlign w:val="center"/>
            <w:hideMark/>
          </w:tcPr>
          <w:p w14:paraId="0B2EFF2C" w14:textId="286CD9D8"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13 358 376</w:t>
            </w:r>
          </w:p>
        </w:tc>
        <w:tc>
          <w:tcPr>
            <w:tcW w:w="992" w:type="dxa"/>
            <w:tcBorders>
              <w:top w:val="single" w:sz="8" w:space="0" w:color="DCE6F1"/>
              <w:left w:val="nil"/>
              <w:bottom w:val="single" w:sz="8" w:space="0" w:color="DCE6F1"/>
              <w:right w:val="nil"/>
            </w:tcBorders>
            <w:shd w:val="clear" w:color="auto" w:fill="auto"/>
            <w:noWrap/>
            <w:vAlign w:val="center"/>
            <w:hideMark/>
          </w:tcPr>
          <w:p w14:paraId="24FFF13C" w14:textId="31702226"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5 256 302</w:t>
            </w:r>
          </w:p>
        </w:tc>
        <w:tc>
          <w:tcPr>
            <w:tcW w:w="993" w:type="dxa"/>
            <w:tcBorders>
              <w:top w:val="single" w:sz="8" w:space="0" w:color="DCE6F1"/>
              <w:left w:val="nil"/>
              <w:bottom w:val="single" w:sz="8" w:space="0" w:color="DCE6F1"/>
              <w:right w:val="nil"/>
            </w:tcBorders>
            <w:shd w:val="clear" w:color="000000" w:fill="D9D9D9"/>
            <w:noWrap/>
            <w:vAlign w:val="center"/>
            <w:hideMark/>
          </w:tcPr>
          <w:p w14:paraId="09D651C2" w14:textId="0FB4E707"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34 397 496</w:t>
            </w:r>
          </w:p>
        </w:tc>
        <w:tc>
          <w:tcPr>
            <w:tcW w:w="992" w:type="dxa"/>
            <w:tcBorders>
              <w:top w:val="single" w:sz="8" w:space="0" w:color="DCE6F1"/>
              <w:left w:val="nil"/>
              <w:bottom w:val="single" w:sz="8" w:space="0" w:color="DCE6F1"/>
              <w:right w:val="nil"/>
            </w:tcBorders>
            <w:shd w:val="clear" w:color="000000" w:fill="EBF1DE"/>
            <w:noWrap/>
            <w:vAlign w:val="center"/>
            <w:hideMark/>
          </w:tcPr>
          <w:p w14:paraId="7E0B3379" w14:textId="397C29D2" w:rsidR="000F057C" w:rsidRPr="003764A8"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b/>
                <w:bCs/>
                <w:color w:val="000000"/>
                <w:sz w:val="16"/>
                <w:szCs w:val="16"/>
              </w:rPr>
              <w:t>21 039 120</w:t>
            </w:r>
          </w:p>
        </w:tc>
        <w:tc>
          <w:tcPr>
            <w:tcW w:w="850" w:type="dxa"/>
            <w:tcBorders>
              <w:top w:val="single" w:sz="8" w:space="0" w:color="DCE6F1"/>
              <w:left w:val="nil"/>
              <w:bottom w:val="single" w:sz="8" w:space="0" w:color="DCE6F1"/>
              <w:right w:val="nil"/>
            </w:tcBorders>
            <w:shd w:val="clear" w:color="000000" w:fill="EBF1DE"/>
            <w:noWrap/>
            <w:vAlign w:val="center"/>
            <w:hideMark/>
          </w:tcPr>
          <w:p w14:paraId="0EC2AB69" w14:textId="71582753" w:rsidR="000F057C" w:rsidRPr="003764A8" w:rsidRDefault="000F057C" w:rsidP="000F057C">
            <w:pPr>
              <w:spacing w:after="0" w:line="240" w:lineRule="auto"/>
              <w:jc w:val="center"/>
              <w:rPr>
                <w:rFonts w:ascii="Calibri" w:eastAsia="Times New Roman" w:hAnsi="Calibri" w:cs="Calibri"/>
                <w:color w:val="000000"/>
                <w:sz w:val="16"/>
                <w:szCs w:val="16"/>
                <w:lang w:eastAsia="sk-SK"/>
              </w:rPr>
            </w:pPr>
            <w:r>
              <w:rPr>
                <w:rFonts w:ascii="Calibri" w:hAnsi="Calibri" w:cs="Calibri"/>
                <w:b/>
                <w:bCs/>
                <w:color w:val="000000"/>
                <w:sz w:val="16"/>
                <w:szCs w:val="16"/>
              </w:rPr>
              <w:t>157,50%</w:t>
            </w:r>
          </w:p>
        </w:tc>
        <w:tc>
          <w:tcPr>
            <w:tcW w:w="993" w:type="dxa"/>
            <w:tcBorders>
              <w:top w:val="single" w:sz="8" w:space="0" w:color="DCE6F1"/>
              <w:left w:val="nil"/>
              <w:bottom w:val="single" w:sz="8" w:space="0" w:color="DCE6F1"/>
              <w:right w:val="nil"/>
            </w:tcBorders>
            <w:shd w:val="clear" w:color="auto" w:fill="auto"/>
            <w:noWrap/>
            <w:vAlign w:val="center"/>
            <w:hideMark/>
          </w:tcPr>
          <w:p w14:paraId="5D3697C3" w14:textId="60065B49"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62 259 529</w:t>
            </w:r>
          </w:p>
        </w:tc>
        <w:tc>
          <w:tcPr>
            <w:tcW w:w="968" w:type="dxa"/>
            <w:tcBorders>
              <w:top w:val="single" w:sz="8" w:space="0" w:color="DCE6F1"/>
              <w:left w:val="nil"/>
              <w:bottom w:val="single" w:sz="8" w:space="0" w:color="DCE6F1"/>
              <w:right w:val="nil"/>
            </w:tcBorders>
            <w:shd w:val="clear" w:color="auto" w:fill="auto"/>
            <w:noWrap/>
            <w:vAlign w:val="center"/>
            <w:hideMark/>
          </w:tcPr>
          <w:p w14:paraId="1268EBA9" w14:textId="7A681C3B"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62 845 627</w:t>
            </w:r>
          </w:p>
        </w:tc>
      </w:tr>
      <w:tr w:rsidR="000F057C" w:rsidRPr="00307A0A" w14:paraId="76341A8B"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5B157571" w14:textId="77777777" w:rsidR="000F057C" w:rsidRPr="00307A0A" w:rsidRDefault="000F057C" w:rsidP="000F057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3: Interné služby</w:t>
            </w:r>
          </w:p>
        </w:tc>
        <w:tc>
          <w:tcPr>
            <w:tcW w:w="993" w:type="dxa"/>
            <w:tcBorders>
              <w:top w:val="nil"/>
              <w:left w:val="nil"/>
              <w:bottom w:val="single" w:sz="8" w:space="0" w:color="DCE6F1"/>
              <w:right w:val="nil"/>
            </w:tcBorders>
            <w:shd w:val="clear" w:color="auto" w:fill="auto"/>
            <w:noWrap/>
            <w:vAlign w:val="center"/>
            <w:hideMark/>
          </w:tcPr>
          <w:p w14:paraId="61475A86" w14:textId="0BE9DBA8"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18 751 634</w:t>
            </w:r>
          </w:p>
        </w:tc>
        <w:tc>
          <w:tcPr>
            <w:tcW w:w="992" w:type="dxa"/>
            <w:tcBorders>
              <w:top w:val="nil"/>
              <w:left w:val="nil"/>
              <w:bottom w:val="single" w:sz="8" w:space="0" w:color="DCE6F1"/>
              <w:right w:val="nil"/>
            </w:tcBorders>
            <w:shd w:val="clear" w:color="auto" w:fill="auto"/>
            <w:noWrap/>
            <w:vAlign w:val="center"/>
            <w:hideMark/>
          </w:tcPr>
          <w:p w14:paraId="0968A4CB" w14:textId="7CD646C0"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15 550 125</w:t>
            </w:r>
          </w:p>
        </w:tc>
        <w:tc>
          <w:tcPr>
            <w:tcW w:w="992" w:type="dxa"/>
            <w:tcBorders>
              <w:top w:val="nil"/>
              <w:left w:val="nil"/>
              <w:bottom w:val="single" w:sz="8" w:space="0" w:color="DCE6F1"/>
              <w:right w:val="nil"/>
            </w:tcBorders>
            <w:shd w:val="clear" w:color="auto" w:fill="auto"/>
            <w:noWrap/>
            <w:vAlign w:val="center"/>
            <w:hideMark/>
          </w:tcPr>
          <w:p w14:paraId="0E86B89F" w14:textId="1AB25E65"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16 629 212</w:t>
            </w:r>
          </w:p>
        </w:tc>
        <w:tc>
          <w:tcPr>
            <w:tcW w:w="992" w:type="dxa"/>
            <w:tcBorders>
              <w:top w:val="nil"/>
              <w:left w:val="nil"/>
              <w:bottom w:val="single" w:sz="8" w:space="0" w:color="DCE6F1"/>
              <w:right w:val="nil"/>
            </w:tcBorders>
            <w:shd w:val="clear" w:color="auto" w:fill="auto"/>
            <w:noWrap/>
            <w:vAlign w:val="center"/>
            <w:hideMark/>
          </w:tcPr>
          <w:p w14:paraId="61655A11" w14:textId="6042CE50"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11 699 361</w:t>
            </w:r>
          </w:p>
        </w:tc>
        <w:tc>
          <w:tcPr>
            <w:tcW w:w="993" w:type="dxa"/>
            <w:tcBorders>
              <w:top w:val="nil"/>
              <w:left w:val="nil"/>
              <w:bottom w:val="single" w:sz="8" w:space="0" w:color="DCE6F1"/>
              <w:right w:val="nil"/>
            </w:tcBorders>
            <w:shd w:val="clear" w:color="000000" w:fill="D9D9D9"/>
            <w:noWrap/>
            <w:vAlign w:val="center"/>
            <w:hideMark/>
          </w:tcPr>
          <w:p w14:paraId="083D21C2" w14:textId="614DF99A"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12 855 000</w:t>
            </w:r>
          </w:p>
        </w:tc>
        <w:tc>
          <w:tcPr>
            <w:tcW w:w="992" w:type="dxa"/>
            <w:tcBorders>
              <w:top w:val="nil"/>
              <w:left w:val="nil"/>
              <w:bottom w:val="single" w:sz="8" w:space="0" w:color="DCE6F1"/>
              <w:right w:val="nil"/>
            </w:tcBorders>
            <w:shd w:val="clear" w:color="000000" w:fill="EBF1DE"/>
            <w:noWrap/>
            <w:vAlign w:val="center"/>
            <w:hideMark/>
          </w:tcPr>
          <w:p w14:paraId="2C44D250" w14:textId="0F6171EC" w:rsidR="000F057C" w:rsidRPr="003764A8"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b/>
                <w:bCs/>
                <w:color w:val="000000"/>
                <w:sz w:val="16"/>
                <w:szCs w:val="16"/>
              </w:rPr>
              <w:t>-3 774 212</w:t>
            </w:r>
          </w:p>
        </w:tc>
        <w:tc>
          <w:tcPr>
            <w:tcW w:w="850" w:type="dxa"/>
            <w:tcBorders>
              <w:top w:val="nil"/>
              <w:left w:val="nil"/>
              <w:bottom w:val="single" w:sz="8" w:space="0" w:color="DCE6F1"/>
              <w:right w:val="nil"/>
            </w:tcBorders>
            <w:shd w:val="clear" w:color="000000" w:fill="EBF1DE"/>
            <w:noWrap/>
            <w:vAlign w:val="center"/>
            <w:hideMark/>
          </w:tcPr>
          <w:p w14:paraId="674521CC" w14:textId="7005BA8A" w:rsidR="000F057C" w:rsidRPr="003764A8" w:rsidRDefault="000F057C" w:rsidP="000F057C">
            <w:pPr>
              <w:spacing w:after="0" w:line="240" w:lineRule="auto"/>
              <w:jc w:val="center"/>
              <w:rPr>
                <w:rFonts w:ascii="Calibri" w:eastAsia="Times New Roman" w:hAnsi="Calibri" w:cs="Calibri"/>
                <w:color w:val="000000"/>
                <w:sz w:val="16"/>
                <w:szCs w:val="16"/>
                <w:lang w:eastAsia="sk-SK"/>
              </w:rPr>
            </w:pPr>
            <w:r>
              <w:rPr>
                <w:rFonts w:ascii="Calibri" w:hAnsi="Calibri" w:cs="Calibri"/>
                <w:b/>
                <w:bCs/>
                <w:color w:val="000000"/>
                <w:sz w:val="16"/>
                <w:szCs w:val="16"/>
              </w:rPr>
              <w:t>-22,70%</w:t>
            </w:r>
          </w:p>
        </w:tc>
        <w:tc>
          <w:tcPr>
            <w:tcW w:w="993" w:type="dxa"/>
            <w:tcBorders>
              <w:top w:val="nil"/>
              <w:left w:val="nil"/>
              <w:bottom w:val="single" w:sz="8" w:space="0" w:color="DCE6F1"/>
              <w:right w:val="nil"/>
            </w:tcBorders>
            <w:shd w:val="clear" w:color="auto" w:fill="auto"/>
            <w:noWrap/>
            <w:vAlign w:val="center"/>
            <w:hideMark/>
          </w:tcPr>
          <w:p w14:paraId="622E8E09" w14:textId="6BB1EDCE"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14 275 000</w:t>
            </w:r>
          </w:p>
        </w:tc>
        <w:tc>
          <w:tcPr>
            <w:tcW w:w="968" w:type="dxa"/>
            <w:tcBorders>
              <w:top w:val="nil"/>
              <w:left w:val="nil"/>
              <w:bottom w:val="single" w:sz="8" w:space="0" w:color="DCE6F1"/>
              <w:right w:val="nil"/>
            </w:tcBorders>
            <w:shd w:val="clear" w:color="auto" w:fill="auto"/>
            <w:noWrap/>
            <w:vAlign w:val="center"/>
            <w:hideMark/>
          </w:tcPr>
          <w:p w14:paraId="2F0BE3EF" w14:textId="39E43378"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22 375 000</w:t>
            </w:r>
          </w:p>
        </w:tc>
      </w:tr>
      <w:tr w:rsidR="000F057C" w:rsidRPr="00307A0A" w14:paraId="033F8E43"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47EB34B7" w14:textId="77777777" w:rsidR="000F057C" w:rsidRPr="00307A0A" w:rsidRDefault="000F057C" w:rsidP="000F057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 xml:space="preserve">Program 5: Starostlivosť o krajinu, </w:t>
            </w:r>
            <w:proofErr w:type="spellStart"/>
            <w:r w:rsidRPr="00307A0A">
              <w:rPr>
                <w:rFonts w:ascii="Calibri" w:eastAsia="Times New Roman" w:hAnsi="Calibri" w:cs="Calibri"/>
                <w:color w:val="000000"/>
                <w:sz w:val="16"/>
                <w:szCs w:val="16"/>
                <w:lang w:eastAsia="sk-SK"/>
              </w:rPr>
              <w:t>prír</w:t>
            </w:r>
            <w:proofErr w:type="spellEnd"/>
            <w:r w:rsidRPr="00307A0A">
              <w:rPr>
                <w:rFonts w:ascii="Calibri" w:eastAsia="Times New Roman" w:hAnsi="Calibri" w:cs="Calibri"/>
                <w:color w:val="000000"/>
                <w:sz w:val="16"/>
                <w:szCs w:val="16"/>
                <w:lang w:eastAsia="sk-SK"/>
              </w:rPr>
              <w:t>. zdroje, územné plánovanie a prevenciu obyvateľstva</w:t>
            </w:r>
          </w:p>
        </w:tc>
        <w:tc>
          <w:tcPr>
            <w:tcW w:w="993" w:type="dxa"/>
            <w:tcBorders>
              <w:top w:val="nil"/>
              <w:left w:val="nil"/>
              <w:bottom w:val="single" w:sz="8" w:space="0" w:color="DCE6F1"/>
              <w:right w:val="nil"/>
            </w:tcBorders>
            <w:shd w:val="clear" w:color="auto" w:fill="auto"/>
            <w:noWrap/>
            <w:vAlign w:val="center"/>
            <w:hideMark/>
          </w:tcPr>
          <w:p w14:paraId="255231D0" w14:textId="0129DDE0"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97 906</w:t>
            </w:r>
          </w:p>
        </w:tc>
        <w:tc>
          <w:tcPr>
            <w:tcW w:w="992" w:type="dxa"/>
            <w:tcBorders>
              <w:top w:val="nil"/>
              <w:left w:val="nil"/>
              <w:bottom w:val="single" w:sz="8" w:space="0" w:color="DCE6F1"/>
              <w:right w:val="nil"/>
            </w:tcBorders>
            <w:shd w:val="clear" w:color="auto" w:fill="auto"/>
            <w:noWrap/>
            <w:vAlign w:val="center"/>
            <w:hideMark/>
          </w:tcPr>
          <w:p w14:paraId="5D4DD087" w14:textId="0CF979EE"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46 752</w:t>
            </w:r>
          </w:p>
        </w:tc>
        <w:tc>
          <w:tcPr>
            <w:tcW w:w="992" w:type="dxa"/>
            <w:tcBorders>
              <w:top w:val="nil"/>
              <w:left w:val="nil"/>
              <w:bottom w:val="single" w:sz="8" w:space="0" w:color="DCE6F1"/>
              <w:right w:val="nil"/>
            </w:tcBorders>
            <w:shd w:val="clear" w:color="auto" w:fill="auto"/>
            <w:noWrap/>
            <w:vAlign w:val="center"/>
            <w:hideMark/>
          </w:tcPr>
          <w:p w14:paraId="0D45AE54" w14:textId="4F5DEC01"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57 000</w:t>
            </w:r>
          </w:p>
        </w:tc>
        <w:tc>
          <w:tcPr>
            <w:tcW w:w="992" w:type="dxa"/>
            <w:tcBorders>
              <w:top w:val="nil"/>
              <w:left w:val="nil"/>
              <w:bottom w:val="single" w:sz="8" w:space="0" w:color="DCE6F1"/>
              <w:right w:val="nil"/>
            </w:tcBorders>
            <w:shd w:val="clear" w:color="auto" w:fill="auto"/>
            <w:noWrap/>
            <w:vAlign w:val="center"/>
            <w:hideMark/>
          </w:tcPr>
          <w:p w14:paraId="453D737A" w14:textId="1A79F509"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45 000</w:t>
            </w:r>
          </w:p>
        </w:tc>
        <w:tc>
          <w:tcPr>
            <w:tcW w:w="993" w:type="dxa"/>
            <w:tcBorders>
              <w:top w:val="nil"/>
              <w:left w:val="nil"/>
              <w:bottom w:val="single" w:sz="8" w:space="0" w:color="DCE6F1"/>
              <w:right w:val="nil"/>
            </w:tcBorders>
            <w:shd w:val="clear" w:color="000000" w:fill="D9D9D9"/>
            <w:noWrap/>
            <w:vAlign w:val="center"/>
            <w:hideMark/>
          </w:tcPr>
          <w:p w14:paraId="6183FA8A" w14:textId="6726C129"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0</w:t>
            </w:r>
          </w:p>
        </w:tc>
        <w:tc>
          <w:tcPr>
            <w:tcW w:w="992" w:type="dxa"/>
            <w:tcBorders>
              <w:top w:val="nil"/>
              <w:left w:val="nil"/>
              <w:bottom w:val="single" w:sz="8" w:space="0" w:color="DCE6F1"/>
              <w:right w:val="nil"/>
            </w:tcBorders>
            <w:shd w:val="clear" w:color="000000" w:fill="EBF1DE"/>
            <w:noWrap/>
            <w:vAlign w:val="center"/>
            <w:hideMark/>
          </w:tcPr>
          <w:p w14:paraId="1F2F7D91" w14:textId="6153ABEB" w:rsidR="000F057C" w:rsidRPr="003764A8"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b/>
                <w:bCs/>
                <w:color w:val="000000"/>
                <w:sz w:val="16"/>
                <w:szCs w:val="16"/>
              </w:rPr>
              <w:t>-57 000</w:t>
            </w:r>
          </w:p>
        </w:tc>
        <w:tc>
          <w:tcPr>
            <w:tcW w:w="850" w:type="dxa"/>
            <w:tcBorders>
              <w:top w:val="nil"/>
              <w:left w:val="nil"/>
              <w:bottom w:val="single" w:sz="8" w:space="0" w:color="DCE6F1"/>
              <w:right w:val="nil"/>
            </w:tcBorders>
            <w:shd w:val="clear" w:color="000000" w:fill="EBF1DE"/>
            <w:noWrap/>
            <w:vAlign w:val="center"/>
            <w:hideMark/>
          </w:tcPr>
          <w:p w14:paraId="7BF0D9B2" w14:textId="62BF3C43" w:rsidR="000F057C" w:rsidRPr="003764A8" w:rsidRDefault="000F057C" w:rsidP="000F057C">
            <w:pPr>
              <w:spacing w:after="0" w:line="240" w:lineRule="auto"/>
              <w:jc w:val="center"/>
              <w:rPr>
                <w:rFonts w:ascii="Calibri" w:eastAsia="Times New Roman" w:hAnsi="Calibri" w:cs="Calibri"/>
                <w:color w:val="000000"/>
                <w:sz w:val="16"/>
                <w:szCs w:val="16"/>
                <w:lang w:eastAsia="sk-SK"/>
              </w:rPr>
            </w:pPr>
            <w:r>
              <w:rPr>
                <w:rFonts w:ascii="Calibri" w:hAnsi="Calibri" w:cs="Calibri"/>
                <w:b/>
                <w:bCs/>
                <w:color w:val="000000"/>
                <w:sz w:val="16"/>
                <w:szCs w:val="16"/>
              </w:rPr>
              <w:t>-100,00%</w:t>
            </w:r>
          </w:p>
        </w:tc>
        <w:tc>
          <w:tcPr>
            <w:tcW w:w="993" w:type="dxa"/>
            <w:tcBorders>
              <w:top w:val="nil"/>
              <w:left w:val="nil"/>
              <w:bottom w:val="single" w:sz="8" w:space="0" w:color="DCE6F1"/>
              <w:right w:val="nil"/>
            </w:tcBorders>
            <w:shd w:val="clear" w:color="auto" w:fill="auto"/>
            <w:noWrap/>
            <w:vAlign w:val="center"/>
            <w:hideMark/>
          </w:tcPr>
          <w:p w14:paraId="61DC8071" w14:textId="5401CCEE"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0</w:t>
            </w:r>
          </w:p>
        </w:tc>
        <w:tc>
          <w:tcPr>
            <w:tcW w:w="968" w:type="dxa"/>
            <w:tcBorders>
              <w:top w:val="nil"/>
              <w:left w:val="nil"/>
              <w:bottom w:val="single" w:sz="8" w:space="0" w:color="DCE6F1"/>
              <w:right w:val="nil"/>
            </w:tcBorders>
            <w:shd w:val="clear" w:color="auto" w:fill="auto"/>
            <w:noWrap/>
            <w:vAlign w:val="center"/>
            <w:hideMark/>
          </w:tcPr>
          <w:p w14:paraId="633855C7" w14:textId="2EB9C019"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0</w:t>
            </w:r>
          </w:p>
        </w:tc>
      </w:tr>
      <w:tr w:rsidR="000F057C" w:rsidRPr="00307A0A" w14:paraId="0C58B6F6"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38414116" w14:textId="77777777" w:rsidR="000F057C" w:rsidRPr="00307A0A" w:rsidRDefault="000F057C" w:rsidP="000F057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6: Komunikácie</w:t>
            </w:r>
          </w:p>
        </w:tc>
        <w:tc>
          <w:tcPr>
            <w:tcW w:w="993" w:type="dxa"/>
            <w:tcBorders>
              <w:top w:val="nil"/>
              <w:left w:val="nil"/>
              <w:bottom w:val="single" w:sz="8" w:space="0" w:color="DCE6F1"/>
              <w:right w:val="nil"/>
            </w:tcBorders>
            <w:shd w:val="clear" w:color="auto" w:fill="auto"/>
            <w:noWrap/>
            <w:vAlign w:val="center"/>
            <w:hideMark/>
          </w:tcPr>
          <w:p w14:paraId="3A6AAAEF" w14:textId="79FD404A"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14 789 129</w:t>
            </w:r>
          </w:p>
        </w:tc>
        <w:tc>
          <w:tcPr>
            <w:tcW w:w="992" w:type="dxa"/>
            <w:tcBorders>
              <w:top w:val="nil"/>
              <w:left w:val="nil"/>
              <w:bottom w:val="single" w:sz="8" w:space="0" w:color="DCE6F1"/>
              <w:right w:val="nil"/>
            </w:tcBorders>
            <w:shd w:val="clear" w:color="auto" w:fill="auto"/>
            <w:noWrap/>
            <w:vAlign w:val="center"/>
            <w:hideMark/>
          </w:tcPr>
          <w:p w14:paraId="292C574F" w14:textId="06C7935E"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19 050 722</w:t>
            </w:r>
          </w:p>
        </w:tc>
        <w:tc>
          <w:tcPr>
            <w:tcW w:w="992" w:type="dxa"/>
            <w:tcBorders>
              <w:top w:val="nil"/>
              <w:left w:val="nil"/>
              <w:bottom w:val="single" w:sz="8" w:space="0" w:color="DCE6F1"/>
              <w:right w:val="nil"/>
            </w:tcBorders>
            <w:shd w:val="clear" w:color="auto" w:fill="auto"/>
            <w:noWrap/>
            <w:vAlign w:val="center"/>
            <w:hideMark/>
          </w:tcPr>
          <w:p w14:paraId="251E4C4A" w14:textId="428AF758"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39 800 000</w:t>
            </w:r>
          </w:p>
        </w:tc>
        <w:tc>
          <w:tcPr>
            <w:tcW w:w="992" w:type="dxa"/>
            <w:tcBorders>
              <w:top w:val="nil"/>
              <w:left w:val="nil"/>
              <w:bottom w:val="single" w:sz="8" w:space="0" w:color="DCE6F1"/>
              <w:right w:val="nil"/>
            </w:tcBorders>
            <w:shd w:val="clear" w:color="auto" w:fill="auto"/>
            <w:noWrap/>
            <w:vAlign w:val="center"/>
            <w:hideMark/>
          </w:tcPr>
          <w:p w14:paraId="16617D84" w14:textId="70AD7389"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20 646 698</w:t>
            </w:r>
          </w:p>
        </w:tc>
        <w:tc>
          <w:tcPr>
            <w:tcW w:w="993" w:type="dxa"/>
            <w:tcBorders>
              <w:top w:val="nil"/>
              <w:left w:val="nil"/>
              <w:bottom w:val="single" w:sz="8" w:space="0" w:color="DCE6F1"/>
              <w:right w:val="nil"/>
            </w:tcBorders>
            <w:shd w:val="clear" w:color="000000" w:fill="D9D9D9"/>
            <w:noWrap/>
            <w:vAlign w:val="center"/>
            <w:hideMark/>
          </w:tcPr>
          <w:p w14:paraId="3518E122" w14:textId="565227FD"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26 283 302</w:t>
            </w:r>
          </w:p>
        </w:tc>
        <w:tc>
          <w:tcPr>
            <w:tcW w:w="992" w:type="dxa"/>
            <w:tcBorders>
              <w:top w:val="nil"/>
              <w:left w:val="nil"/>
              <w:bottom w:val="single" w:sz="8" w:space="0" w:color="DCE6F1"/>
              <w:right w:val="nil"/>
            </w:tcBorders>
            <w:shd w:val="clear" w:color="000000" w:fill="EBF1DE"/>
            <w:noWrap/>
            <w:vAlign w:val="center"/>
            <w:hideMark/>
          </w:tcPr>
          <w:p w14:paraId="1681A753" w14:textId="101F3C27" w:rsidR="000F057C" w:rsidRPr="003764A8"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b/>
                <w:bCs/>
                <w:color w:val="000000"/>
                <w:sz w:val="16"/>
                <w:szCs w:val="16"/>
              </w:rPr>
              <w:t>-13 516 698</w:t>
            </w:r>
          </w:p>
        </w:tc>
        <w:tc>
          <w:tcPr>
            <w:tcW w:w="850" w:type="dxa"/>
            <w:tcBorders>
              <w:top w:val="nil"/>
              <w:left w:val="nil"/>
              <w:bottom w:val="single" w:sz="8" w:space="0" w:color="DCE6F1"/>
              <w:right w:val="nil"/>
            </w:tcBorders>
            <w:shd w:val="clear" w:color="000000" w:fill="EBF1DE"/>
            <w:noWrap/>
            <w:vAlign w:val="center"/>
            <w:hideMark/>
          </w:tcPr>
          <w:p w14:paraId="06FCEA0E" w14:textId="2DAF429B" w:rsidR="000F057C" w:rsidRPr="003764A8" w:rsidRDefault="000F057C" w:rsidP="000F057C">
            <w:pPr>
              <w:spacing w:after="0" w:line="240" w:lineRule="auto"/>
              <w:jc w:val="center"/>
              <w:rPr>
                <w:rFonts w:ascii="Calibri" w:eastAsia="Times New Roman" w:hAnsi="Calibri" w:cs="Calibri"/>
                <w:color w:val="000000"/>
                <w:sz w:val="16"/>
                <w:szCs w:val="16"/>
                <w:lang w:eastAsia="sk-SK"/>
              </w:rPr>
            </w:pPr>
            <w:r>
              <w:rPr>
                <w:rFonts w:ascii="Calibri" w:hAnsi="Calibri" w:cs="Calibri"/>
                <w:b/>
                <w:bCs/>
                <w:color w:val="000000"/>
                <w:sz w:val="16"/>
                <w:szCs w:val="16"/>
              </w:rPr>
              <w:t>-33,96%</w:t>
            </w:r>
          </w:p>
        </w:tc>
        <w:tc>
          <w:tcPr>
            <w:tcW w:w="993" w:type="dxa"/>
            <w:tcBorders>
              <w:top w:val="nil"/>
              <w:left w:val="nil"/>
              <w:bottom w:val="single" w:sz="8" w:space="0" w:color="DCE6F1"/>
              <w:right w:val="nil"/>
            </w:tcBorders>
            <w:shd w:val="clear" w:color="auto" w:fill="auto"/>
            <w:noWrap/>
            <w:vAlign w:val="center"/>
            <w:hideMark/>
          </w:tcPr>
          <w:p w14:paraId="2FABD8D4" w14:textId="2CE45235"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10 000 000</w:t>
            </w:r>
          </w:p>
        </w:tc>
        <w:tc>
          <w:tcPr>
            <w:tcW w:w="968" w:type="dxa"/>
            <w:tcBorders>
              <w:top w:val="nil"/>
              <w:left w:val="nil"/>
              <w:bottom w:val="single" w:sz="8" w:space="0" w:color="DCE6F1"/>
              <w:right w:val="nil"/>
            </w:tcBorders>
            <w:shd w:val="clear" w:color="auto" w:fill="auto"/>
            <w:noWrap/>
            <w:vAlign w:val="center"/>
            <w:hideMark/>
          </w:tcPr>
          <w:p w14:paraId="6EAA0A44" w14:textId="04AE557B"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11 000 000</w:t>
            </w:r>
          </w:p>
        </w:tc>
      </w:tr>
      <w:tr w:rsidR="000F057C" w:rsidRPr="00307A0A" w14:paraId="67ABFD8D"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426FB057" w14:textId="77777777" w:rsidR="000F057C" w:rsidRPr="00307A0A" w:rsidRDefault="000F057C" w:rsidP="000F057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8: Vzdelávanie</w:t>
            </w:r>
          </w:p>
        </w:tc>
        <w:tc>
          <w:tcPr>
            <w:tcW w:w="993" w:type="dxa"/>
            <w:tcBorders>
              <w:top w:val="nil"/>
              <w:left w:val="nil"/>
              <w:bottom w:val="single" w:sz="8" w:space="0" w:color="DCE6F1"/>
              <w:right w:val="nil"/>
            </w:tcBorders>
            <w:shd w:val="clear" w:color="auto" w:fill="auto"/>
            <w:noWrap/>
            <w:vAlign w:val="center"/>
            <w:hideMark/>
          </w:tcPr>
          <w:p w14:paraId="51CCE38E" w14:textId="632C7540"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196 610</w:t>
            </w:r>
          </w:p>
        </w:tc>
        <w:tc>
          <w:tcPr>
            <w:tcW w:w="992" w:type="dxa"/>
            <w:tcBorders>
              <w:top w:val="nil"/>
              <w:left w:val="nil"/>
              <w:bottom w:val="single" w:sz="8" w:space="0" w:color="DCE6F1"/>
              <w:right w:val="nil"/>
            </w:tcBorders>
            <w:shd w:val="clear" w:color="auto" w:fill="auto"/>
            <w:noWrap/>
            <w:vAlign w:val="center"/>
            <w:hideMark/>
          </w:tcPr>
          <w:p w14:paraId="3C429248" w14:textId="46D53985"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610 118</w:t>
            </w:r>
          </w:p>
        </w:tc>
        <w:tc>
          <w:tcPr>
            <w:tcW w:w="992" w:type="dxa"/>
            <w:tcBorders>
              <w:top w:val="nil"/>
              <w:left w:val="nil"/>
              <w:bottom w:val="single" w:sz="8" w:space="0" w:color="DCE6F1"/>
              <w:right w:val="nil"/>
            </w:tcBorders>
            <w:shd w:val="clear" w:color="auto" w:fill="auto"/>
            <w:noWrap/>
            <w:vAlign w:val="center"/>
            <w:hideMark/>
          </w:tcPr>
          <w:p w14:paraId="60F2A9DF" w14:textId="6552205F"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0</w:t>
            </w:r>
          </w:p>
        </w:tc>
        <w:tc>
          <w:tcPr>
            <w:tcW w:w="992" w:type="dxa"/>
            <w:tcBorders>
              <w:top w:val="nil"/>
              <w:left w:val="nil"/>
              <w:bottom w:val="single" w:sz="8" w:space="0" w:color="DCE6F1"/>
              <w:right w:val="nil"/>
            </w:tcBorders>
            <w:shd w:val="clear" w:color="auto" w:fill="auto"/>
            <w:noWrap/>
            <w:vAlign w:val="center"/>
            <w:hideMark/>
          </w:tcPr>
          <w:p w14:paraId="586BC86C" w14:textId="0A6CD40F"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478 299</w:t>
            </w:r>
          </w:p>
        </w:tc>
        <w:tc>
          <w:tcPr>
            <w:tcW w:w="993" w:type="dxa"/>
            <w:tcBorders>
              <w:top w:val="nil"/>
              <w:left w:val="nil"/>
              <w:bottom w:val="single" w:sz="8" w:space="0" w:color="DCE6F1"/>
              <w:right w:val="nil"/>
            </w:tcBorders>
            <w:shd w:val="clear" w:color="000000" w:fill="D9D9D9"/>
            <w:noWrap/>
            <w:vAlign w:val="center"/>
            <w:hideMark/>
          </w:tcPr>
          <w:p w14:paraId="39F4AD1A" w14:textId="5083901C"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0</w:t>
            </w:r>
          </w:p>
        </w:tc>
        <w:tc>
          <w:tcPr>
            <w:tcW w:w="992" w:type="dxa"/>
            <w:tcBorders>
              <w:top w:val="nil"/>
              <w:left w:val="nil"/>
              <w:bottom w:val="single" w:sz="8" w:space="0" w:color="DCE6F1"/>
              <w:right w:val="nil"/>
            </w:tcBorders>
            <w:shd w:val="clear" w:color="000000" w:fill="EBF1DE"/>
            <w:noWrap/>
            <w:vAlign w:val="center"/>
            <w:hideMark/>
          </w:tcPr>
          <w:p w14:paraId="7AA19E6D" w14:textId="3F695EDC" w:rsidR="000F057C" w:rsidRPr="003764A8"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b/>
                <w:bCs/>
                <w:color w:val="000000"/>
                <w:sz w:val="16"/>
                <w:szCs w:val="16"/>
              </w:rPr>
              <w:t>0</w:t>
            </w:r>
          </w:p>
        </w:tc>
        <w:tc>
          <w:tcPr>
            <w:tcW w:w="850" w:type="dxa"/>
            <w:tcBorders>
              <w:top w:val="nil"/>
              <w:left w:val="nil"/>
              <w:bottom w:val="single" w:sz="8" w:space="0" w:color="DCE6F1"/>
              <w:right w:val="nil"/>
            </w:tcBorders>
            <w:shd w:val="clear" w:color="000000" w:fill="EBF1DE"/>
            <w:noWrap/>
            <w:vAlign w:val="center"/>
            <w:hideMark/>
          </w:tcPr>
          <w:p w14:paraId="2547AF97" w14:textId="7C38398E" w:rsidR="000F057C" w:rsidRPr="003764A8" w:rsidRDefault="000F057C" w:rsidP="000F057C">
            <w:pPr>
              <w:spacing w:after="0" w:line="240" w:lineRule="auto"/>
              <w:jc w:val="center"/>
              <w:rPr>
                <w:rFonts w:ascii="Calibri" w:eastAsia="Times New Roman" w:hAnsi="Calibri" w:cs="Calibri"/>
                <w:color w:val="000000"/>
                <w:sz w:val="16"/>
                <w:szCs w:val="16"/>
                <w:lang w:eastAsia="sk-SK"/>
              </w:rPr>
            </w:pPr>
            <w:r>
              <w:rPr>
                <w:rFonts w:ascii="Calibri" w:hAnsi="Calibri" w:cs="Calibri"/>
                <w:b/>
                <w:bCs/>
                <w:color w:val="000000"/>
                <w:sz w:val="16"/>
                <w:szCs w:val="16"/>
              </w:rPr>
              <w:t>0,00%</w:t>
            </w:r>
          </w:p>
        </w:tc>
        <w:tc>
          <w:tcPr>
            <w:tcW w:w="993" w:type="dxa"/>
            <w:tcBorders>
              <w:top w:val="nil"/>
              <w:left w:val="nil"/>
              <w:bottom w:val="single" w:sz="8" w:space="0" w:color="DCE6F1"/>
              <w:right w:val="nil"/>
            </w:tcBorders>
            <w:shd w:val="clear" w:color="auto" w:fill="auto"/>
            <w:noWrap/>
            <w:vAlign w:val="center"/>
            <w:hideMark/>
          </w:tcPr>
          <w:p w14:paraId="4A27EE39" w14:textId="1B74F800"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0</w:t>
            </w:r>
          </w:p>
        </w:tc>
        <w:tc>
          <w:tcPr>
            <w:tcW w:w="968" w:type="dxa"/>
            <w:tcBorders>
              <w:top w:val="nil"/>
              <w:left w:val="nil"/>
              <w:bottom w:val="single" w:sz="8" w:space="0" w:color="DCE6F1"/>
              <w:right w:val="nil"/>
            </w:tcBorders>
            <w:shd w:val="clear" w:color="auto" w:fill="auto"/>
            <w:noWrap/>
            <w:vAlign w:val="center"/>
            <w:hideMark/>
          </w:tcPr>
          <w:p w14:paraId="78EAEDA6" w14:textId="4672FF82"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0</w:t>
            </w:r>
          </w:p>
        </w:tc>
      </w:tr>
      <w:tr w:rsidR="000F057C" w:rsidRPr="00307A0A" w14:paraId="4DFCAC2F"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4C2AFAFD" w14:textId="77777777" w:rsidR="000F057C" w:rsidRPr="00307A0A" w:rsidRDefault="000F057C" w:rsidP="000F057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 xml:space="preserve">Program 9: Šport </w:t>
            </w:r>
          </w:p>
        </w:tc>
        <w:tc>
          <w:tcPr>
            <w:tcW w:w="993" w:type="dxa"/>
            <w:tcBorders>
              <w:top w:val="nil"/>
              <w:left w:val="nil"/>
              <w:bottom w:val="single" w:sz="8" w:space="0" w:color="DCE6F1"/>
              <w:right w:val="nil"/>
            </w:tcBorders>
            <w:shd w:val="clear" w:color="auto" w:fill="auto"/>
            <w:noWrap/>
            <w:vAlign w:val="center"/>
            <w:hideMark/>
          </w:tcPr>
          <w:p w14:paraId="27EBA3EA" w14:textId="37F40D21"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20 537</w:t>
            </w:r>
          </w:p>
        </w:tc>
        <w:tc>
          <w:tcPr>
            <w:tcW w:w="992" w:type="dxa"/>
            <w:tcBorders>
              <w:top w:val="nil"/>
              <w:left w:val="nil"/>
              <w:bottom w:val="single" w:sz="8" w:space="0" w:color="DCE6F1"/>
              <w:right w:val="nil"/>
            </w:tcBorders>
            <w:shd w:val="clear" w:color="auto" w:fill="auto"/>
            <w:noWrap/>
            <w:vAlign w:val="center"/>
            <w:hideMark/>
          </w:tcPr>
          <w:p w14:paraId="15FBFFFB" w14:textId="6019F76F"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800</w:t>
            </w:r>
          </w:p>
        </w:tc>
        <w:tc>
          <w:tcPr>
            <w:tcW w:w="992" w:type="dxa"/>
            <w:tcBorders>
              <w:top w:val="nil"/>
              <w:left w:val="nil"/>
              <w:bottom w:val="single" w:sz="8" w:space="0" w:color="DCE6F1"/>
              <w:right w:val="nil"/>
            </w:tcBorders>
            <w:shd w:val="clear" w:color="auto" w:fill="auto"/>
            <w:noWrap/>
            <w:vAlign w:val="center"/>
            <w:hideMark/>
          </w:tcPr>
          <w:p w14:paraId="7F980DF5" w14:textId="3ED50D95"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40 000</w:t>
            </w:r>
          </w:p>
        </w:tc>
        <w:tc>
          <w:tcPr>
            <w:tcW w:w="992" w:type="dxa"/>
            <w:tcBorders>
              <w:top w:val="nil"/>
              <w:left w:val="nil"/>
              <w:bottom w:val="single" w:sz="8" w:space="0" w:color="DCE6F1"/>
              <w:right w:val="nil"/>
            </w:tcBorders>
            <w:shd w:val="clear" w:color="auto" w:fill="auto"/>
            <w:noWrap/>
            <w:vAlign w:val="center"/>
            <w:hideMark/>
          </w:tcPr>
          <w:p w14:paraId="075C5EAD" w14:textId="04CC2FA5"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40 000</w:t>
            </w:r>
          </w:p>
        </w:tc>
        <w:tc>
          <w:tcPr>
            <w:tcW w:w="993" w:type="dxa"/>
            <w:tcBorders>
              <w:top w:val="nil"/>
              <w:left w:val="nil"/>
              <w:bottom w:val="single" w:sz="8" w:space="0" w:color="DCE6F1"/>
              <w:right w:val="nil"/>
            </w:tcBorders>
            <w:shd w:val="clear" w:color="000000" w:fill="D9D9D9"/>
            <w:noWrap/>
            <w:vAlign w:val="center"/>
            <w:hideMark/>
          </w:tcPr>
          <w:p w14:paraId="7DA8D142" w14:textId="1C4EDB22"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40 000</w:t>
            </w:r>
          </w:p>
        </w:tc>
        <w:tc>
          <w:tcPr>
            <w:tcW w:w="992" w:type="dxa"/>
            <w:tcBorders>
              <w:top w:val="nil"/>
              <w:left w:val="nil"/>
              <w:bottom w:val="single" w:sz="8" w:space="0" w:color="DCE6F1"/>
              <w:right w:val="nil"/>
            </w:tcBorders>
            <w:shd w:val="clear" w:color="000000" w:fill="EBF1DE"/>
            <w:noWrap/>
            <w:vAlign w:val="center"/>
            <w:hideMark/>
          </w:tcPr>
          <w:p w14:paraId="5070DCF1" w14:textId="6CA8D9D0" w:rsidR="000F057C" w:rsidRPr="003764A8"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b/>
                <w:bCs/>
                <w:color w:val="000000"/>
                <w:sz w:val="16"/>
                <w:szCs w:val="16"/>
              </w:rPr>
              <w:t>0</w:t>
            </w:r>
          </w:p>
        </w:tc>
        <w:tc>
          <w:tcPr>
            <w:tcW w:w="850" w:type="dxa"/>
            <w:tcBorders>
              <w:top w:val="nil"/>
              <w:left w:val="nil"/>
              <w:bottom w:val="single" w:sz="8" w:space="0" w:color="DCE6F1"/>
              <w:right w:val="nil"/>
            </w:tcBorders>
            <w:shd w:val="clear" w:color="000000" w:fill="EBF1DE"/>
            <w:noWrap/>
            <w:vAlign w:val="center"/>
            <w:hideMark/>
          </w:tcPr>
          <w:p w14:paraId="14D8EF15" w14:textId="6645A90F" w:rsidR="000F057C" w:rsidRPr="003764A8" w:rsidRDefault="000F057C" w:rsidP="000F057C">
            <w:pPr>
              <w:spacing w:after="0" w:line="240" w:lineRule="auto"/>
              <w:jc w:val="center"/>
              <w:rPr>
                <w:rFonts w:ascii="Calibri" w:eastAsia="Times New Roman" w:hAnsi="Calibri" w:cs="Calibri"/>
                <w:color w:val="000000"/>
                <w:sz w:val="16"/>
                <w:szCs w:val="16"/>
                <w:lang w:eastAsia="sk-SK"/>
              </w:rPr>
            </w:pPr>
            <w:r>
              <w:rPr>
                <w:rFonts w:ascii="Calibri" w:hAnsi="Calibri" w:cs="Calibri"/>
                <w:b/>
                <w:bCs/>
                <w:color w:val="000000"/>
                <w:sz w:val="16"/>
                <w:szCs w:val="16"/>
              </w:rPr>
              <w:t>0,00%</w:t>
            </w:r>
          </w:p>
        </w:tc>
        <w:tc>
          <w:tcPr>
            <w:tcW w:w="993" w:type="dxa"/>
            <w:tcBorders>
              <w:top w:val="nil"/>
              <w:left w:val="nil"/>
              <w:bottom w:val="single" w:sz="8" w:space="0" w:color="DCE6F1"/>
              <w:right w:val="nil"/>
            </w:tcBorders>
            <w:shd w:val="clear" w:color="auto" w:fill="auto"/>
            <w:noWrap/>
            <w:vAlign w:val="center"/>
            <w:hideMark/>
          </w:tcPr>
          <w:p w14:paraId="6158B0D3" w14:textId="016D738C"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40 000</w:t>
            </w:r>
          </w:p>
        </w:tc>
        <w:tc>
          <w:tcPr>
            <w:tcW w:w="968" w:type="dxa"/>
            <w:tcBorders>
              <w:top w:val="nil"/>
              <w:left w:val="nil"/>
              <w:bottom w:val="single" w:sz="8" w:space="0" w:color="DCE6F1"/>
              <w:right w:val="nil"/>
            </w:tcBorders>
            <w:shd w:val="clear" w:color="auto" w:fill="auto"/>
            <w:noWrap/>
            <w:vAlign w:val="center"/>
            <w:hideMark/>
          </w:tcPr>
          <w:p w14:paraId="22847156" w14:textId="313C67B1"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40 000</w:t>
            </w:r>
          </w:p>
        </w:tc>
      </w:tr>
      <w:tr w:rsidR="000F057C" w:rsidRPr="00307A0A" w14:paraId="2F93F2D6"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71666CE6" w14:textId="77777777" w:rsidR="000F057C" w:rsidRPr="00307A0A" w:rsidRDefault="000F057C" w:rsidP="000F057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 xml:space="preserve">Program 10: Kultúra </w:t>
            </w:r>
          </w:p>
        </w:tc>
        <w:tc>
          <w:tcPr>
            <w:tcW w:w="993" w:type="dxa"/>
            <w:tcBorders>
              <w:top w:val="nil"/>
              <w:left w:val="nil"/>
              <w:bottom w:val="single" w:sz="8" w:space="0" w:color="DCE6F1"/>
              <w:right w:val="nil"/>
            </w:tcBorders>
            <w:shd w:val="clear" w:color="auto" w:fill="auto"/>
            <w:noWrap/>
            <w:vAlign w:val="center"/>
            <w:hideMark/>
          </w:tcPr>
          <w:p w14:paraId="016CADFE" w14:textId="670CF8CC"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193 025</w:t>
            </w:r>
          </w:p>
        </w:tc>
        <w:tc>
          <w:tcPr>
            <w:tcW w:w="992" w:type="dxa"/>
            <w:tcBorders>
              <w:top w:val="nil"/>
              <w:left w:val="nil"/>
              <w:bottom w:val="single" w:sz="8" w:space="0" w:color="DCE6F1"/>
              <w:right w:val="nil"/>
            </w:tcBorders>
            <w:shd w:val="clear" w:color="auto" w:fill="auto"/>
            <w:noWrap/>
            <w:vAlign w:val="center"/>
            <w:hideMark/>
          </w:tcPr>
          <w:p w14:paraId="415B9542" w14:textId="70B54C39"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179 271</w:t>
            </w:r>
          </w:p>
        </w:tc>
        <w:tc>
          <w:tcPr>
            <w:tcW w:w="992" w:type="dxa"/>
            <w:tcBorders>
              <w:top w:val="nil"/>
              <w:left w:val="nil"/>
              <w:bottom w:val="single" w:sz="8" w:space="0" w:color="DCE6F1"/>
              <w:right w:val="nil"/>
            </w:tcBorders>
            <w:shd w:val="clear" w:color="auto" w:fill="auto"/>
            <w:noWrap/>
            <w:vAlign w:val="center"/>
            <w:hideMark/>
          </w:tcPr>
          <w:p w14:paraId="7179D05A" w14:textId="2C89B1B5"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752 800</w:t>
            </w:r>
          </w:p>
        </w:tc>
        <w:tc>
          <w:tcPr>
            <w:tcW w:w="992" w:type="dxa"/>
            <w:tcBorders>
              <w:top w:val="nil"/>
              <w:left w:val="nil"/>
              <w:bottom w:val="single" w:sz="8" w:space="0" w:color="DCE6F1"/>
              <w:right w:val="nil"/>
            </w:tcBorders>
            <w:shd w:val="clear" w:color="auto" w:fill="auto"/>
            <w:noWrap/>
            <w:vAlign w:val="center"/>
            <w:hideMark/>
          </w:tcPr>
          <w:p w14:paraId="693B0E05" w14:textId="156B1246"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752 800</w:t>
            </w:r>
          </w:p>
        </w:tc>
        <w:tc>
          <w:tcPr>
            <w:tcW w:w="993" w:type="dxa"/>
            <w:tcBorders>
              <w:top w:val="nil"/>
              <w:left w:val="nil"/>
              <w:bottom w:val="single" w:sz="8" w:space="0" w:color="DCE6F1"/>
              <w:right w:val="nil"/>
            </w:tcBorders>
            <w:shd w:val="clear" w:color="000000" w:fill="D9D9D9"/>
            <w:noWrap/>
            <w:vAlign w:val="center"/>
            <w:hideMark/>
          </w:tcPr>
          <w:p w14:paraId="1995C370" w14:textId="7F30C982"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246 000</w:t>
            </w:r>
          </w:p>
        </w:tc>
        <w:tc>
          <w:tcPr>
            <w:tcW w:w="992" w:type="dxa"/>
            <w:tcBorders>
              <w:top w:val="nil"/>
              <w:left w:val="nil"/>
              <w:bottom w:val="single" w:sz="8" w:space="0" w:color="DCE6F1"/>
              <w:right w:val="nil"/>
            </w:tcBorders>
            <w:shd w:val="clear" w:color="000000" w:fill="EBF1DE"/>
            <w:noWrap/>
            <w:vAlign w:val="center"/>
            <w:hideMark/>
          </w:tcPr>
          <w:p w14:paraId="21776F90" w14:textId="1FB6BAF5" w:rsidR="000F057C" w:rsidRPr="003764A8"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b/>
                <w:bCs/>
                <w:color w:val="000000"/>
                <w:sz w:val="16"/>
                <w:szCs w:val="16"/>
              </w:rPr>
              <w:t>-506 800</w:t>
            </w:r>
          </w:p>
        </w:tc>
        <w:tc>
          <w:tcPr>
            <w:tcW w:w="850" w:type="dxa"/>
            <w:tcBorders>
              <w:top w:val="nil"/>
              <w:left w:val="nil"/>
              <w:bottom w:val="single" w:sz="8" w:space="0" w:color="DCE6F1"/>
              <w:right w:val="nil"/>
            </w:tcBorders>
            <w:shd w:val="clear" w:color="000000" w:fill="EBF1DE"/>
            <w:noWrap/>
            <w:vAlign w:val="center"/>
            <w:hideMark/>
          </w:tcPr>
          <w:p w14:paraId="7DFFB2E9" w14:textId="65E668DD" w:rsidR="000F057C" w:rsidRPr="003764A8" w:rsidRDefault="000F057C" w:rsidP="000F057C">
            <w:pPr>
              <w:spacing w:after="0" w:line="240" w:lineRule="auto"/>
              <w:jc w:val="center"/>
              <w:rPr>
                <w:rFonts w:ascii="Calibri" w:eastAsia="Times New Roman" w:hAnsi="Calibri" w:cs="Calibri"/>
                <w:color w:val="000000"/>
                <w:sz w:val="16"/>
                <w:szCs w:val="16"/>
                <w:lang w:eastAsia="sk-SK"/>
              </w:rPr>
            </w:pPr>
            <w:r>
              <w:rPr>
                <w:rFonts w:ascii="Calibri" w:hAnsi="Calibri" w:cs="Calibri"/>
                <w:b/>
                <w:bCs/>
                <w:color w:val="000000"/>
                <w:sz w:val="16"/>
                <w:szCs w:val="16"/>
              </w:rPr>
              <w:t>-67,32%</w:t>
            </w:r>
          </w:p>
        </w:tc>
        <w:tc>
          <w:tcPr>
            <w:tcW w:w="993" w:type="dxa"/>
            <w:tcBorders>
              <w:top w:val="nil"/>
              <w:left w:val="nil"/>
              <w:bottom w:val="single" w:sz="8" w:space="0" w:color="DCE6F1"/>
              <w:right w:val="nil"/>
            </w:tcBorders>
            <w:shd w:val="clear" w:color="auto" w:fill="auto"/>
            <w:noWrap/>
            <w:vAlign w:val="center"/>
            <w:hideMark/>
          </w:tcPr>
          <w:p w14:paraId="557F9F69" w14:textId="1463EC47"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285 000</w:t>
            </w:r>
          </w:p>
        </w:tc>
        <w:tc>
          <w:tcPr>
            <w:tcW w:w="968" w:type="dxa"/>
            <w:tcBorders>
              <w:top w:val="nil"/>
              <w:left w:val="nil"/>
              <w:bottom w:val="single" w:sz="8" w:space="0" w:color="DCE6F1"/>
              <w:right w:val="nil"/>
            </w:tcBorders>
            <w:shd w:val="clear" w:color="auto" w:fill="auto"/>
            <w:noWrap/>
            <w:vAlign w:val="center"/>
            <w:hideMark/>
          </w:tcPr>
          <w:p w14:paraId="1C136845" w14:textId="48314CF3"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295 000</w:t>
            </w:r>
          </w:p>
        </w:tc>
      </w:tr>
      <w:tr w:rsidR="000F057C" w:rsidRPr="00307A0A" w14:paraId="3AFD8A2F" w14:textId="77777777" w:rsidTr="00BD0CCF">
        <w:trPr>
          <w:trHeight w:val="287"/>
        </w:trPr>
        <w:tc>
          <w:tcPr>
            <w:tcW w:w="1985" w:type="dxa"/>
            <w:tcBorders>
              <w:top w:val="nil"/>
              <w:left w:val="nil"/>
              <w:bottom w:val="single" w:sz="8" w:space="0" w:color="DCE6F1"/>
              <w:right w:val="nil"/>
            </w:tcBorders>
            <w:shd w:val="clear" w:color="auto" w:fill="auto"/>
            <w:noWrap/>
            <w:vAlign w:val="center"/>
            <w:hideMark/>
          </w:tcPr>
          <w:p w14:paraId="59D7D86D" w14:textId="77777777" w:rsidR="000F057C" w:rsidRPr="00307A0A" w:rsidRDefault="000F057C" w:rsidP="000F057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Program 11: Sociálne zabezpečenie</w:t>
            </w:r>
          </w:p>
        </w:tc>
        <w:tc>
          <w:tcPr>
            <w:tcW w:w="993" w:type="dxa"/>
            <w:tcBorders>
              <w:top w:val="nil"/>
              <w:left w:val="nil"/>
              <w:bottom w:val="single" w:sz="8" w:space="0" w:color="DCE6F1"/>
              <w:right w:val="nil"/>
            </w:tcBorders>
            <w:shd w:val="clear" w:color="auto" w:fill="auto"/>
            <w:noWrap/>
            <w:vAlign w:val="center"/>
            <w:hideMark/>
          </w:tcPr>
          <w:p w14:paraId="4896C1E3" w14:textId="1466CA7F"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63 446</w:t>
            </w:r>
          </w:p>
        </w:tc>
        <w:tc>
          <w:tcPr>
            <w:tcW w:w="992" w:type="dxa"/>
            <w:tcBorders>
              <w:top w:val="nil"/>
              <w:left w:val="nil"/>
              <w:bottom w:val="single" w:sz="8" w:space="0" w:color="DCE6F1"/>
              <w:right w:val="nil"/>
            </w:tcBorders>
            <w:shd w:val="clear" w:color="auto" w:fill="auto"/>
            <w:noWrap/>
            <w:vAlign w:val="center"/>
            <w:hideMark/>
          </w:tcPr>
          <w:p w14:paraId="5A98F7B5" w14:textId="48EAC5B7"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192 543</w:t>
            </w:r>
          </w:p>
        </w:tc>
        <w:tc>
          <w:tcPr>
            <w:tcW w:w="992" w:type="dxa"/>
            <w:tcBorders>
              <w:top w:val="nil"/>
              <w:left w:val="nil"/>
              <w:bottom w:val="single" w:sz="8" w:space="0" w:color="DCE6F1"/>
              <w:right w:val="nil"/>
            </w:tcBorders>
            <w:shd w:val="clear" w:color="auto" w:fill="auto"/>
            <w:noWrap/>
            <w:vAlign w:val="center"/>
            <w:hideMark/>
          </w:tcPr>
          <w:p w14:paraId="3963B737" w14:textId="03B8C163"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112 500</w:t>
            </w:r>
          </w:p>
        </w:tc>
        <w:tc>
          <w:tcPr>
            <w:tcW w:w="992" w:type="dxa"/>
            <w:tcBorders>
              <w:top w:val="nil"/>
              <w:left w:val="nil"/>
              <w:bottom w:val="single" w:sz="8" w:space="0" w:color="DCE6F1"/>
              <w:right w:val="nil"/>
            </w:tcBorders>
            <w:shd w:val="clear" w:color="auto" w:fill="auto"/>
            <w:noWrap/>
            <w:vAlign w:val="center"/>
            <w:hideMark/>
          </w:tcPr>
          <w:p w14:paraId="4178985D" w14:textId="5904711F"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123 998</w:t>
            </w:r>
          </w:p>
        </w:tc>
        <w:tc>
          <w:tcPr>
            <w:tcW w:w="993" w:type="dxa"/>
            <w:tcBorders>
              <w:top w:val="nil"/>
              <w:left w:val="nil"/>
              <w:bottom w:val="single" w:sz="8" w:space="0" w:color="DCE6F1"/>
              <w:right w:val="nil"/>
            </w:tcBorders>
            <w:shd w:val="clear" w:color="000000" w:fill="D9D9D9"/>
            <w:noWrap/>
            <w:vAlign w:val="center"/>
            <w:hideMark/>
          </w:tcPr>
          <w:p w14:paraId="4A7A0A64" w14:textId="02C5B77B"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141 160</w:t>
            </w:r>
          </w:p>
        </w:tc>
        <w:tc>
          <w:tcPr>
            <w:tcW w:w="992" w:type="dxa"/>
            <w:tcBorders>
              <w:top w:val="nil"/>
              <w:left w:val="nil"/>
              <w:bottom w:val="single" w:sz="8" w:space="0" w:color="DCE6F1"/>
              <w:right w:val="nil"/>
            </w:tcBorders>
            <w:shd w:val="clear" w:color="000000" w:fill="EBF1DE"/>
            <w:noWrap/>
            <w:vAlign w:val="center"/>
            <w:hideMark/>
          </w:tcPr>
          <w:p w14:paraId="46ED79AA" w14:textId="43A9155A" w:rsidR="000F057C" w:rsidRPr="003764A8"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b/>
                <w:bCs/>
                <w:color w:val="000000"/>
                <w:sz w:val="16"/>
                <w:szCs w:val="16"/>
              </w:rPr>
              <w:t>28 660</w:t>
            </w:r>
          </w:p>
        </w:tc>
        <w:tc>
          <w:tcPr>
            <w:tcW w:w="850" w:type="dxa"/>
            <w:tcBorders>
              <w:top w:val="nil"/>
              <w:left w:val="nil"/>
              <w:bottom w:val="single" w:sz="8" w:space="0" w:color="DCE6F1"/>
              <w:right w:val="nil"/>
            </w:tcBorders>
            <w:shd w:val="clear" w:color="000000" w:fill="EBF1DE"/>
            <w:noWrap/>
            <w:vAlign w:val="center"/>
            <w:hideMark/>
          </w:tcPr>
          <w:p w14:paraId="1F6158B5" w14:textId="7C4E8DB7" w:rsidR="000F057C" w:rsidRPr="003764A8" w:rsidRDefault="000F057C" w:rsidP="000F057C">
            <w:pPr>
              <w:spacing w:after="0" w:line="240" w:lineRule="auto"/>
              <w:jc w:val="center"/>
              <w:rPr>
                <w:rFonts w:ascii="Calibri" w:eastAsia="Times New Roman" w:hAnsi="Calibri" w:cs="Calibri"/>
                <w:color w:val="000000"/>
                <w:sz w:val="16"/>
                <w:szCs w:val="16"/>
                <w:lang w:eastAsia="sk-SK"/>
              </w:rPr>
            </w:pPr>
            <w:r>
              <w:rPr>
                <w:rFonts w:ascii="Calibri" w:hAnsi="Calibri" w:cs="Calibri"/>
                <w:b/>
                <w:bCs/>
                <w:color w:val="000000"/>
                <w:sz w:val="16"/>
                <w:szCs w:val="16"/>
              </w:rPr>
              <w:t>25,48%</w:t>
            </w:r>
          </w:p>
        </w:tc>
        <w:tc>
          <w:tcPr>
            <w:tcW w:w="993" w:type="dxa"/>
            <w:tcBorders>
              <w:top w:val="nil"/>
              <w:left w:val="nil"/>
              <w:bottom w:val="single" w:sz="8" w:space="0" w:color="DCE6F1"/>
              <w:right w:val="nil"/>
            </w:tcBorders>
            <w:shd w:val="clear" w:color="auto" w:fill="auto"/>
            <w:noWrap/>
            <w:vAlign w:val="center"/>
            <w:hideMark/>
          </w:tcPr>
          <w:p w14:paraId="7494EB72" w14:textId="255E3B65"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30 000</w:t>
            </w:r>
          </w:p>
        </w:tc>
        <w:tc>
          <w:tcPr>
            <w:tcW w:w="968" w:type="dxa"/>
            <w:tcBorders>
              <w:top w:val="nil"/>
              <w:left w:val="nil"/>
              <w:bottom w:val="single" w:sz="8" w:space="0" w:color="DCE6F1"/>
              <w:right w:val="nil"/>
            </w:tcBorders>
            <w:shd w:val="clear" w:color="auto" w:fill="auto"/>
            <w:noWrap/>
            <w:vAlign w:val="center"/>
            <w:hideMark/>
          </w:tcPr>
          <w:p w14:paraId="10197080" w14:textId="061A364B"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30 000</w:t>
            </w:r>
          </w:p>
        </w:tc>
      </w:tr>
      <w:tr w:rsidR="000F057C" w:rsidRPr="00307A0A" w14:paraId="6748A8DB" w14:textId="77777777" w:rsidTr="00BD0CCF">
        <w:trPr>
          <w:trHeight w:val="287"/>
        </w:trPr>
        <w:tc>
          <w:tcPr>
            <w:tcW w:w="1985" w:type="dxa"/>
            <w:tcBorders>
              <w:top w:val="nil"/>
              <w:left w:val="nil"/>
              <w:bottom w:val="nil"/>
              <w:right w:val="nil"/>
            </w:tcBorders>
            <w:shd w:val="clear" w:color="auto" w:fill="auto"/>
            <w:noWrap/>
            <w:vAlign w:val="center"/>
            <w:hideMark/>
          </w:tcPr>
          <w:p w14:paraId="2BAB02F2" w14:textId="77777777" w:rsidR="000F057C" w:rsidRPr="00307A0A" w:rsidRDefault="000F057C" w:rsidP="000F057C">
            <w:pPr>
              <w:spacing w:after="0" w:line="240" w:lineRule="auto"/>
              <w:rPr>
                <w:rFonts w:ascii="Calibri" w:eastAsia="Times New Roman" w:hAnsi="Calibri" w:cs="Calibri"/>
                <w:color w:val="000000"/>
                <w:sz w:val="16"/>
                <w:szCs w:val="16"/>
                <w:lang w:eastAsia="sk-SK"/>
              </w:rPr>
            </w:pPr>
            <w:r w:rsidRPr="00307A0A">
              <w:rPr>
                <w:rFonts w:ascii="Calibri" w:eastAsia="Times New Roman" w:hAnsi="Calibri" w:cs="Calibri"/>
                <w:color w:val="000000"/>
                <w:sz w:val="16"/>
                <w:szCs w:val="16"/>
                <w:lang w:eastAsia="sk-SK"/>
              </w:rPr>
              <w:t xml:space="preserve">Program 14: Podpora </w:t>
            </w:r>
            <w:proofErr w:type="spellStart"/>
            <w:r w:rsidRPr="00307A0A">
              <w:rPr>
                <w:rFonts w:ascii="Calibri" w:eastAsia="Times New Roman" w:hAnsi="Calibri" w:cs="Calibri"/>
                <w:color w:val="000000"/>
                <w:sz w:val="16"/>
                <w:szCs w:val="16"/>
                <w:lang w:eastAsia="sk-SK"/>
              </w:rPr>
              <w:t>verej</w:t>
            </w:r>
            <w:proofErr w:type="spellEnd"/>
            <w:r w:rsidRPr="00307A0A">
              <w:rPr>
                <w:rFonts w:ascii="Calibri" w:eastAsia="Times New Roman" w:hAnsi="Calibri" w:cs="Calibri"/>
                <w:color w:val="000000"/>
                <w:sz w:val="16"/>
                <w:szCs w:val="16"/>
                <w:lang w:eastAsia="sk-SK"/>
              </w:rPr>
              <w:t>. života v regióne</w:t>
            </w:r>
          </w:p>
        </w:tc>
        <w:tc>
          <w:tcPr>
            <w:tcW w:w="993" w:type="dxa"/>
            <w:tcBorders>
              <w:top w:val="nil"/>
              <w:left w:val="nil"/>
              <w:bottom w:val="single" w:sz="8" w:space="0" w:color="DCE6F1"/>
              <w:right w:val="nil"/>
            </w:tcBorders>
            <w:shd w:val="clear" w:color="auto" w:fill="auto"/>
            <w:noWrap/>
            <w:vAlign w:val="center"/>
            <w:hideMark/>
          </w:tcPr>
          <w:p w14:paraId="5A9CB788" w14:textId="6F4EDC7B"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369 013</w:t>
            </w:r>
          </w:p>
        </w:tc>
        <w:tc>
          <w:tcPr>
            <w:tcW w:w="992" w:type="dxa"/>
            <w:tcBorders>
              <w:top w:val="nil"/>
              <w:left w:val="nil"/>
              <w:bottom w:val="single" w:sz="8" w:space="0" w:color="DCE6F1"/>
              <w:right w:val="nil"/>
            </w:tcBorders>
            <w:shd w:val="clear" w:color="auto" w:fill="auto"/>
            <w:noWrap/>
            <w:vAlign w:val="center"/>
            <w:hideMark/>
          </w:tcPr>
          <w:p w14:paraId="4939D065" w14:textId="5D73342E"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369 013</w:t>
            </w:r>
          </w:p>
        </w:tc>
        <w:tc>
          <w:tcPr>
            <w:tcW w:w="992" w:type="dxa"/>
            <w:tcBorders>
              <w:top w:val="nil"/>
              <w:left w:val="nil"/>
              <w:bottom w:val="single" w:sz="8" w:space="0" w:color="DCE6F1"/>
              <w:right w:val="nil"/>
            </w:tcBorders>
            <w:shd w:val="clear" w:color="auto" w:fill="auto"/>
            <w:noWrap/>
            <w:vAlign w:val="center"/>
            <w:hideMark/>
          </w:tcPr>
          <w:p w14:paraId="49FC936C" w14:textId="1C563EFC"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0</w:t>
            </w:r>
          </w:p>
        </w:tc>
        <w:tc>
          <w:tcPr>
            <w:tcW w:w="992" w:type="dxa"/>
            <w:tcBorders>
              <w:top w:val="nil"/>
              <w:left w:val="nil"/>
              <w:bottom w:val="single" w:sz="8" w:space="0" w:color="DCE6F1"/>
              <w:right w:val="nil"/>
            </w:tcBorders>
            <w:shd w:val="clear" w:color="auto" w:fill="auto"/>
            <w:noWrap/>
            <w:vAlign w:val="center"/>
            <w:hideMark/>
          </w:tcPr>
          <w:p w14:paraId="79B0832D" w14:textId="2C71C856"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211 840</w:t>
            </w:r>
          </w:p>
        </w:tc>
        <w:tc>
          <w:tcPr>
            <w:tcW w:w="993" w:type="dxa"/>
            <w:tcBorders>
              <w:top w:val="nil"/>
              <w:left w:val="nil"/>
              <w:bottom w:val="single" w:sz="8" w:space="0" w:color="DCE6F1"/>
              <w:right w:val="nil"/>
            </w:tcBorders>
            <w:shd w:val="clear" w:color="000000" w:fill="D9D9D9"/>
            <w:noWrap/>
            <w:vAlign w:val="center"/>
            <w:hideMark/>
          </w:tcPr>
          <w:p w14:paraId="03A5599A" w14:textId="403463E5"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0</w:t>
            </w:r>
          </w:p>
        </w:tc>
        <w:tc>
          <w:tcPr>
            <w:tcW w:w="992" w:type="dxa"/>
            <w:tcBorders>
              <w:top w:val="nil"/>
              <w:left w:val="nil"/>
              <w:bottom w:val="single" w:sz="8" w:space="0" w:color="DCE6F1"/>
              <w:right w:val="nil"/>
            </w:tcBorders>
            <w:shd w:val="clear" w:color="000000" w:fill="EBF1DE"/>
            <w:noWrap/>
            <w:vAlign w:val="center"/>
            <w:hideMark/>
          </w:tcPr>
          <w:p w14:paraId="796B0CFC" w14:textId="6F0A9BBB" w:rsidR="000F057C" w:rsidRPr="003764A8"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b/>
                <w:bCs/>
                <w:color w:val="000000"/>
                <w:sz w:val="16"/>
                <w:szCs w:val="16"/>
              </w:rPr>
              <w:t>0</w:t>
            </w:r>
          </w:p>
        </w:tc>
        <w:tc>
          <w:tcPr>
            <w:tcW w:w="850" w:type="dxa"/>
            <w:tcBorders>
              <w:top w:val="nil"/>
              <w:left w:val="nil"/>
              <w:bottom w:val="single" w:sz="8" w:space="0" w:color="DCE6F1"/>
              <w:right w:val="nil"/>
            </w:tcBorders>
            <w:shd w:val="clear" w:color="000000" w:fill="EBF1DE"/>
            <w:noWrap/>
            <w:vAlign w:val="center"/>
            <w:hideMark/>
          </w:tcPr>
          <w:p w14:paraId="1ADE078D" w14:textId="36780A4B" w:rsidR="000F057C" w:rsidRPr="003764A8" w:rsidRDefault="000F057C" w:rsidP="000F057C">
            <w:pPr>
              <w:spacing w:after="0" w:line="240" w:lineRule="auto"/>
              <w:jc w:val="center"/>
              <w:rPr>
                <w:rFonts w:ascii="Calibri" w:eastAsia="Times New Roman" w:hAnsi="Calibri" w:cs="Calibri"/>
                <w:color w:val="000000"/>
                <w:sz w:val="16"/>
                <w:szCs w:val="16"/>
                <w:lang w:eastAsia="sk-SK"/>
              </w:rPr>
            </w:pPr>
            <w:r>
              <w:rPr>
                <w:rFonts w:ascii="Calibri" w:hAnsi="Calibri" w:cs="Calibri"/>
                <w:b/>
                <w:bCs/>
                <w:color w:val="000000"/>
                <w:sz w:val="16"/>
                <w:szCs w:val="16"/>
              </w:rPr>
              <w:t>0,00%</w:t>
            </w:r>
          </w:p>
        </w:tc>
        <w:tc>
          <w:tcPr>
            <w:tcW w:w="993" w:type="dxa"/>
            <w:tcBorders>
              <w:top w:val="nil"/>
              <w:left w:val="nil"/>
              <w:bottom w:val="single" w:sz="8" w:space="0" w:color="DCE6F1"/>
              <w:right w:val="nil"/>
            </w:tcBorders>
            <w:shd w:val="clear" w:color="auto" w:fill="auto"/>
            <w:noWrap/>
            <w:vAlign w:val="center"/>
            <w:hideMark/>
          </w:tcPr>
          <w:p w14:paraId="52D46431" w14:textId="26A05C3B"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0</w:t>
            </w:r>
          </w:p>
        </w:tc>
        <w:tc>
          <w:tcPr>
            <w:tcW w:w="968" w:type="dxa"/>
            <w:tcBorders>
              <w:top w:val="nil"/>
              <w:left w:val="nil"/>
              <w:bottom w:val="single" w:sz="8" w:space="0" w:color="DCE6F1"/>
              <w:right w:val="nil"/>
            </w:tcBorders>
            <w:shd w:val="clear" w:color="auto" w:fill="auto"/>
            <w:noWrap/>
            <w:vAlign w:val="center"/>
            <w:hideMark/>
          </w:tcPr>
          <w:p w14:paraId="39149FF1" w14:textId="0629D712" w:rsidR="000F057C" w:rsidRPr="00307A0A" w:rsidRDefault="000F057C" w:rsidP="000F057C">
            <w:pPr>
              <w:spacing w:after="0" w:line="240" w:lineRule="auto"/>
              <w:jc w:val="right"/>
              <w:rPr>
                <w:rFonts w:ascii="Calibri" w:eastAsia="Times New Roman" w:hAnsi="Calibri" w:cs="Calibri"/>
                <w:color w:val="000000"/>
                <w:sz w:val="16"/>
                <w:szCs w:val="16"/>
                <w:lang w:eastAsia="sk-SK"/>
              </w:rPr>
            </w:pPr>
            <w:r>
              <w:rPr>
                <w:rFonts w:ascii="Calibri" w:hAnsi="Calibri" w:cs="Calibri"/>
                <w:color w:val="000000"/>
                <w:sz w:val="16"/>
                <w:szCs w:val="16"/>
              </w:rPr>
              <w:t>0</w:t>
            </w:r>
          </w:p>
        </w:tc>
      </w:tr>
      <w:tr w:rsidR="000F057C" w:rsidRPr="00307A0A" w14:paraId="5142DBB7" w14:textId="77777777" w:rsidTr="00BD0CCF">
        <w:trPr>
          <w:trHeight w:val="287"/>
        </w:trPr>
        <w:tc>
          <w:tcPr>
            <w:tcW w:w="1985" w:type="dxa"/>
            <w:tcBorders>
              <w:top w:val="nil"/>
              <w:left w:val="nil"/>
              <w:bottom w:val="single" w:sz="8" w:space="0" w:color="4F81BD"/>
              <w:right w:val="nil"/>
            </w:tcBorders>
            <w:shd w:val="clear" w:color="000000" w:fill="DCE6F1"/>
            <w:noWrap/>
            <w:vAlign w:val="center"/>
            <w:hideMark/>
          </w:tcPr>
          <w:p w14:paraId="6982BE43" w14:textId="77777777" w:rsidR="000F057C" w:rsidRPr="00307A0A" w:rsidRDefault="000F057C" w:rsidP="000F057C">
            <w:pPr>
              <w:spacing w:after="0" w:line="240" w:lineRule="auto"/>
              <w:rPr>
                <w:rFonts w:ascii="Calibri" w:eastAsia="Times New Roman" w:hAnsi="Calibri" w:cs="Calibri"/>
                <w:b/>
                <w:bCs/>
                <w:color w:val="000000"/>
                <w:sz w:val="16"/>
                <w:szCs w:val="16"/>
                <w:lang w:eastAsia="sk-SK"/>
              </w:rPr>
            </w:pPr>
            <w:r w:rsidRPr="00307A0A">
              <w:rPr>
                <w:rFonts w:ascii="Calibri" w:eastAsia="Times New Roman" w:hAnsi="Calibri" w:cs="Calibri"/>
                <w:b/>
                <w:bCs/>
                <w:color w:val="000000"/>
                <w:sz w:val="16"/>
                <w:szCs w:val="16"/>
                <w:lang w:eastAsia="sk-SK"/>
              </w:rPr>
              <w:t>Výdavkové fin. operácie  v EUR</w:t>
            </w:r>
          </w:p>
        </w:tc>
        <w:tc>
          <w:tcPr>
            <w:tcW w:w="993" w:type="dxa"/>
            <w:tcBorders>
              <w:top w:val="nil"/>
              <w:left w:val="nil"/>
              <w:bottom w:val="single" w:sz="8" w:space="0" w:color="4F81BD"/>
              <w:right w:val="nil"/>
            </w:tcBorders>
            <w:shd w:val="clear" w:color="000000" w:fill="DCE6F1"/>
            <w:noWrap/>
            <w:vAlign w:val="center"/>
            <w:hideMark/>
          </w:tcPr>
          <w:p w14:paraId="57C9EEF9" w14:textId="5D21BF54"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4 691 155</w:t>
            </w:r>
          </w:p>
        </w:tc>
        <w:tc>
          <w:tcPr>
            <w:tcW w:w="992" w:type="dxa"/>
            <w:tcBorders>
              <w:top w:val="nil"/>
              <w:left w:val="nil"/>
              <w:bottom w:val="single" w:sz="8" w:space="0" w:color="4F81BD"/>
              <w:right w:val="nil"/>
            </w:tcBorders>
            <w:shd w:val="clear" w:color="000000" w:fill="DCE6F1"/>
            <w:noWrap/>
            <w:vAlign w:val="center"/>
            <w:hideMark/>
          </w:tcPr>
          <w:p w14:paraId="78E1B01A" w14:textId="48682E77"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6 398 030</w:t>
            </w:r>
          </w:p>
        </w:tc>
        <w:tc>
          <w:tcPr>
            <w:tcW w:w="992" w:type="dxa"/>
            <w:tcBorders>
              <w:top w:val="nil"/>
              <w:left w:val="nil"/>
              <w:bottom w:val="single" w:sz="8" w:space="0" w:color="4F81BD"/>
              <w:right w:val="nil"/>
            </w:tcBorders>
            <w:shd w:val="clear" w:color="000000" w:fill="DCE6F1"/>
            <w:noWrap/>
            <w:vAlign w:val="center"/>
            <w:hideMark/>
          </w:tcPr>
          <w:p w14:paraId="052DD9FF" w14:textId="1B301B59"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7 785 689</w:t>
            </w:r>
          </w:p>
        </w:tc>
        <w:tc>
          <w:tcPr>
            <w:tcW w:w="992" w:type="dxa"/>
            <w:tcBorders>
              <w:top w:val="nil"/>
              <w:left w:val="nil"/>
              <w:bottom w:val="single" w:sz="8" w:space="0" w:color="4F81BD"/>
              <w:right w:val="nil"/>
            </w:tcBorders>
            <w:shd w:val="clear" w:color="000000" w:fill="DCE6F1"/>
            <w:noWrap/>
            <w:vAlign w:val="center"/>
            <w:hideMark/>
          </w:tcPr>
          <w:p w14:paraId="4B10CB8D" w14:textId="5590ED81"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7 785 689</w:t>
            </w:r>
          </w:p>
        </w:tc>
        <w:tc>
          <w:tcPr>
            <w:tcW w:w="993" w:type="dxa"/>
            <w:tcBorders>
              <w:top w:val="nil"/>
              <w:left w:val="nil"/>
              <w:bottom w:val="single" w:sz="8" w:space="0" w:color="4F81BD"/>
              <w:right w:val="nil"/>
            </w:tcBorders>
            <w:shd w:val="clear" w:color="000000" w:fill="D9D9D9"/>
            <w:noWrap/>
            <w:vAlign w:val="center"/>
            <w:hideMark/>
          </w:tcPr>
          <w:p w14:paraId="5E5DB7BD" w14:textId="5EAE803E"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6 097 991</w:t>
            </w:r>
          </w:p>
        </w:tc>
        <w:tc>
          <w:tcPr>
            <w:tcW w:w="992" w:type="dxa"/>
            <w:tcBorders>
              <w:top w:val="nil"/>
              <w:left w:val="nil"/>
              <w:bottom w:val="single" w:sz="8" w:space="0" w:color="4F81BD"/>
              <w:right w:val="nil"/>
            </w:tcBorders>
            <w:shd w:val="clear" w:color="000000" w:fill="EBF1DE"/>
            <w:noWrap/>
            <w:vAlign w:val="center"/>
            <w:hideMark/>
          </w:tcPr>
          <w:p w14:paraId="4C5EAD7E" w14:textId="688A23BD"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-1 687 698</w:t>
            </w:r>
          </w:p>
        </w:tc>
        <w:tc>
          <w:tcPr>
            <w:tcW w:w="850" w:type="dxa"/>
            <w:tcBorders>
              <w:top w:val="nil"/>
              <w:left w:val="nil"/>
              <w:bottom w:val="single" w:sz="8" w:space="0" w:color="4F81BD"/>
              <w:right w:val="nil"/>
            </w:tcBorders>
            <w:shd w:val="clear" w:color="000000" w:fill="EBF1DE"/>
            <w:noWrap/>
            <w:vAlign w:val="center"/>
            <w:hideMark/>
          </w:tcPr>
          <w:p w14:paraId="6732A0D3" w14:textId="44790532" w:rsidR="000F057C" w:rsidRPr="00307A0A" w:rsidRDefault="000F057C" w:rsidP="000F057C">
            <w:pPr>
              <w:spacing w:after="0" w:line="240" w:lineRule="auto"/>
              <w:jc w:val="center"/>
              <w:rPr>
                <w:rFonts w:ascii="Calibri" w:eastAsia="Times New Roman" w:hAnsi="Calibri" w:cs="Calibri"/>
                <w:b/>
                <w:bCs/>
                <w:color w:val="000000"/>
                <w:sz w:val="16"/>
                <w:szCs w:val="16"/>
                <w:lang w:eastAsia="sk-SK"/>
              </w:rPr>
            </w:pPr>
            <w:r>
              <w:rPr>
                <w:rFonts w:ascii="Calibri" w:hAnsi="Calibri" w:cs="Calibri"/>
                <w:b/>
                <w:bCs/>
                <w:color w:val="000000"/>
                <w:sz w:val="16"/>
                <w:szCs w:val="16"/>
              </w:rPr>
              <w:t>-21,68%</w:t>
            </w:r>
          </w:p>
        </w:tc>
        <w:tc>
          <w:tcPr>
            <w:tcW w:w="993" w:type="dxa"/>
            <w:tcBorders>
              <w:top w:val="nil"/>
              <w:left w:val="nil"/>
              <w:bottom w:val="single" w:sz="8" w:space="0" w:color="4F81BD"/>
              <w:right w:val="nil"/>
            </w:tcBorders>
            <w:shd w:val="clear" w:color="000000" w:fill="DCE6F1"/>
            <w:noWrap/>
            <w:vAlign w:val="center"/>
            <w:hideMark/>
          </w:tcPr>
          <w:p w14:paraId="1C50A7A1" w14:textId="39AD2C68"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12 247 119</w:t>
            </w:r>
          </w:p>
        </w:tc>
        <w:tc>
          <w:tcPr>
            <w:tcW w:w="968" w:type="dxa"/>
            <w:tcBorders>
              <w:top w:val="nil"/>
              <w:left w:val="nil"/>
              <w:bottom w:val="single" w:sz="8" w:space="0" w:color="4F81BD"/>
              <w:right w:val="nil"/>
            </w:tcBorders>
            <w:shd w:val="clear" w:color="000000" w:fill="DCE6F1"/>
            <w:noWrap/>
            <w:vAlign w:val="center"/>
            <w:hideMark/>
          </w:tcPr>
          <w:p w14:paraId="5D3B9152" w14:textId="22E80A20" w:rsidR="000F057C" w:rsidRPr="00307A0A" w:rsidRDefault="000F057C" w:rsidP="000F057C">
            <w:pPr>
              <w:spacing w:after="0" w:line="240" w:lineRule="auto"/>
              <w:jc w:val="right"/>
              <w:rPr>
                <w:rFonts w:ascii="Calibri" w:eastAsia="Times New Roman" w:hAnsi="Calibri" w:cs="Calibri"/>
                <w:b/>
                <w:bCs/>
                <w:color w:val="000000"/>
                <w:sz w:val="16"/>
                <w:szCs w:val="16"/>
                <w:lang w:eastAsia="sk-SK"/>
              </w:rPr>
            </w:pPr>
            <w:r>
              <w:rPr>
                <w:rFonts w:ascii="Calibri" w:hAnsi="Calibri" w:cs="Calibri"/>
                <w:b/>
                <w:bCs/>
                <w:color w:val="000000"/>
                <w:sz w:val="16"/>
                <w:szCs w:val="16"/>
              </w:rPr>
              <w:t>9 016 688</w:t>
            </w:r>
          </w:p>
        </w:tc>
      </w:tr>
    </w:tbl>
    <w:p w14:paraId="28517C75" w14:textId="77777777" w:rsidR="00947149" w:rsidRDefault="00947149" w:rsidP="00357DE9">
      <w:pPr>
        <w:jc w:val="both"/>
        <w:rPr>
          <w:rFonts w:eastAsia="Times New Roman" w:cstheme="minorHAnsi"/>
          <w:sz w:val="24"/>
          <w:szCs w:val="24"/>
        </w:rPr>
      </w:pPr>
    </w:p>
    <w:p w14:paraId="77394741" w14:textId="6B03D9F6" w:rsidR="00357DE9" w:rsidRDefault="00357DE9" w:rsidP="00357DE9">
      <w:pPr>
        <w:jc w:val="both"/>
        <w:rPr>
          <w:rFonts w:eastAsia="Times New Roman" w:cstheme="minorHAnsi"/>
          <w:sz w:val="24"/>
          <w:szCs w:val="24"/>
        </w:rPr>
      </w:pPr>
      <w:r w:rsidRPr="00B73789">
        <w:rPr>
          <w:rFonts w:eastAsia="Times New Roman" w:cstheme="minorHAnsi"/>
          <w:sz w:val="24"/>
          <w:szCs w:val="24"/>
        </w:rPr>
        <w:t>Prehľad oblastí Investičného plánu BSK na rok 202</w:t>
      </w:r>
      <w:r w:rsidR="00B73789">
        <w:rPr>
          <w:rFonts w:eastAsia="Times New Roman" w:cstheme="minorHAnsi"/>
          <w:sz w:val="24"/>
          <w:szCs w:val="24"/>
        </w:rPr>
        <w:t>5</w:t>
      </w:r>
      <w:r w:rsidRPr="00B73789">
        <w:rPr>
          <w:rFonts w:eastAsia="Times New Roman" w:cstheme="minorHAnsi"/>
          <w:sz w:val="24"/>
          <w:szCs w:val="24"/>
        </w:rPr>
        <w:t xml:space="preserve"> – 202</w:t>
      </w:r>
      <w:r w:rsidR="00B73789">
        <w:rPr>
          <w:rFonts w:eastAsia="Times New Roman" w:cstheme="minorHAnsi"/>
          <w:sz w:val="24"/>
          <w:szCs w:val="24"/>
        </w:rPr>
        <w:t>7</w:t>
      </w:r>
      <w:r w:rsidRPr="00B73789">
        <w:rPr>
          <w:rFonts w:eastAsia="Times New Roman" w:cstheme="minorHAnsi"/>
          <w:sz w:val="24"/>
          <w:szCs w:val="24"/>
        </w:rPr>
        <w:t xml:space="preserve"> prezentuje tabuľka:</w:t>
      </w:r>
      <w:r>
        <w:rPr>
          <w:rFonts w:eastAsia="Times New Roman" w:cstheme="minorHAnsi"/>
          <w:sz w:val="24"/>
          <w:szCs w:val="24"/>
        </w:rPr>
        <w:t xml:space="preserve"> </w:t>
      </w:r>
    </w:p>
    <w:tbl>
      <w:tblPr>
        <w:tblW w:w="10435" w:type="dxa"/>
        <w:tblCellMar>
          <w:left w:w="70" w:type="dxa"/>
          <w:right w:w="70" w:type="dxa"/>
        </w:tblCellMar>
        <w:tblLook w:val="04A0" w:firstRow="1" w:lastRow="0" w:firstColumn="1" w:lastColumn="0" w:noHBand="0" w:noVBand="1"/>
      </w:tblPr>
      <w:tblGrid>
        <w:gridCol w:w="3685"/>
        <w:gridCol w:w="2878"/>
        <w:gridCol w:w="1990"/>
        <w:gridCol w:w="1882"/>
      </w:tblGrid>
      <w:tr w:rsidR="00B8306B" w:rsidRPr="00B8306B" w14:paraId="224095F2" w14:textId="77777777" w:rsidTr="00B73789">
        <w:trPr>
          <w:trHeight w:val="263"/>
        </w:trPr>
        <w:tc>
          <w:tcPr>
            <w:tcW w:w="3685" w:type="dxa"/>
            <w:tcBorders>
              <w:top w:val="single" w:sz="8" w:space="0" w:color="366092"/>
              <w:left w:val="nil"/>
              <w:bottom w:val="nil"/>
              <w:right w:val="nil"/>
            </w:tcBorders>
            <w:shd w:val="clear" w:color="000000" w:fill="4F81BD"/>
            <w:noWrap/>
            <w:vAlign w:val="center"/>
            <w:hideMark/>
          </w:tcPr>
          <w:p w14:paraId="74F15217" w14:textId="77777777" w:rsidR="00B8306B" w:rsidRPr="00B8306B" w:rsidRDefault="00B8306B" w:rsidP="00B8306B">
            <w:pPr>
              <w:spacing w:after="0" w:line="240" w:lineRule="auto"/>
              <w:rPr>
                <w:rFonts w:ascii="Calibri" w:eastAsia="Times New Roman" w:hAnsi="Calibri" w:cs="Calibri"/>
                <w:b/>
                <w:bCs/>
                <w:color w:val="FFFFFF"/>
                <w:lang w:eastAsia="sk-SK"/>
              </w:rPr>
            </w:pPr>
            <w:r w:rsidRPr="00B8306B">
              <w:rPr>
                <w:rFonts w:ascii="Calibri" w:eastAsia="Times New Roman" w:hAnsi="Calibri" w:cs="Calibri"/>
                <w:b/>
                <w:bCs/>
                <w:color w:val="FFFFFF"/>
                <w:lang w:eastAsia="sk-SK"/>
              </w:rPr>
              <w:t>Oblasť  IP BSK/</w:t>
            </w:r>
          </w:p>
        </w:tc>
        <w:tc>
          <w:tcPr>
            <w:tcW w:w="2878" w:type="dxa"/>
            <w:tcBorders>
              <w:top w:val="single" w:sz="8" w:space="0" w:color="366092"/>
              <w:left w:val="nil"/>
              <w:bottom w:val="nil"/>
              <w:right w:val="nil"/>
            </w:tcBorders>
            <w:shd w:val="clear" w:color="000000" w:fill="4F81BD"/>
            <w:noWrap/>
            <w:vAlign w:val="center"/>
            <w:hideMark/>
          </w:tcPr>
          <w:p w14:paraId="68E7287A" w14:textId="77777777" w:rsidR="00B8306B" w:rsidRPr="00B8306B" w:rsidRDefault="00B8306B" w:rsidP="00B8306B">
            <w:pPr>
              <w:spacing w:after="0" w:line="240" w:lineRule="auto"/>
              <w:rPr>
                <w:rFonts w:ascii="Calibri" w:eastAsia="Times New Roman" w:hAnsi="Calibri" w:cs="Calibri"/>
                <w:b/>
                <w:bCs/>
                <w:color w:val="FFFFFF"/>
                <w:lang w:eastAsia="sk-SK"/>
              </w:rPr>
            </w:pPr>
            <w:r w:rsidRPr="00B8306B">
              <w:rPr>
                <w:rFonts w:ascii="Calibri" w:eastAsia="Times New Roman" w:hAnsi="Calibri" w:cs="Calibri"/>
                <w:b/>
                <w:bCs/>
                <w:color w:val="FFFFFF"/>
                <w:lang w:eastAsia="sk-SK"/>
              </w:rPr>
              <w:t>KV na r. 2025</w:t>
            </w:r>
          </w:p>
        </w:tc>
        <w:tc>
          <w:tcPr>
            <w:tcW w:w="1990" w:type="dxa"/>
            <w:tcBorders>
              <w:top w:val="single" w:sz="8" w:space="0" w:color="366092"/>
              <w:left w:val="nil"/>
              <w:bottom w:val="nil"/>
              <w:right w:val="nil"/>
            </w:tcBorders>
            <w:shd w:val="clear" w:color="000000" w:fill="4F81BD"/>
            <w:noWrap/>
            <w:vAlign w:val="center"/>
            <w:hideMark/>
          </w:tcPr>
          <w:p w14:paraId="0708AE5C" w14:textId="77777777" w:rsidR="00B8306B" w:rsidRPr="00B8306B" w:rsidRDefault="00B8306B" w:rsidP="00B8306B">
            <w:pPr>
              <w:spacing w:after="0" w:line="240" w:lineRule="auto"/>
              <w:rPr>
                <w:rFonts w:ascii="Calibri" w:eastAsia="Times New Roman" w:hAnsi="Calibri" w:cs="Calibri"/>
                <w:b/>
                <w:bCs/>
                <w:color w:val="FFFFFF"/>
                <w:lang w:eastAsia="sk-SK"/>
              </w:rPr>
            </w:pPr>
            <w:r w:rsidRPr="00B8306B">
              <w:rPr>
                <w:rFonts w:ascii="Calibri" w:eastAsia="Times New Roman" w:hAnsi="Calibri" w:cs="Calibri"/>
                <w:b/>
                <w:bCs/>
                <w:color w:val="FFFFFF"/>
                <w:lang w:eastAsia="sk-SK"/>
              </w:rPr>
              <w:t>KV na r. 2026</w:t>
            </w:r>
          </w:p>
        </w:tc>
        <w:tc>
          <w:tcPr>
            <w:tcW w:w="1882" w:type="dxa"/>
            <w:tcBorders>
              <w:top w:val="single" w:sz="8" w:space="0" w:color="366092"/>
              <w:left w:val="nil"/>
              <w:bottom w:val="nil"/>
              <w:right w:val="nil"/>
            </w:tcBorders>
            <w:shd w:val="clear" w:color="000000" w:fill="4F81BD"/>
            <w:noWrap/>
            <w:vAlign w:val="center"/>
            <w:hideMark/>
          </w:tcPr>
          <w:p w14:paraId="7315B152" w14:textId="77777777" w:rsidR="00B8306B" w:rsidRPr="00B8306B" w:rsidRDefault="00B8306B" w:rsidP="00B8306B">
            <w:pPr>
              <w:spacing w:after="0" w:line="240" w:lineRule="auto"/>
              <w:rPr>
                <w:rFonts w:ascii="Calibri" w:eastAsia="Times New Roman" w:hAnsi="Calibri" w:cs="Calibri"/>
                <w:b/>
                <w:bCs/>
                <w:color w:val="FFFFFF"/>
                <w:lang w:eastAsia="sk-SK"/>
              </w:rPr>
            </w:pPr>
            <w:r w:rsidRPr="00B8306B">
              <w:rPr>
                <w:rFonts w:ascii="Calibri" w:eastAsia="Times New Roman" w:hAnsi="Calibri" w:cs="Calibri"/>
                <w:b/>
                <w:bCs/>
                <w:color w:val="FFFFFF"/>
                <w:lang w:eastAsia="sk-SK"/>
              </w:rPr>
              <w:t>KV na r. 2027</w:t>
            </w:r>
          </w:p>
        </w:tc>
      </w:tr>
      <w:tr w:rsidR="00B8306B" w:rsidRPr="00B8306B" w14:paraId="31BA54B4" w14:textId="77777777" w:rsidTr="00B73789">
        <w:trPr>
          <w:trHeight w:val="263"/>
        </w:trPr>
        <w:tc>
          <w:tcPr>
            <w:tcW w:w="3685" w:type="dxa"/>
            <w:tcBorders>
              <w:top w:val="nil"/>
              <w:left w:val="nil"/>
              <w:bottom w:val="nil"/>
              <w:right w:val="nil"/>
            </w:tcBorders>
            <w:shd w:val="clear" w:color="000000" w:fill="4F81BD"/>
            <w:noWrap/>
            <w:vAlign w:val="center"/>
            <w:hideMark/>
          </w:tcPr>
          <w:p w14:paraId="22C521D5" w14:textId="77777777" w:rsidR="00B8306B" w:rsidRPr="00B8306B" w:rsidRDefault="00B8306B" w:rsidP="00B8306B">
            <w:pPr>
              <w:spacing w:after="0" w:line="240" w:lineRule="auto"/>
              <w:rPr>
                <w:rFonts w:ascii="Calibri" w:eastAsia="Times New Roman" w:hAnsi="Calibri" w:cs="Calibri"/>
                <w:b/>
                <w:bCs/>
                <w:color w:val="FFFFFF"/>
                <w:lang w:eastAsia="sk-SK"/>
              </w:rPr>
            </w:pPr>
            <w:r w:rsidRPr="00B8306B">
              <w:rPr>
                <w:rFonts w:ascii="Calibri" w:eastAsia="Times New Roman" w:hAnsi="Calibri" w:cs="Calibri"/>
                <w:b/>
                <w:bCs/>
                <w:color w:val="FFFFFF"/>
                <w:lang w:eastAsia="sk-SK"/>
              </w:rPr>
              <w:t>Verejný obstarávateľ</w:t>
            </w:r>
          </w:p>
        </w:tc>
        <w:tc>
          <w:tcPr>
            <w:tcW w:w="2878" w:type="dxa"/>
            <w:tcBorders>
              <w:top w:val="nil"/>
              <w:left w:val="nil"/>
              <w:bottom w:val="nil"/>
              <w:right w:val="nil"/>
            </w:tcBorders>
            <w:shd w:val="clear" w:color="000000" w:fill="4F81BD"/>
            <w:noWrap/>
            <w:vAlign w:val="center"/>
            <w:hideMark/>
          </w:tcPr>
          <w:p w14:paraId="7FAFB5B4" w14:textId="77777777" w:rsidR="00B8306B" w:rsidRPr="00B8306B" w:rsidRDefault="00B8306B" w:rsidP="00B8306B">
            <w:pPr>
              <w:spacing w:after="0" w:line="240" w:lineRule="auto"/>
              <w:rPr>
                <w:rFonts w:ascii="Calibri" w:eastAsia="Times New Roman" w:hAnsi="Calibri" w:cs="Calibri"/>
                <w:b/>
                <w:bCs/>
                <w:color w:val="FFFFFF"/>
                <w:lang w:eastAsia="sk-SK"/>
              </w:rPr>
            </w:pPr>
            <w:r w:rsidRPr="00B8306B">
              <w:rPr>
                <w:rFonts w:ascii="Calibri" w:eastAsia="Times New Roman" w:hAnsi="Calibri" w:cs="Calibri"/>
                <w:b/>
                <w:bCs/>
                <w:color w:val="FFFFFF"/>
                <w:lang w:eastAsia="sk-SK"/>
              </w:rPr>
              <w:t xml:space="preserve"> v EUR</w:t>
            </w:r>
          </w:p>
        </w:tc>
        <w:tc>
          <w:tcPr>
            <w:tcW w:w="1990" w:type="dxa"/>
            <w:tcBorders>
              <w:top w:val="nil"/>
              <w:left w:val="nil"/>
              <w:bottom w:val="nil"/>
              <w:right w:val="nil"/>
            </w:tcBorders>
            <w:shd w:val="clear" w:color="000000" w:fill="4F81BD"/>
            <w:noWrap/>
            <w:vAlign w:val="center"/>
            <w:hideMark/>
          </w:tcPr>
          <w:p w14:paraId="12DAA59E" w14:textId="77777777" w:rsidR="00B8306B" w:rsidRPr="00B8306B" w:rsidRDefault="00B8306B" w:rsidP="00B8306B">
            <w:pPr>
              <w:spacing w:after="0" w:line="240" w:lineRule="auto"/>
              <w:rPr>
                <w:rFonts w:ascii="Calibri" w:eastAsia="Times New Roman" w:hAnsi="Calibri" w:cs="Calibri"/>
                <w:b/>
                <w:bCs/>
                <w:color w:val="FFFFFF"/>
                <w:lang w:eastAsia="sk-SK"/>
              </w:rPr>
            </w:pPr>
            <w:r w:rsidRPr="00B8306B">
              <w:rPr>
                <w:rFonts w:ascii="Calibri" w:eastAsia="Times New Roman" w:hAnsi="Calibri" w:cs="Calibri"/>
                <w:b/>
                <w:bCs/>
                <w:color w:val="FFFFFF"/>
                <w:lang w:eastAsia="sk-SK"/>
              </w:rPr>
              <w:t>v EUR</w:t>
            </w:r>
          </w:p>
        </w:tc>
        <w:tc>
          <w:tcPr>
            <w:tcW w:w="1882" w:type="dxa"/>
            <w:tcBorders>
              <w:top w:val="nil"/>
              <w:left w:val="nil"/>
              <w:bottom w:val="nil"/>
              <w:right w:val="nil"/>
            </w:tcBorders>
            <w:shd w:val="clear" w:color="000000" w:fill="4F81BD"/>
            <w:noWrap/>
            <w:vAlign w:val="center"/>
            <w:hideMark/>
          </w:tcPr>
          <w:p w14:paraId="69104F2D" w14:textId="77777777" w:rsidR="00B8306B" w:rsidRPr="00B8306B" w:rsidRDefault="00B8306B" w:rsidP="00B8306B">
            <w:pPr>
              <w:spacing w:after="0" w:line="240" w:lineRule="auto"/>
              <w:rPr>
                <w:rFonts w:ascii="Calibri" w:eastAsia="Times New Roman" w:hAnsi="Calibri" w:cs="Calibri"/>
                <w:b/>
                <w:bCs/>
                <w:color w:val="FFFFFF"/>
                <w:lang w:eastAsia="sk-SK"/>
              </w:rPr>
            </w:pPr>
            <w:r w:rsidRPr="00B8306B">
              <w:rPr>
                <w:rFonts w:ascii="Calibri" w:eastAsia="Times New Roman" w:hAnsi="Calibri" w:cs="Calibri"/>
                <w:b/>
                <w:bCs/>
                <w:color w:val="FFFFFF"/>
                <w:lang w:eastAsia="sk-SK"/>
              </w:rPr>
              <w:t>v EUR</w:t>
            </w:r>
          </w:p>
        </w:tc>
      </w:tr>
      <w:tr w:rsidR="00B8306B" w:rsidRPr="00B8306B" w14:paraId="6B66018F" w14:textId="77777777" w:rsidTr="00B73789">
        <w:trPr>
          <w:trHeight w:val="263"/>
        </w:trPr>
        <w:tc>
          <w:tcPr>
            <w:tcW w:w="3685" w:type="dxa"/>
            <w:tcBorders>
              <w:top w:val="nil"/>
              <w:left w:val="nil"/>
              <w:bottom w:val="nil"/>
              <w:right w:val="nil"/>
            </w:tcBorders>
            <w:shd w:val="clear" w:color="auto" w:fill="auto"/>
            <w:noWrap/>
            <w:vAlign w:val="center"/>
            <w:hideMark/>
          </w:tcPr>
          <w:p w14:paraId="545051AF" w14:textId="42B02AA0" w:rsidR="00B8306B" w:rsidRPr="00B8306B" w:rsidRDefault="00B8306B" w:rsidP="00B8306B">
            <w:pPr>
              <w:spacing w:after="0" w:line="240" w:lineRule="auto"/>
              <w:rPr>
                <w:rFonts w:ascii="Calibri" w:eastAsia="Times New Roman" w:hAnsi="Calibri" w:cs="Calibri"/>
                <w:color w:val="000000"/>
                <w:lang w:eastAsia="sk-SK"/>
              </w:rPr>
            </w:pPr>
            <w:r w:rsidRPr="00B8306B">
              <w:rPr>
                <w:rFonts w:ascii="Calibri" w:eastAsia="Times New Roman" w:hAnsi="Calibri" w:cs="Calibri"/>
                <w:color w:val="000000"/>
                <w:lang w:eastAsia="sk-SK"/>
              </w:rPr>
              <w:t xml:space="preserve">Kultúra </w:t>
            </w:r>
          </w:p>
        </w:tc>
        <w:tc>
          <w:tcPr>
            <w:tcW w:w="2878" w:type="dxa"/>
            <w:tcBorders>
              <w:top w:val="nil"/>
              <w:left w:val="nil"/>
              <w:bottom w:val="nil"/>
              <w:right w:val="nil"/>
            </w:tcBorders>
            <w:shd w:val="clear" w:color="000000" w:fill="D9D9D9"/>
            <w:noWrap/>
            <w:vAlign w:val="center"/>
            <w:hideMark/>
          </w:tcPr>
          <w:p w14:paraId="285A8DAD" w14:textId="6A425CA0" w:rsidR="00B8306B" w:rsidRPr="00B8306B" w:rsidRDefault="00D610D4" w:rsidP="00B8306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110</w:t>
            </w:r>
            <w:r w:rsidR="00AD57F7">
              <w:rPr>
                <w:rFonts w:ascii="Calibri" w:eastAsia="Times New Roman" w:hAnsi="Calibri" w:cs="Calibri"/>
                <w:color w:val="000000"/>
                <w:lang w:eastAsia="sk-SK"/>
              </w:rPr>
              <w:t xml:space="preserve"> 880,00</w:t>
            </w:r>
          </w:p>
        </w:tc>
        <w:tc>
          <w:tcPr>
            <w:tcW w:w="1990" w:type="dxa"/>
            <w:tcBorders>
              <w:top w:val="nil"/>
              <w:left w:val="nil"/>
              <w:bottom w:val="nil"/>
              <w:right w:val="nil"/>
            </w:tcBorders>
            <w:shd w:val="clear" w:color="auto" w:fill="auto"/>
            <w:noWrap/>
            <w:vAlign w:val="center"/>
            <w:hideMark/>
          </w:tcPr>
          <w:p w14:paraId="34F9FD4A" w14:textId="77777777"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369 570,00</w:t>
            </w:r>
          </w:p>
        </w:tc>
        <w:tc>
          <w:tcPr>
            <w:tcW w:w="1882" w:type="dxa"/>
            <w:tcBorders>
              <w:top w:val="nil"/>
              <w:left w:val="nil"/>
              <w:bottom w:val="nil"/>
              <w:right w:val="nil"/>
            </w:tcBorders>
            <w:shd w:val="clear" w:color="auto" w:fill="auto"/>
            <w:noWrap/>
            <w:vAlign w:val="center"/>
            <w:hideMark/>
          </w:tcPr>
          <w:p w14:paraId="7576D8BF" w14:textId="77777777"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515 000,00</w:t>
            </w:r>
          </w:p>
        </w:tc>
      </w:tr>
      <w:tr w:rsidR="00B8306B" w:rsidRPr="00B8306B" w14:paraId="085100E1" w14:textId="77777777" w:rsidTr="00B73789">
        <w:trPr>
          <w:trHeight w:val="263"/>
        </w:trPr>
        <w:tc>
          <w:tcPr>
            <w:tcW w:w="3685" w:type="dxa"/>
            <w:tcBorders>
              <w:top w:val="nil"/>
              <w:left w:val="nil"/>
              <w:bottom w:val="nil"/>
              <w:right w:val="nil"/>
            </w:tcBorders>
            <w:shd w:val="clear" w:color="auto" w:fill="auto"/>
            <w:noWrap/>
            <w:vAlign w:val="center"/>
            <w:hideMark/>
          </w:tcPr>
          <w:p w14:paraId="4356B3A0" w14:textId="77777777" w:rsidR="00B8306B" w:rsidRPr="00B8306B" w:rsidRDefault="00B8306B" w:rsidP="00B8306B">
            <w:pPr>
              <w:spacing w:after="0" w:line="240" w:lineRule="auto"/>
              <w:rPr>
                <w:rFonts w:ascii="Calibri" w:eastAsia="Times New Roman" w:hAnsi="Calibri" w:cs="Calibri"/>
                <w:color w:val="000000"/>
                <w:lang w:eastAsia="sk-SK"/>
              </w:rPr>
            </w:pPr>
            <w:r w:rsidRPr="00B8306B">
              <w:rPr>
                <w:rFonts w:ascii="Calibri" w:eastAsia="Times New Roman" w:hAnsi="Calibri" w:cs="Calibri"/>
                <w:color w:val="000000"/>
                <w:lang w:eastAsia="sk-SK"/>
              </w:rPr>
              <w:t>Sociálne zabezpečenie</w:t>
            </w:r>
          </w:p>
        </w:tc>
        <w:tc>
          <w:tcPr>
            <w:tcW w:w="2878" w:type="dxa"/>
            <w:tcBorders>
              <w:top w:val="nil"/>
              <w:left w:val="nil"/>
              <w:bottom w:val="nil"/>
              <w:right w:val="nil"/>
            </w:tcBorders>
            <w:shd w:val="clear" w:color="000000" w:fill="D9D9D9"/>
            <w:noWrap/>
            <w:vAlign w:val="center"/>
            <w:hideMark/>
          </w:tcPr>
          <w:p w14:paraId="7035D185" w14:textId="543C22E9" w:rsidR="00B8306B" w:rsidRPr="00B8306B" w:rsidRDefault="003C07C6" w:rsidP="00B8306B">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1</w:t>
            </w:r>
            <w:r w:rsidR="00AD57F7">
              <w:rPr>
                <w:rFonts w:ascii="Calibri" w:eastAsia="Times New Roman" w:hAnsi="Calibri" w:cs="Calibri"/>
                <w:color w:val="000000"/>
                <w:lang w:eastAsia="sk-SK"/>
              </w:rPr>
              <w:t> 718 916,24</w:t>
            </w:r>
          </w:p>
        </w:tc>
        <w:tc>
          <w:tcPr>
            <w:tcW w:w="1990" w:type="dxa"/>
            <w:tcBorders>
              <w:top w:val="nil"/>
              <w:left w:val="nil"/>
              <w:bottom w:val="nil"/>
              <w:right w:val="nil"/>
            </w:tcBorders>
            <w:shd w:val="clear" w:color="auto" w:fill="auto"/>
            <w:noWrap/>
            <w:vAlign w:val="center"/>
            <w:hideMark/>
          </w:tcPr>
          <w:p w14:paraId="5BB3D7B2" w14:textId="77777777"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0,00</w:t>
            </w:r>
          </w:p>
        </w:tc>
        <w:tc>
          <w:tcPr>
            <w:tcW w:w="1882" w:type="dxa"/>
            <w:tcBorders>
              <w:top w:val="nil"/>
              <w:left w:val="nil"/>
              <w:bottom w:val="nil"/>
              <w:right w:val="nil"/>
            </w:tcBorders>
            <w:shd w:val="clear" w:color="auto" w:fill="auto"/>
            <w:noWrap/>
            <w:vAlign w:val="center"/>
            <w:hideMark/>
          </w:tcPr>
          <w:p w14:paraId="1D66B596" w14:textId="77777777"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0,00</w:t>
            </w:r>
          </w:p>
        </w:tc>
      </w:tr>
      <w:tr w:rsidR="00B8306B" w:rsidRPr="00B8306B" w14:paraId="7BCFC73C" w14:textId="77777777" w:rsidTr="00B73789">
        <w:trPr>
          <w:trHeight w:val="263"/>
        </w:trPr>
        <w:tc>
          <w:tcPr>
            <w:tcW w:w="3685" w:type="dxa"/>
            <w:tcBorders>
              <w:top w:val="nil"/>
              <w:left w:val="nil"/>
              <w:bottom w:val="nil"/>
              <w:right w:val="nil"/>
            </w:tcBorders>
            <w:shd w:val="clear" w:color="auto" w:fill="auto"/>
            <w:noWrap/>
            <w:vAlign w:val="center"/>
            <w:hideMark/>
          </w:tcPr>
          <w:p w14:paraId="269B72DC" w14:textId="77777777" w:rsidR="00B8306B" w:rsidRPr="00B8306B" w:rsidRDefault="00B8306B" w:rsidP="00B8306B">
            <w:pPr>
              <w:spacing w:after="0" w:line="240" w:lineRule="auto"/>
              <w:rPr>
                <w:rFonts w:ascii="Calibri" w:eastAsia="Times New Roman" w:hAnsi="Calibri" w:cs="Calibri"/>
                <w:color w:val="000000"/>
                <w:lang w:eastAsia="sk-SK"/>
              </w:rPr>
            </w:pPr>
            <w:r w:rsidRPr="00B8306B">
              <w:rPr>
                <w:rFonts w:ascii="Calibri" w:eastAsia="Times New Roman" w:hAnsi="Calibri" w:cs="Calibri"/>
                <w:color w:val="000000"/>
                <w:lang w:eastAsia="sk-SK"/>
              </w:rPr>
              <w:t xml:space="preserve">Vzdelávanie                                                                                                                                                                                                                                          </w:t>
            </w:r>
          </w:p>
        </w:tc>
        <w:tc>
          <w:tcPr>
            <w:tcW w:w="2878" w:type="dxa"/>
            <w:tcBorders>
              <w:top w:val="nil"/>
              <w:left w:val="nil"/>
              <w:bottom w:val="nil"/>
              <w:right w:val="nil"/>
            </w:tcBorders>
            <w:shd w:val="clear" w:color="000000" w:fill="D9D9D9"/>
            <w:noWrap/>
            <w:vAlign w:val="center"/>
            <w:hideMark/>
          </w:tcPr>
          <w:p w14:paraId="34922176" w14:textId="5940CA3C"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 xml:space="preserve">5 </w:t>
            </w:r>
            <w:r w:rsidR="007C549D">
              <w:rPr>
                <w:rFonts w:ascii="Calibri" w:eastAsia="Times New Roman" w:hAnsi="Calibri" w:cs="Calibri"/>
                <w:color w:val="000000"/>
                <w:lang w:eastAsia="sk-SK"/>
              </w:rPr>
              <w:t>7</w:t>
            </w:r>
            <w:r w:rsidRPr="00B8306B">
              <w:rPr>
                <w:rFonts w:ascii="Calibri" w:eastAsia="Times New Roman" w:hAnsi="Calibri" w:cs="Calibri"/>
                <w:color w:val="000000"/>
                <w:lang w:eastAsia="sk-SK"/>
              </w:rPr>
              <w:t>36 314,12</w:t>
            </w:r>
          </w:p>
        </w:tc>
        <w:tc>
          <w:tcPr>
            <w:tcW w:w="1990" w:type="dxa"/>
            <w:tcBorders>
              <w:top w:val="nil"/>
              <w:left w:val="nil"/>
              <w:bottom w:val="nil"/>
              <w:right w:val="nil"/>
            </w:tcBorders>
            <w:shd w:val="clear" w:color="auto" w:fill="auto"/>
            <w:noWrap/>
            <w:vAlign w:val="center"/>
            <w:hideMark/>
          </w:tcPr>
          <w:p w14:paraId="651A86E7" w14:textId="77777777"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5 319 195,48</w:t>
            </w:r>
          </w:p>
        </w:tc>
        <w:tc>
          <w:tcPr>
            <w:tcW w:w="1882" w:type="dxa"/>
            <w:tcBorders>
              <w:top w:val="nil"/>
              <w:left w:val="nil"/>
              <w:bottom w:val="nil"/>
              <w:right w:val="nil"/>
            </w:tcBorders>
            <w:shd w:val="clear" w:color="auto" w:fill="auto"/>
            <w:noWrap/>
            <w:vAlign w:val="center"/>
            <w:hideMark/>
          </w:tcPr>
          <w:p w14:paraId="45B6405B" w14:textId="77777777"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7 143 394,00</w:t>
            </w:r>
          </w:p>
        </w:tc>
      </w:tr>
      <w:tr w:rsidR="00B8306B" w:rsidRPr="00B8306B" w14:paraId="4B2138EA" w14:textId="77777777" w:rsidTr="00B73789">
        <w:trPr>
          <w:trHeight w:val="263"/>
        </w:trPr>
        <w:tc>
          <w:tcPr>
            <w:tcW w:w="3685" w:type="dxa"/>
            <w:tcBorders>
              <w:top w:val="nil"/>
              <w:left w:val="nil"/>
              <w:bottom w:val="nil"/>
              <w:right w:val="nil"/>
            </w:tcBorders>
            <w:shd w:val="clear" w:color="auto" w:fill="auto"/>
            <w:noWrap/>
            <w:vAlign w:val="center"/>
            <w:hideMark/>
          </w:tcPr>
          <w:p w14:paraId="6D1B4361" w14:textId="77777777" w:rsidR="00B8306B" w:rsidRPr="00B8306B" w:rsidRDefault="00B8306B" w:rsidP="00B8306B">
            <w:pPr>
              <w:spacing w:after="0" w:line="240" w:lineRule="auto"/>
              <w:rPr>
                <w:rFonts w:ascii="Calibri" w:eastAsia="Times New Roman" w:hAnsi="Calibri" w:cs="Calibri"/>
                <w:color w:val="000000"/>
                <w:lang w:eastAsia="sk-SK"/>
              </w:rPr>
            </w:pPr>
            <w:r w:rsidRPr="00B8306B">
              <w:rPr>
                <w:rFonts w:ascii="Calibri" w:eastAsia="Times New Roman" w:hAnsi="Calibri" w:cs="Calibri"/>
                <w:color w:val="000000"/>
                <w:lang w:eastAsia="sk-SK"/>
              </w:rPr>
              <w:t>Zdravotníctvo</w:t>
            </w:r>
          </w:p>
        </w:tc>
        <w:tc>
          <w:tcPr>
            <w:tcW w:w="2878" w:type="dxa"/>
            <w:tcBorders>
              <w:top w:val="nil"/>
              <w:left w:val="nil"/>
              <w:bottom w:val="nil"/>
              <w:right w:val="nil"/>
            </w:tcBorders>
            <w:shd w:val="clear" w:color="000000" w:fill="D9D9D9"/>
            <w:noWrap/>
            <w:vAlign w:val="center"/>
            <w:hideMark/>
          </w:tcPr>
          <w:p w14:paraId="49F4C05F" w14:textId="77777777"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1 342 560,00</w:t>
            </w:r>
          </w:p>
        </w:tc>
        <w:tc>
          <w:tcPr>
            <w:tcW w:w="1990" w:type="dxa"/>
            <w:tcBorders>
              <w:top w:val="nil"/>
              <w:left w:val="nil"/>
              <w:bottom w:val="nil"/>
              <w:right w:val="nil"/>
            </w:tcBorders>
            <w:shd w:val="clear" w:color="auto" w:fill="auto"/>
            <w:noWrap/>
            <w:vAlign w:val="center"/>
            <w:hideMark/>
          </w:tcPr>
          <w:p w14:paraId="4D84D826" w14:textId="77777777"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1 357 000,00</w:t>
            </w:r>
          </w:p>
        </w:tc>
        <w:tc>
          <w:tcPr>
            <w:tcW w:w="1882" w:type="dxa"/>
            <w:tcBorders>
              <w:top w:val="nil"/>
              <w:left w:val="nil"/>
              <w:bottom w:val="nil"/>
              <w:right w:val="nil"/>
            </w:tcBorders>
            <w:shd w:val="clear" w:color="auto" w:fill="auto"/>
            <w:noWrap/>
            <w:vAlign w:val="center"/>
            <w:hideMark/>
          </w:tcPr>
          <w:p w14:paraId="7C650943" w14:textId="77777777"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0,00</w:t>
            </w:r>
          </w:p>
        </w:tc>
      </w:tr>
      <w:tr w:rsidR="00B8306B" w:rsidRPr="00B8306B" w14:paraId="5B149676" w14:textId="77777777" w:rsidTr="00B73789">
        <w:trPr>
          <w:trHeight w:val="276"/>
        </w:trPr>
        <w:tc>
          <w:tcPr>
            <w:tcW w:w="3685" w:type="dxa"/>
            <w:tcBorders>
              <w:top w:val="nil"/>
              <w:left w:val="nil"/>
              <w:bottom w:val="nil"/>
              <w:right w:val="nil"/>
            </w:tcBorders>
            <w:shd w:val="clear" w:color="auto" w:fill="auto"/>
            <w:noWrap/>
            <w:vAlign w:val="center"/>
            <w:hideMark/>
          </w:tcPr>
          <w:p w14:paraId="5491404C" w14:textId="4C759DA2" w:rsidR="00B8306B" w:rsidRPr="00B8306B" w:rsidRDefault="00B8306B" w:rsidP="00B8306B">
            <w:pPr>
              <w:spacing w:after="0" w:line="240" w:lineRule="auto"/>
              <w:rPr>
                <w:rFonts w:ascii="Calibri" w:eastAsia="Times New Roman" w:hAnsi="Calibri" w:cs="Calibri"/>
                <w:color w:val="000000"/>
                <w:lang w:eastAsia="sk-SK"/>
              </w:rPr>
            </w:pPr>
            <w:r w:rsidRPr="00B8306B">
              <w:rPr>
                <w:rFonts w:ascii="Calibri" w:eastAsia="Times New Roman" w:hAnsi="Calibri" w:cs="Calibri"/>
                <w:color w:val="000000"/>
                <w:lang w:eastAsia="sk-SK"/>
              </w:rPr>
              <w:t>Úrad</w:t>
            </w:r>
            <w:r w:rsidR="00F07D43">
              <w:rPr>
                <w:rFonts w:ascii="Calibri" w:eastAsia="Times New Roman" w:hAnsi="Calibri" w:cs="Calibri"/>
                <w:color w:val="000000"/>
                <w:lang w:eastAsia="sk-SK"/>
              </w:rPr>
              <w:t xml:space="preserve"> </w:t>
            </w:r>
            <w:r w:rsidRPr="00B8306B">
              <w:rPr>
                <w:rFonts w:ascii="Calibri" w:eastAsia="Times New Roman" w:hAnsi="Calibri" w:cs="Calibri"/>
                <w:color w:val="000000"/>
                <w:lang w:eastAsia="sk-SK"/>
              </w:rPr>
              <w:t xml:space="preserve">+ rezerva pre </w:t>
            </w:r>
            <w:proofErr w:type="spellStart"/>
            <w:r w:rsidRPr="00B8306B">
              <w:rPr>
                <w:rFonts w:ascii="Calibri" w:eastAsia="Times New Roman" w:hAnsi="Calibri" w:cs="Calibri"/>
                <w:color w:val="000000"/>
                <w:lang w:eastAsia="sk-SK"/>
              </w:rPr>
              <w:t>OvZP</w:t>
            </w:r>
            <w:proofErr w:type="spellEnd"/>
            <w:r w:rsidR="00B73789">
              <w:rPr>
                <w:rFonts w:ascii="Calibri" w:eastAsia="Times New Roman" w:hAnsi="Calibri" w:cs="Calibri"/>
                <w:color w:val="000000"/>
                <w:lang w:eastAsia="sk-SK"/>
              </w:rPr>
              <w:t xml:space="preserve"> </w:t>
            </w:r>
            <w:r w:rsidRPr="00B8306B">
              <w:rPr>
                <w:rFonts w:ascii="Calibri" w:eastAsia="Times New Roman" w:hAnsi="Calibri" w:cs="Calibri"/>
                <w:color w:val="000000"/>
                <w:lang w:eastAsia="sk-SK"/>
              </w:rPr>
              <w:t>BSK</w:t>
            </w:r>
          </w:p>
        </w:tc>
        <w:tc>
          <w:tcPr>
            <w:tcW w:w="2878" w:type="dxa"/>
            <w:tcBorders>
              <w:top w:val="nil"/>
              <w:left w:val="nil"/>
              <w:bottom w:val="nil"/>
              <w:right w:val="nil"/>
            </w:tcBorders>
            <w:shd w:val="clear" w:color="000000" w:fill="D9D9D9"/>
            <w:noWrap/>
            <w:vAlign w:val="center"/>
            <w:hideMark/>
          </w:tcPr>
          <w:p w14:paraId="635C94E6" w14:textId="18F36B69"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1</w:t>
            </w:r>
            <w:r w:rsidR="00636D11">
              <w:rPr>
                <w:rFonts w:ascii="Calibri" w:eastAsia="Times New Roman" w:hAnsi="Calibri" w:cs="Calibri"/>
                <w:color w:val="000000"/>
                <w:lang w:eastAsia="sk-SK"/>
              </w:rPr>
              <w:t> 956 364,50</w:t>
            </w:r>
          </w:p>
        </w:tc>
        <w:tc>
          <w:tcPr>
            <w:tcW w:w="1990" w:type="dxa"/>
            <w:tcBorders>
              <w:top w:val="nil"/>
              <w:left w:val="nil"/>
              <w:bottom w:val="nil"/>
              <w:right w:val="nil"/>
            </w:tcBorders>
            <w:shd w:val="clear" w:color="auto" w:fill="auto"/>
            <w:noWrap/>
            <w:vAlign w:val="center"/>
            <w:hideMark/>
          </w:tcPr>
          <w:p w14:paraId="71C92DF8" w14:textId="77777777"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2 734 543,00</w:t>
            </w:r>
          </w:p>
        </w:tc>
        <w:tc>
          <w:tcPr>
            <w:tcW w:w="1882" w:type="dxa"/>
            <w:tcBorders>
              <w:top w:val="nil"/>
              <w:left w:val="nil"/>
              <w:bottom w:val="nil"/>
              <w:right w:val="nil"/>
            </w:tcBorders>
            <w:shd w:val="clear" w:color="auto" w:fill="auto"/>
            <w:noWrap/>
            <w:vAlign w:val="center"/>
            <w:hideMark/>
          </w:tcPr>
          <w:p w14:paraId="4DF56AF2" w14:textId="77777777" w:rsidR="00B8306B" w:rsidRPr="00B8306B" w:rsidRDefault="00B8306B" w:rsidP="00B8306B">
            <w:pPr>
              <w:spacing w:after="0" w:line="240" w:lineRule="auto"/>
              <w:jc w:val="right"/>
              <w:rPr>
                <w:rFonts w:ascii="Calibri" w:eastAsia="Times New Roman" w:hAnsi="Calibri" w:cs="Calibri"/>
                <w:color w:val="000000"/>
                <w:lang w:eastAsia="sk-SK"/>
              </w:rPr>
            </w:pPr>
            <w:r w:rsidRPr="00B8306B">
              <w:rPr>
                <w:rFonts w:ascii="Calibri" w:eastAsia="Times New Roman" w:hAnsi="Calibri" w:cs="Calibri"/>
                <w:color w:val="000000"/>
                <w:lang w:eastAsia="sk-SK"/>
              </w:rPr>
              <w:t>2 097 500,00</w:t>
            </w:r>
          </w:p>
        </w:tc>
      </w:tr>
      <w:tr w:rsidR="00B8306B" w:rsidRPr="00B8306B" w14:paraId="596B2E48" w14:textId="77777777" w:rsidTr="00B73789">
        <w:trPr>
          <w:trHeight w:val="276"/>
        </w:trPr>
        <w:tc>
          <w:tcPr>
            <w:tcW w:w="3685" w:type="dxa"/>
            <w:tcBorders>
              <w:top w:val="single" w:sz="8" w:space="0" w:color="366092"/>
              <w:left w:val="nil"/>
              <w:bottom w:val="single" w:sz="8" w:space="0" w:color="366092"/>
              <w:right w:val="nil"/>
            </w:tcBorders>
            <w:shd w:val="clear" w:color="auto" w:fill="auto"/>
            <w:noWrap/>
            <w:vAlign w:val="center"/>
            <w:hideMark/>
          </w:tcPr>
          <w:p w14:paraId="3FDD10D2" w14:textId="77777777" w:rsidR="00B8306B" w:rsidRPr="00B8306B" w:rsidRDefault="00B8306B" w:rsidP="00B8306B">
            <w:pPr>
              <w:spacing w:after="0" w:line="240" w:lineRule="auto"/>
              <w:rPr>
                <w:rFonts w:ascii="Calibri" w:eastAsia="Times New Roman" w:hAnsi="Calibri" w:cs="Calibri"/>
                <w:b/>
                <w:bCs/>
                <w:color w:val="000000"/>
                <w:lang w:eastAsia="sk-SK"/>
              </w:rPr>
            </w:pPr>
            <w:r w:rsidRPr="00B8306B">
              <w:rPr>
                <w:rFonts w:ascii="Calibri" w:eastAsia="Times New Roman" w:hAnsi="Calibri" w:cs="Calibri"/>
                <w:b/>
                <w:bCs/>
                <w:color w:val="000000"/>
                <w:lang w:eastAsia="sk-SK"/>
              </w:rPr>
              <w:t>Celkový súčet</w:t>
            </w:r>
          </w:p>
        </w:tc>
        <w:tc>
          <w:tcPr>
            <w:tcW w:w="2878" w:type="dxa"/>
            <w:tcBorders>
              <w:top w:val="single" w:sz="8" w:space="0" w:color="366092"/>
              <w:left w:val="nil"/>
              <w:bottom w:val="single" w:sz="8" w:space="0" w:color="366092"/>
              <w:right w:val="nil"/>
            </w:tcBorders>
            <w:shd w:val="clear" w:color="000000" w:fill="D9D9D9"/>
            <w:noWrap/>
            <w:vAlign w:val="center"/>
            <w:hideMark/>
          </w:tcPr>
          <w:p w14:paraId="1EDB2DF8" w14:textId="33558F70" w:rsidR="00B8306B" w:rsidRPr="00B8306B" w:rsidRDefault="00B8306B" w:rsidP="00B8306B">
            <w:pPr>
              <w:spacing w:after="0" w:line="240" w:lineRule="auto"/>
              <w:jc w:val="right"/>
              <w:rPr>
                <w:rFonts w:ascii="Calibri" w:eastAsia="Times New Roman" w:hAnsi="Calibri" w:cs="Calibri"/>
                <w:b/>
                <w:bCs/>
                <w:color w:val="000000"/>
                <w:lang w:eastAsia="sk-SK"/>
              </w:rPr>
            </w:pPr>
            <w:r w:rsidRPr="00B8306B">
              <w:rPr>
                <w:rFonts w:ascii="Calibri" w:eastAsia="Times New Roman" w:hAnsi="Calibri" w:cs="Calibri"/>
                <w:b/>
                <w:bCs/>
                <w:color w:val="000000"/>
                <w:lang w:eastAsia="sk-SK"/>
              </w:rPr>
              <w:t xml:space="preserve">10 </w:t>
            </w:r>
            <w:r w:rsidR="001B1DA0">
              <w:rPr>
                <w:rFonts w:ascii="Calibri" w:eastAsia="Times New Roman" w:hAnsi="Calibri" w:cs="Calibri"/>
                <w:b/>
                <w:bCs/>
                <w:color w:val="000000"/>
                <w:lang w:eastAsia="sk-SK"/>
              </w:rPr>
              <w:t>8</w:t>
            </w:r>
            <w:r w:rsidRPr="00B8306B">
              <w:rPr>
                <w:rFonts w:ascii="Calibri" w:eastAsia="Times New Roman" w:hAnsi="Calibri" w:cs="Calibri"/>
                <w:b/>
                <w:bCs/>
                <w:color w:val="000000"/>
                <w:lang w:eastAsia="sk-SK"/>
              </w:rPr>
              <w:t>65 034,86</w:t>
            </w:r>
          </w:p>
        </w:tc>
        <w:tc>
          <w:tcPr>
            <w:tcW w:w="1990" w:type="dxa"/>
            <w:tcBorders>
              <w:top w:val="single" w:sz="8" w:space="0" w:color="366092"/>
              <w:left w:val="nil"/>
              <w:bottom w:val="single" w:sz="8" w:space="0" w:color="366092"/>
              <w:right w:val="nil"/>
            </w:tcBorders>
            <w:shd w:val="clear" w:color="000000" w:fill="D9D9D9"/>
            <w:noWrap/>
            <w:vAlign w:val="center"/>
            <w:hideMark/>
          </w:tcPr>
          <w:p w14:paraId="597F493A" w14:textId="77777777" w:rsidR="00B8306B" w:rsidRPr="00B8306B" w:rsidRDefault="00B8306B" w:rsidP="00B8306B">
            <w:pPr>
              <w:spacing w:after="0" w:line="240" w:lineRule="auto"/>
              <w:jc w:val="right"/>
              <w:rPr>
                <w:rFonts w:ascii="Calibri" w:eastAsia="Times New Roman" w:hAnsi="Calibri" w:cs="Calibri"/>
                <w:b/>
                <w:bCs/>
                <w:color w:val="000000"/>
                <w:lang w:eastAsia="sk-SK"/>
              </w:rPr>
            </w:pPr>
            <w:r w:rsidRPr="00B8306B">
              <w:rPr>
                <w:rFonts w:ascii="Calibri" w:eastAsia="Times New Roman" w:hAnsi="Calibri" w:cs="Calibri"/>
                <w:b/>
                <w:bCs/>
                <w:color w:val="000000"/>
                <w:lang w:eastAsia="sk-SK"/>
              </w:rPr>
              <w:t>9 780 308,48</w:t>
            </w:r>
          </w:p>
        </w:tc>
        <w:tc>
          <w:tcPr>
            <w:tcW w:w="1882" w:type="dxa"/>
            <w:tcBorders>
              <w:top w:val="single" w:sz="8" w:space="0" w:color="366092"/>
              <w:left w:val="nil"/>
              <w:bottom w:val="single" w:sz="8" w:space="0" w:color="366092"/>
              <w:right w:val="nil"/>
            </w:tcBorders>
            <w:shd w:val="clear" w:color="000000" w:fill="D9D9D9"/>
            <w:noWrap/>
            <w:vAlign w:val="center"/>
            <w:hideMark/>
          </w:tcPr>
          <w:p w14:paraId="03291083" w14:textId="77777777" w:rsidR="00B8306B" w:rsidRPr="00B8306B" w:rsidRDefault="00B8306B" w:rsidP="00B8306B">
            <w:pPr>
              <w:spacing w:after="0" w:line="240" w:lineRule="auto"/>
              <w:jc w:val="right"/>
              <w:rPr>
                <w:rFonts w:ascii="Calibri" w:eastAsia="Times New Roman" w:hAnsi="Calibri" w:cs="Calibri"/>
                <w:b/>
                <w:bCs/>
                <w:color w:val="000000"/>
                <w:lang w:eastAsia="sk-SK"/>
              </w:rPr>
            </w:pPr>
            <w:r w:rsidRPr="00B8306B">
              <w:rPr>
                <w:rFonts w:ascii="Calibri" w:eastAsia="Times New Roman" w:hAnsi="Calibri" w:cs="Calibri"/>
                <w:b/>
                <w:bCs/>
                <w:color w:val="000000"/>
                <w:lang w:eastAsia="sk-SK"/>
              </w:rPr>
              <w:t>9 755 894,00</w:t>
            </w:r>
          </w:p>
        </w:tc>
      </w:tr>
    </w:tbl>
    <w:p w14:paraId="762B3784" w14:textId="77777777" w:rsidR="006E657B" w:rsidRDefault="006E657B" w:rsidP="006E657B">
      <w:pPr>
        <w:spacing w:after="0" w:line="240" w:lineRule="auto"/>
        <w:rPr>
          <w:rFonts w:eastAsia="Times New Roman" w:cstheme="minorHAnsi"/>
          <w:sz w:val="24"/>
          <w:szCs w:val="24"/>
        </w:rPr>
      </w:pPr>
    </w:p>
    <w:p w14:paraId="499AEE44" w14:textId="61D2FC70" w:rsidR="00357DE9" w:rsidRDefault="00357DE9" w:rsidP="006E657B">
      <w:pPr>
        <w:spacing w:after="0" w:line="240" w:lineRule="auto"/>
        <w:rPr>
          <w:rFonts w:eastAsia="Times New Roman" w:cstheme="minorHAnsi"/>
          <w:sz w:val="24"/>
          <w:szCs w:val="24"/>
        </w:rPr>
      </w:pPr>
      <w:r>
        <w:rPr>
          <w:rFonts w:eastAsia="Times New Roman" w:cstheme="minorHAnsi"/>
          <w:sz w:val="24"/>
          <w:szCs w:val="24"/>
        </w:rPr>
        <w:t>Podrobný rozpis IP BSK na roky 202</w:t>
      </w:r>
      <w:r w:rsidR="00652FDF">
        <w:rPr>
          <w:rFonts w:eastAsia="Times New Roman" w:cstheme="minorHAnsi"/>
          <w:sz w:val="24"/>
          <w:szCs w:val="24"/>
        </w:rPr>
        <w:t>5</w:t>
      </w:r>
      <w:r>
        <w:rPr>
          <w:rFonts w:eastAsia="Times New Roman" w:cstheme="minorHAnsi"/>
          <w:sz w:val="24"/>
          <w:szCs w:val="24"/>
        </w:rPr>
        <w:t xml:space="preserve"> -202</w:t>
      </w:r>
      <w:r w:rsidR="00652FDF">
        <w:rPr>
          <w:rFonts w:eastAsia="Times New Roman" w:cstheme="minorHAnsi"/>
          <w:sz w:val="24"/>
          <w:szCs w:val="24"/>
        </w:rPr>
        <w:t>7</w:t>
      </w:r>
      <w:r>
        <w:rPr>
          <w:rFonts w:eastAsia="Times New Roman" w:cstheme="minorHAnsi"/>
          <w:sz w:val="24"/>
          <w:szCs w:val="24"/>
        </w:rPr>
        <w:t xml:space="preserve"> tvorí prílohu, rozpočtovaný je v </w:t>
      </w:r>
      <w:r w:rsidRPr="00AC6DB4">
        <w:rPr>
          <w:rFonts w:eastAsia="Times New Roman" w:cstheme="minorHAnsi"/>
          <w:sz w:val="24"/>
          <w:szCs w:val="24"/>
        </w:rPr>
        <w:t>Podprogram</w:t>
      </w:r>
      <w:r>
        <w:rPr>
          <w:rFonts w:eastAsia="Times New Roman" w:cstheme="minorHAnsi"/>
          <w:sz w:val="24"/>
          <w:szCs w:val="24"/>
        </w:rPr>
        <w:t>e</w:t>
      </w:r>
      <w:r w:rsidRPr="00AC6DB4">
        <w:rPr>
          <w:rFonts w:eastAsia="Times New Roman" w:cstheme="minorHAnsi"/>
          <w:sz w:val="24"/>
          <w:szCs w:val="24"/>
        </w:rPr>
        <w:t xml:space="preserve"> 3.3: Majetok- investície, údržba</w:t>
      </w:r>
      <w:r>
        <w:rPr>
          <w:rFonts w:eastAsia="Times New Roman" w:cstheme="minorHAnsi"/>
          <w:sz w:val="24"/>
          <w:szCs w:val="24"/>
        </w:rPr>
        <w:t>. Roky 202</w:t>
      </w:r>
      <w:r w:rsidR="00903F90">
        <w:rPr>
          <w:rFonts w:eastAsia="Times New Roman" w:cstheme="minorHAnsi"/>
          <w:sz w:val="24"/>
          <w:szCs w:val="24"/>
        </w:rPr>
        <w:t>6</w:t>
      </w:r>
      <w:r>
        <w:rPr>
          <w:rFonts w:eastAsia="Times New Roman" w:cstheme="minorHAnsi"/>
          <w:sz w:val="24"/>
          <w:szCs w:val="24"/>
        </w:rPr>
        <w:t xml:space="preserve"> a 202</w:t>
      </w:r>
      <w:r w:rsidR="00903F90">
        <w:rPr>
          <w:rFonts w:eastAsia="Times New Roman" w:cstheme="minorHAnsi"/>
          <w:sz w:val="24"/>
          <w:szCs w:val="24"/>
        </w:rPr>
        <w:t>7</w:t>
      </w:r>
      <w:r>
        <w:rPr>
          <w:rFonts w:eastAsia="Times New Roman" w:cstheme="minorHAnsi"/>
          <w:sz w:val="24"/>
          <w:szCs w:val="24"/>
        </w:rPr>
        <w:t xml:space="preserve"> sú len orientačné.</w:t>
      </w:r>
    </w:p>
    <w:p w14:paraId="790AE2D1" w14:textId="77777777" w:rsidR="006E657B" w:rsidRDefault="006E657B" w:rsidP="006E657B">
      <w:pPr>
        <w:spacing w:after="0" w:line="240" w:lineRule="auto"/>
        <w:rPr>
          <w:rFonts w:eastAsia="Times New Roman" w:cstheme="minorHAnsi"/>
          <w:sz w:val="24"/>
          <w:szCs w:val="24"/>
        </w:rPr>
      </w:pPr>
    </w:p>
    <w:p w14:paraId="5285B338" w14:textId="4CA8FD67" w:rsidR="00357DE9" w:rsidRPr="00EA0E2D" w:rsidRDefault="00357DE9" w:rsidP="00357DE9">
      <w:pPr>
        <w:rPr>
          <w:rFonts w:eastAsia="Times New Roman" w:cstheme="minorHAnsi"/>
          <w:b/>
          <w:sz w:val="32"/>
          <w:szCs w:val="32"/>
          <w:lang w:eastAsia="sk-SK"/>
        </w:rPr>
      </w:pPr>
      <w:r w:rsidRPr="00BE59CB">
        <w:rPr>
          <w:rFonts w:cstheme="minorHAnsi"/>
          <w:b/>
          <w:sz w:val="32"/>
          <w:szCs w:val="32"/>
          <w:lang w:eastAsia="sk-SK"/>
        </w:rPr>
        <w:t>3.1 Výdavkové finančné operácie</w:t>
      </w:r>
    </w:p>
    <w:p w14:paraId="6E39482D" w14:textId="5175825F" w:rsidR="00357DE9" w:rsidRPr="00DF3371" w:rsidRDefault="00357DE9" w:rsidP="001F42B0">
      <w:pPr>
        <w:spacing w:line="240" w:lineRule="auto"/>
        <w:jc w:val="both"/>
        <w:rPr>
          <w:rFonts w:cstheme="minorHAnsi"/>
          <w:sz w:val="24"/>
          <w:szCs w:val="24"/>
        </w:rPr>
      </w:pPr>
      <w:r w:rsidRPr="00910EC9">
        <w:rPr>
          <w:rFonts w:cstheme="minorHAnsi"/>
          <w:b/>
          <w:sz w:val="24"/>
          <w:szCs w:val="24"/>
        </w:rPr>
        <w:t>Výdavk</w:t>
      </w:r>
      <w:r>
        <w:rPr>
          <w:rFonts w:cstheme="minorHAnsi"/>
          <w:b/>
          <w:sz w:val="24"/>
          <w:szCs w:val="24"/>
        </w:rPr>
        <w:t xml:space="preserve">ové finančné operácie </w:t>
      </w:r>
      <w:r>
        <w:rPr>
          <w:rFonts w:cstheme="minorHAnsi"/>
          <w:sz w:val="24"/>
          <w:szCs w:val="24"/>
        </w:rPr>
        <w:t xml:space="preserve">sú platby </w:t>
      </w:r>
      <w:r w:rsidRPr="00EE2449">
        <w:rPr>
          <w:rFonts w:cstheme="minorHAnsi"/>
          <w:sz w:val="24"/>
          <w:szCs w:val="24"/>
        </w:rPr>
        <w:t>zo splácania istiny úverov použitých v minulosti, nákupu</w:t>
      </w:r>
      <w:r>
        <w:rPr>
          <w:rFonts w:cstheme="minorHAnsi"/>
          <w:sz w:val="24"/>
          <w:szCs w:val="24"/>
        </w:rPr>
        <w:t xml:space="preserve"> </w:t>
      </w:r>
      <w:r w:rsidRPr="00EE2449">
        <w:rPr>
          <w:rFonts w:cstheme="minorHAnsi"/>
          <w:sz w:val="24"/>
          <w:szCs w:val="24"/>
        </w:rPr>
        <w:t>majetkových účastí a ostatných výdavkových operácií finančných aktív a finančných pasív.</w:t>
      </w:r>
      <w:r w:rsidR="004C1818" w:rsidRPr="00DF3371">
        <w:rPr>
          <w:rFonts w:cstheme="minorHAnsi"/>
          <w:sz w:val="24"/>
          <w:szCs w:val="24"/>
        </w:rPr>
        <w:t xml:space="preserve"> </w:t>
      </w:r>
      <w:r w:rsidRPr="00EE2449">
        <w:rPr>
          <w:rFonts w:cstheme="minorHAnsi"/>
          <w:b/>
          <w:bCs/>
          <w:sz w:val="24"/>
          <w:szCs w:val="24"/>
        </w:rPr>
        <w:t>Pre</w:t>
      </w:r>
      <w:r>
        <w:rPr>
          <w:rFonts w:cstheme="minorHAnsi"/>
          <w:b/>
          <w:sz w:val="24"/>
          <w:szCs w:val="24"/>
        </w:rPr>
        <w:t xml:space="preserve"> rok 202</w:t>
      </w:r>
      <w:r w:rsidR="009F0D61">
        <w:rPr>
          <w:rFonts w:cstheme="minorHAnsi"/>
          <w:b/>
          <w:sz w:val="24"/>
          <w:szCs w:val="24"/>
        </w:rPr>
        <w:t>5</w:t>
      </w:r>
      <w:r w:rsidRPr="00910EC9">
        <w:rPr>
          <w:rFonts w:cstheme="minorHAnsi"/>
          <w:b/>
          <w:sz w:val="24"/>
          <w:szCs w:val="24"/>
        </w:rPr>
        <w:t xml:space="preserve"> </w:t>
      </w:r>
      <w:r>
        <w:rPr>
          <w:rFonts w:cstheme="minorHAnsi"/>
          <w:b/>
          <w:sz w:val="24"/>
          <w:szCs w:val="24"/>
        </w:rPr>
        <w:t xml:space="preserve">ich </w:t>
      </w:r>
      <w:r>
        <w:rPr>
          <w:rFonts w:cstheme="minorHAnsi"/>
          <w:sz w:val="24"/>
          <w:szCs w:val="24"/>
        </w:rPr>
        <w:t>rozpočtujeme</w:t>
      </w:r>
      <w:r w:rsidRPr="00910EC9">
        <w:rPr>
          <w:rFonts w:cstheme="minorHAnsi"/>
          <w:sz w:val="24"/>
          <w:szCs w:val="24"/>
        </w:rPr>
        <w:t xml:space="preserve"> </w:t>
      </w:r>
      <w:r w:rsidR="00AC3BB7" w:rsidRPr="00DF3371">
        <w:rPr>
          <w:rFonts w:cstheme="minorHAnsi"/>
          <w:sz w:val="24"/>
          <w:szCs w:val="24"/>
        </w:rPr>
        <w:t>na splátky poskytnutých úverov v zmysle platných úverových zmlúv</w:t>
      </w:r>
      <w:r w:rsidR="00AC3BB7">
        <w:rPr>
          <w:rFonts w:cstheme="minorHAnsi"/>
          <w:b/>
          <w:sz w:val="24"/>
          <w:szCs w:val="24"/>
        </w:rPr>
        <w:t xml:space="preserve"> </w:t>
      </w:r>
      <w:r>
        <w:rPr>
          <w:rFonts w:cstheme="minorHAnsi"/>
          <w:b/>
          <w:sz w:val="24"/>
          <w:szCs w:val="24"/>
        </w:rPr>
        <w:t xml:space="preserve">v celkovej výške </w:t>
      </w:r>
      <w:r w:rsidR="00842A48">
        <w:rPr>
          <w:rFonts w:cstheme="minorHAnsi"/>
          <w:b/>
          <w:sz w:val="24"/>
          <w:szCs w:val="24"/>
        </w:rPr>
        <w:br/>
      </w:r>
      <w:r w:rsidR="00C27962" w:rsidRPr="00C27962">
        <w:rPr>
          <w:rFonts w:cstheme="minorHAnsi"/>
          <w:b/>
          <w:sz w:val="24"/>
          <w:szCs w:val="24"/>
        </w:rPr>
        <w:t>6 097</w:t>
      </w:r>
      <w:r w:rsidR="00C27962">
        <w:rPr>
          <w:rFonts w:cstheme="minorHAnsi"/>
          <w:b/>
          <w:sz w:val="24"/>
          <w:szCs w:val="24"/>
        </w:rPr>
        <w:t> </w:t>
      </w:r>
      <w:r w:rsidR="00C27962" w:rsidRPr="00C27962">
        <w:rPr>
          <w:rFonts w:cstheme="minorHAnsi"/>
          <w:b/>
          <w:sz w:val="24"/>
          <w:szCs w:val="24"/>
        </w:rPr>
        <w:t>991</w:t>
      </w:r>
      <w:r w:rsidR="00C27962">
        <w:rPr>
          <w:rFonts w:cstheme="minorHAnsi"/>
          <w:b/>
          <w:sz w:val="24"/>
          <w:szCs w:val="24"/>
        </w:rPr>
        <w:t xml:space="preserve"> </w:t>
      </w:r>
      <w:r>
        <w:rPr>
          <w:rFonts w:cstheme="minorHAnsi"/>
          <w:b/>
          <w:sz w:val="24"/>
          <w:szCs w:val="24"/>
        </w:rPr>
        <w:t>€</w:t>
      </w:r>
      <w:r w:rsidR="00842A48">
        <w:rPr>
          <w:rFonts w:cstheme="minorHAnsi"/>
          <w:b/>
          <w:sz w:val="24"/>
          <w:szCs w:val="24"/>
        </w:rPr>
        <w:t xml:space="preserve">. </w:t>
      </w:r>
      <w:r w:rsidR="007353A7" w:rsidRPr="00DF3371">
        <w:rPr>
          <w:rFonts w:cstheme="minorHAnsi"/>
          <w:sz w:val="24"/>
          <w:szCs w:val="24"/>
        </w:rPr>
        <w:t xml:space="preserve">Z celkových výdavkov rozpočtu BSK tvoria </w:t>
      </w:r>
      <w:r w:rsidR="003564BE">
        <w:rPr>
          <w:rFonts w:cstheme="minorHAnsi"/>
          <w:sz w:val="24"/>
          <w:szCs w:val="24"/>
        </w:rPr>
        <w:t>1,90</w:t>
      </w:r>
      <w:r w:rsidR="007353A7" w:rsidRPr="00DF3371">
        <w:rPr>
          <w:rFonts w:cstheme="minorHAnsi"/>
          <w:sz w:val="24"/>
          <w:szCs w:val="24"/>
        </w:rPr>
        <w:t>%</w:t>
      </w:r>
      <w:r w:rsidR="00493685">
        <w:rPr>
          <w:rFonts w:cstheme="minorHAnsi"/>
          <w:sz w:val="24"/>
          <w:szCs w:val="24"/>
        </w:rPr>
        <w:t>.</w:t>
      </w:r>
    </w:p>
    <w:tbl>
      <w:tblPr>
        <w:tblW w:w="10800" w:type="dxa"/>
        <w:tblCellMar>
          <w:left w:w="70" w:type="dxa"/>
          <w:right w:w="70" w:type="dxa"/>
        </w:tblCellMar>
        <w:tblLook w:val="04A0" w:firstRow="1" w:lastRow="0" w:firstColumn="1" w:lastColumn="0" w:noHBand="0" w:noVBand="1"/>
      </w:tblPr>
      <w:tblGrid>
        <w:gridCol w:w="3056"/>
        <w:gridCol w:w="1123"/>
        <w:gridCol w:w="1143"/>
        <w:gridCol w:w="1100"/>
        <w:gridCol w:w="1100"/>
        <w:gridCol w:w="1100"/>
        <w:gridCol w:w="1078"/>
        <w:gridCol w:w="1100"/>
      </w:tblGrid>
      <w:tr w:rsidR="00B95B16" w:rsidRPr="003E2140" w14:paraId="25161E54" w14:textId="77777777" w:rsidTr="00586D69">
        <w:trPr>
          <w:trHeight w:val="366"/>
        </w:trPr>
        <w:tc>
          <w:tcPr>
            <w:tcW w:w="3056" w:type="dxa"/>
            <w:tcBorders>
              <w:top w:val="single" w:sz="8" w:space="0" w:color="366092"/>
              <w:left w:val="nil"/>
              <w:bottom w:val="single" w:sz="8" w:space="0" w:color="F2F2F2"/>
              <w:right w:val="nil"/>
            </w:tcBorders>
            <w:shd w:val="clear" w:color="000000" w:fill="366092"/>
            <w:noWrap/>
            <w:vAlign w:val="center"/>
            <w:hideMark/>
          </w:tcPr>
          <w:p w14:paraId="34FF3D2C" w14:textId="77777777" w:rsidR="00B95B16" w:rsidRPr="003E2140" w:rsidRDefault="00B95B16" w:rsidP="00B95B16">
            <w:pPr>
              <w:spacing w:after="0" w:line="240" w:lineRule="auto"/>
              <w:rPr>
                <w:rFonts w:ascii="Calibri" w:eastAsia="Times New Roman" w:hAnsi="Calibri" w:cs="Calibri"/>
                <w:b/>
                <w:bCs/>
                <w:color w:val="FFFFFF"/>
                <w:sz w:val="16"/>
                <w:szCs w:val="16"/>
                <w:lang w:eastAsia="sk-SK"/>
              </w:rPr>
            </w:pPr>
            <w:r w:rsidRPr="003E2140">
              <w:rPr>
                <w:rFonts w:ascii="Calibri" w:eastAsia="Times New Roman" w:hAnsi="Calibri" w:cs="Calibri"/>
                <w:b/>
                <w:bCs/>
                <w:color w:val="FFFFFF"/>
                <w:sz w:val="16"/>
                <w:szCs w:val="16"/>
                <w:lang w:eastAsia="sk-SK"/>
              </w:rPr>
              <w:t>Ukazovateľ</w:t>
            </w:r>
          </w:p>
        </w:tc>
        <w:tc>
          <w:tcPr>
            <w:tcW w:w="1123" w:type="dxa"/>
            <w:tcBorders>
              <w:top w:val="nil"/>
              <w:left w:val="nil"/>
              <w:bottom w:val="single" w:sz="8" w:space="0" w:color="F2F2F2"/>
              <w:right w:val="nil"/>
            </w:tcBorders>
            <w:shd w:val="clear" w:color="000000" w:fill="366092"/>
            <w:noWrap/>
            <w:vAlign w:val="bottom"/>
            <w:hideMark/>
          </w:tcPr>
          <w:p w14:paraId="3EDA9368" w14:textId="76B11079" w:rsidR="00B95B16" w:rsidRPr="00B95B16" w:rsidRDefault="00B95B16" w:rsidP="00B95B16">
            <w:pPr>
              <w:spacing w:after="0" w:line="240" w:lineRule="auto"/>
              <w:jc w:val="center"/>
              <w:rPr>
                <w:rFonts w:ascii="Calibri" w:eastAsia="Times New Roman" w:hAnsi="Calibri" w:cs="Calibri"/>
                <w:b/>
                <w:bCs/>
                <w:color w:val="FFFFFF"/>
                <w:sz w:val="20"/>
                <w:szCs w:val="20"/>
                <w:lang w:eastAsia="sk-SK"/>
              </w:rPr>
            </w:pPr>
            <w:r w:rsidRPr="00B95B16">
              <w:rPr>
                <w:rFonts w:ascii="Calibri" w:hAnsi="Calibri" w:cs="Calibri"/>
                <w:b/>
                <w:bCs/>
                <w:color w:val="FFFFFF"/>
                <w:sz w:val="20"/>
                <w:szCs w:val="20"/>
              </w:rPr>
              <w:t>2022 (S)</w:t>
            </w:r>
          </w:p>
        </w:tc>
        <w:tc>
          <w:tcPr>
            <w:tcW w:w="1143" w:type="dxa"/>
            <w:tcBorders>
              <w:top w:val="nil"/>
              <w:left w:val="nil"/>
              <w:bottom w:val="single" w:sz="8" w:space="0" w:color="F2F2F2"/>
              <w:right w:val="nil"/>
            </w:tcBorders>
            <w:shd w:val="clear" w:color="000000" w:fill="366092"/>
            <w:noWrap/>
            <w:vAlign w:val="bottom"/>
            <w:hideMark/>
          </w:tcPr>
          <w:p w14:paraId="6255CF20" w14:textId="6B8F1FE2" w:rsidR="00B95B16" w:rsidRPr="00B95B16" w:rsidRDefault="00B95B16" w:rsidP="00B95B16">
            <w:pPr>
              <w:spacing w:after="0" w:line="240" w:lineRule="auto"/>
              <w:jc w:val="center"/>
              <w:rPr>
                <w:rFonts w:ascii="Calibri" w:eastAsia="Times New Roman" w:hAnsi="Calibri" w:cs="Calibri"/>
                <w:b/>
                <w:bCs/>
                <w:color w:val="FFFFFF"/>
                <w:sz w:val="20"/>
                <w:szCs w:val="20"/>
                <w:lang w:eastAsia="sk-SK"/>
              </w:rPr>
            </w:pPr>
            <w:r w:rsidRPr="00B95B16">
              <w:rPr>
                <w:rFonts w:ascii="Calibri" w:hAnsi="Calibri" w:cs="Calibri"/>
                <w:b/>
                <w:bCs/>
                <w:color w:val="FFFFFF"/>
                <w:sz w:val="20"/>
                <w:szCs w:val="20"/>
              </w:rPr>
              <w:t xml:space="preserve">2023 (S) </w:t>
            </w:r>
          </w:p>
        </w:tc>
        <w:tc>
          <w:tcPr>
            <w:tcW w:w="1100" w:type="dxa"/>
            <w:tcBorders>
              <w:top w:val="nil"/>
              <w:left w:val="nil"/>
              <w:bottom w:val="single" w:sz="8" w:space="0" w:color="F2F2F2"/>
              <w:right w:val="nil"/>
            </w:tcBorders>
            <w:shd w:val="clear" w:color="000000" w:fill="366092"/>
            <w:noWrap/>
            <w:vAlign w:val="bottom"/>
            <w:hideMark/>
          </w:tcPr>
          <w:p w14:paraId="10F7F05F" w14:textId="29F76865" w:rsidR="00B95B16" w:rsidRPr="00B95B16" w:rsidRDefault="00B95B16" w:rsidP="00B95B16">
            <w:pPr>
              <w:spacing w:after="0" w:line="240" w:lineRule="auto"/>
              <w:jc w:val="center"/>
              <w:rPr>
                <w:rFonts w:ascii="Calibri" w:eastAsia="Times New Roman" w:hAnsi="Calibri" w:cs="Calibri"/>
                <w:b/>
                <w:bCs/>
                <w:color w:val="FFFFFF"/>
                <w:sz w:val="20"/>
                <w:szCs w:val="20"/>
                <w:lang w:eastAsia="sk-SK"/>
              </w:rPr>
            </w:pPr>
            <w:r w:rsidRPr="00B95B16">
              <w:rPr>
                <w:rFonts w:ascii="Calibri" w:hAnsi="Calibri" w:cs="Calibri"/>
                <w:b/>
                <w:bCs/>
                <w:color w:val="FFFFFF"/>
                <w:sz w:val="20"/>
                <w:szCs w:val="20"/>
              </w:rPr>
              <w:t xml:space="preserve"> 2024 (SR) </w:t>
            </w:r>
          </w:p>
        </w:tc>
        <w:tc>
          <w:tcPr>
            <w:tcW w:w="1100" w:type="dxa"/>
            <w:tcBorders>
              <w:top w:val="nil"/>
              <w:left w:val="nil"/>
              <w:bottom w:val="single" w:sz="8" w:space="0" w:color="F2F2F2"/>
              <w:right w:val="nil"/>
            </w:tcBorders>
            <w:shd w:val="clear" w:color="000000" w:fill="366092"/>
            <w:noWrap/>
            <w:vAlign w:val="bottom"/>
            <w:hideMark/>
          </w:tcPr>
          <w:p w14:paraId="12CD15A7" w14:textId="4D243971" w:rsidR="00B95B16" w:rsidRPr="00B95B16" w:rsidRDefault="00B95B16" w:rsidP="00B95B16">
            <w:pPr>
              <w:spacing w:after="0" w:line="240" w:lineRule="auto"/>
              <w:jc w:val="center"/>
              <w:rPr>
                <w:rFonts w:ascii="Calibri" w:eastAsia="Times New Roman" w:hAnsi="Calibri" w:cs="Calibri"/>
                <w:b/>
                <w:bCs/>
                <w:color w:val="FFFFFF"/>
                <w:sz w:val="20"/>
                <w:szCs w:val="20"/>
                <w:lang w:eastAsia="sk-SK"/>
              </w:rPr>
            </w:pPr>
            <w:r w:rsidRPr="00B95B16">
              <w:rPr>
                <w:rFonts w:ascii="Calibri" w:hAnsi="Calibri" w:cs="Calibri"/>
                <w:b/>
                <w:bCs/>
                <w:color w:val="FFFFFF"/>
                <w:sz w:val="20"/>
                <w:szCs w:val="20"/>
              </w:rPr>
              <w:t xml:space="preserve"> 2024 (OS) </w:t>
            </w:r>
          </w:p>
        </w:tc>
        <w:tc>
          <w:tcPr>
            <w:tcW w:w="1100" w:type="dxa"/>
            <w:tcBorders>
              <w:top w:val="nil"/>
              <w:left w:val="nil"/>
              <w:bottom w:val="single" w:sz="8" w:space="0" w:color="F2F2F2"/>
              <w:right w:val="nil"/>
            </w:tcBorders>
            <w:shd w:val="clear" w:color="000000" w:fill="366092"/>
            <w:noWrap/>
            <w:vAlign w:val="bottom"/>
            <w:hideMark/>
          </w:tcPr>
          <w:p w14:paraId="60C4506D" w14:textId="389AD577" w:rsidR="00B95B16" w:rsidRPr="00B95B16" w:rsidRDefault="00B95B16" w:rsidP="00B95B16">
            <w:pPr>
              <w:spacing w:after="0" w:line="240" w:lineRule="auto"/>
              <w:jc w:val="center"/>
              <w:rPr>
                <w:rFonts w:ascii="Calibri" w:eastAsia="Times New Roman" w:hAnsi="Calibri" w:cs="Calibri"/>
                <w:b/>
                <w:bCs/>
                <w:color w:val="FFFFFF"/>
                <w:sz w:val="20"/>
                <w:szCs w:val="20"/>
                <w:lang w:eastAsia="sk-SK"/>
              </w:rPr>
            </w:pPr>
            <w:r w:rsidRPr="00B95B16">
              <w:rPr>
                <w:rFonts w:ascii="Calibri" w:hAnsi="Calibri" w:cs="Calibri"/>
                <w:b/>
                <w:bCs/>
                <w:color w:val="FFFFFF"/>
                <w:sz w:val="20"/>
                <w:szCs w:val="20"/>
              </w:rPr>
              <w:t xml:space="preserve">2025 (N) </w:t>
            </w:r>
          </w:p>
        </w:tc>
        <w:tc>
          <w:tcPr>
            <w:tcW w:w="1078" w:type="dxa"/>
            <w:tcBorders>
              <w:top w:val="nil"/>
              <w:left w:val="nil"/>
              <w:bottom w:val="single" w:sz="8" w:space="0" w:color="F2F2F2"/>
              <w:right w:val="nil"/>
            </w:tcBorders>
            <w:shd w:val="clear" w:color="000000" w:fill="366092"/>
            <w:noWrap/>
            <w:vAlign w:val="bottom"/>
          </w:tcPr>
          <w:p w14:paraId="664E5E9B" w14:textId="2D18C133" w:rsidR="00B95B16" w:rsidRPr="00B95B16" w:rsidRDefault="00B95B16" w:rsidP="00B95B16">
            <w:pPr>
              <w:spacing w:after="0" w:line="240" w:lineRule="auto"/>
              <w:jc w:val="center"/>
              <w:rPr>
                <w:rFonts w:ascii="Calibri" w:eastAsia="Times New Roman" w:hAnsi="Calibri" w:cs="Calibri"/>
                <w:b/>
                <w:bCs/>
                <w:color w:val="FFFFFF"/>
                <w:sz w:val="20"/>
                <w:szCs w:val="20"/>
                <w:lang w:eastAsia="sk-SK"/>
              </w:rPr>
            </w:pPr>
            <w:r w:rsidRPr="00B95B16">
              <w:rPr>
                <w:rFonts w:ascii="Calibri" w:hAnsi="Calibri" w:cs="Calibri"/>
                <w:b/>
                <w:bCs/>
                <w:color w:val="FFFFFF"/>
                <w:sz w:val="20"/>
                <w:szCs w:val="20"/>
              </w:rPr>
              <w:t xml:space="preserve">2026 (N) </w:t>
            </w:r>
          </w:p>
        </w:tc>
        <w:tc>
          <w:tcPr>
            <w:tcW w:w="1100" w:type="dxa"/>
            <w:tcBorders>
              <w:top w:val="single" w:sz="8" w:space="0" w:color="366092"/>
              <w:left w:val="nil"/>
              <w:bottom w:val="single" w:sz="8" w:space="0" w:color="F2F2F2"/>
              <w:right w:val="nil"/>
            </w:tcBorders>
            <w:shd w:val="clear" w:color="000000" w:fill="366092"/>
            <w:noWrap/>
            <w:vAlign w:val="bottom"/>
            <w:hideMark/>
          </w:tcPr>
          <w:p w14:paraId="6790478F" w14:textId="2A4155EB" w:rsidR="00B95B16" w:rsidRPr="00B95B16" w:rsidRDefault="00B95B16" w:rsidP="00B95B16">
            <w:pPr>
              <w:spacing w:after="0" w:line="240" w:lineRule="auto"/>
              <w:jc w:val="center"/>
              <w:rPr>
                <w:rFonts w:ascii="Calibri" w:eastAsia="Times New Roman" w:hAnsi="Calibri" w:cs="Calibri"/>
                <w:b/>
                <w:bCs/>
                <w:color w:val="FFFFFF"/>
                <w:sz w:val="20"/>
                <w:szCs w:val="20"/>
                <w:lang w:eastAsia="sk-SK"/>
              </w:rPr>
            </w:pPr>
            <w:r w:rsidRPr="00B95B16">
              <w:rPr>
                <w:rFonts w:ascii="Calibri" w:hAnsi="Calibri" w:cs="Calibri"/>
                <w:b/>
                <w:bCs/>
                <w:color w:val="FFFFFF"/>
                <w:sz w:val="20"/>
                <w:szCs w:val="20"/>
              </w:rPr>
              <w:t xml:space="preserve">2027 (N) </w:t>
            </w:r>
          </w:p>
        </w:tc>
      </w:tr>
      <w:tr w:rsidR="008A5920" w:rsidRPr="003E2140" w14:paraId="577A3243" w14:textId="77777777" w:rsidTr="00640D40">
        <w:trPr>
          <w:trHeight w:val="348"/>
        </w:trPr>
        <w:tc>
          <w:tcPr>
            <w:tcW w:w="3056" w:type="dxa"/>
            <w:tcBorders>
              <w:top w:val="nil"/>
              <w:left w:val="nil"/>
              <w:bottom w:val="nil"/>
              <w:right w:val="nil"/>
            </w:tcBorders>
            <w:shd w:val="clear" w:color="000000" w:fill="8DB4E2"/>
            <w:noWrap/>
            <w:vAlign w:val="center"/>
            <w:hideMark/>
          </w:tcPr>
          <w:p w14:paraId="5C964D23" w14:textId="77777777" w:rsidR="008A5920" w:rsidRPr="003E2140" w:rsidRDefault="008A5920" w:rsidP="008A5920">
            <w:pPr>
              <w:spacing w:after="0" w:line="240" w:lineRule="auto"/>
              <w:rPr>
                <w:rFonts w:ascii="Calibri" w:eastAsia="Times New Roman" w:hAnsi="Calibri" w:cs="Calibri"/>
                <w:b/>
                <w:bCs/>
                <w:color w:val="000000"/>
                <w:sz w:val="16"/>
                <w:szCs w:val="16"/>
                <w:lang w:eastAsia="sk-SK"/>
              </w:rPr>
            </w:pPr>
            <w:r w:rsidRPr="003E2140">
              <w:rPr>
                <w:rFonts w:ascii="Calibri" w:eastAsia="Times New Roman" w:hAnsi="Calibri" w:cs="Calibri"/>
                <w:b/>
                <w:bCs/>
                <w:color w:val="000000"/>
                <w:sz w:val="16"/>
                <w:szCs w:val="16"/>
                <w:lang w:eastAsia="sk-SK"/>
              </w:rPr>
              <w:t>VÝDAVKOVÉ FINANČNÉ OPERÁCIE</w:t>
            </w:r>
          </w:p>
        </w:tc>
        <w:tc>
          <w:tcPr>
            <w:tcW w:w="1123" w:type="dxa"/>
            <w:tcBorders>
              <w:top w:val="nil"/>
              <w:left w:val="nil"/>
              <w:bottom w:val="nil"/>
              <w:right w:val="nil"/>
            </w:tcBorders>
            <w:shd w:val="clear" w:color="000000" w:fill="8DB4E2"/>
            <w:noWrap/>
            <w:vAlign w:val="bottom"/>
            <w:hideMark/>
          </w:tcPr>
          <w:p w14:paraId="0D1A22A4" w14:textId="335E7607" w:rsidR="008A5920" w:rsidRPr="00B95B16" w:rsidRDefault="008A5920" w:rsidP="008A5920">
            <w:pPr>
              <w:spacing w:after="0" w:line="240" w:lineRule="auto"/>
              <w:jc w:val="right"/>
              <w:rPr>
                <w:rFonts w:ascii="Calibri" w:eastAsia="Times New Roman" w:hAnsi="Calibri" w:cs="Calibri"/>
                <w:b/>
                <w:bCs/>
                <w:color w:val="000000"/>
                <w:sz w:val="20"/>
                <w:szCs w:val="20"/>
                <w:lang w:eastAsia="sk-SK"/>
              </w:rPr>
            </w:pPr>
            <w:r w:rsidRPr="00B95B16">
              <w:rPr>
                <w:rFonts w:ascii="Calibri" w:hAnsi="Calibri" w:cs="Calibri"/>
                <w:b/>
                <w:bCs/>
                <w:color w:val="000000"/>
                <w:sz w:val="20"/>
                <w:szCs w:val="20"/>
              </w:rPr>
              <w:t>4 691 155</w:t>
            </w:r>
          </w:p>
        </w:tc>
        <w:tc>
          <w:tcPr>
            <w:tcW w:w="1143" w:type="dxa"/>
            <w:tcBorders>
              <w:top w:val="nil"/>
              <w:left w:val="nil"/>
              <w:bottom w:val="nil"/>
              <w:right w:val="nil"/>
            </w:tcBorders>
            <w:shd w:val="clear" w:color="000000" w:fill="8DB4E2"/>
            <w:noWrap/>
            <w:vAlign w:val="bottom"/>
          </w:tcPr>
          <w:p w14:paraId="3EAFA8C6" w14:textId="1772E4DE" w:rsidR="008A5920" w:rsidRPr="00B95B16" w:rsidRDefault="008A5920" w:rsidP="008A5920">
            <w:pPr>
              <w:spacing w:after="0" w:line="240" w:lineRule="auto"/>
              <w:jc w:val="right"/>
              <w:rPr>
                <w:rFonts w:ascii="Calibri" w:eastAsia="Times New Roman" w:hAnsi="Calibri" w:cs="Calibri"/>
                <w:b/>
                <w:bCs/>
                <w:color w:val="000000"/>
                <w:sz w:val="20"/>
                <w:szCs w:val="20"/>
                <w:lang w:eastAsia="sk-SK"/>
              </w:rPr>
            </w:pPr>
            <w:r w:rsidRPr="00B95B16">
              <w:rPr>
                <w:rFonts w:ascii="Calibri" w:hAnsi="Calibri" w:cs="Calibri"/>
                <w:b/>
                <w:bCs/>
                <w:color w:val="000000"/>
                <w:sz w:val="20"/>
                <w:szCs w:val="20"/>
              </w:rPr>
              <w:t>6 398 030</w:t>
            </w:r>
          </w:p>
        </w:tc>
        <w:tc>
          <w:tcPr>
            <w:tcW w:w="1100" w:type="dxa"/>
            <w:tcBorders>
              <w:top w:val="nil"/>
              <w:left w:val="nil"/>
              <w:bottom w:val="nil"/>
              <w:right w:val="nil"/>
            </w:tcBorders>
            <w:shd w:val="clear" w:color="000000" w:fill="8DB4E2"/>
            <w:noWrap/>
            <w:vAlign w:val="bottom"/>
          </w:tcPr>
          <w:p w14:paraId="73EA7A6F" w14:textId="281A56E6" w:rsidR="008A5920" w:rsidRPr="00B95B16" w:rsidRDefault="008A5920" w:rsidP="008A5920">
            <w:pPr>
              <w:spacing w:after="0" w:line="240" w:lineRule="auto"/>
              <w:jc w:val="right"/>
              <w:rPr>
                <w:rFonts w:ascii="Calibri" w:eastAsia="Times New Roman" w:hAnsi="Calibri" w:cs="Calibri"/>
                <w:b/>
                <w:bCs/>
                <w:color w:val="000000"/>
                <w:sz w:val="20"/>
                <w:szCs w:val="20"/>
                <w:lang w:eastAsia="sk-SK"/>
              </w:rPr>
            </w:pPr>
            <w:r w:rsidRPr="00B95B16">
              <w:rPr>
                <w:rFonts w:ascii="Calibri" w:hAnsi="Calibri" w:cs="Calibri"/>
                <w:b/>
                <w:bCs/>
                <w:color w:val="000000"/>
                <w:sz w:val="20"/>
                <w:szCs w:val="20"/>
              </w:rPr>
              <w:t>7 785 689</w:t>
            </w:r>
          </w:p>
        </w:tc>
        <w:tc>
          <w:tcPr>
            <w:tcW w:w="1100" w:type="dxa"/>
            <w:tcBorders>
              <w:top w:val="nil"/>
              <w:left w:val="nil"/>
              <w:bottom w:val="nil"/>
              <w:right w:val="nil"/>
            </w:tcBorders>
            <w:shd w:val="clear" w:color="000000" w:fill="8DB4E2"/>
            <w:noWrap/>
            <w:vAlign w:val="bottom"/>
          </w:tcPr>
          <w:p w14:paraId="0567F19C" w14:textId="161F8E2A" w:rsidR="008A5920" w:rsidRPr="00B95B16" w:rsidRDefault="008A5920" w:rsidP="008A5920">
            <w:pPr>
              <w:spacing w:after="0" w:line="240" w:lineRule="auto"/>
              <w:jc w:val="right"/>
              <w:rPr>
                <w:rFonts w:ascii="Calibri" w:eastAsia="Times New Roman" w:hAnsi="Calibri" w:cs="Calibri"/>
                <w:b/>
                <w:bCs/>
                <w:color w:val="000000"/>
                <w:sz w:val="20"/>
                <w:szCs w:val="20"/>
                <w:lang w:eastAsia="sk-SK"/>
              </w:rPr>
            </w:pPr>
            <w:r w:rsidRPr="00B95B16">
              <w:rPr>
                <w:rFonts w:ascii="Calibri" w:hAnsi="Calibri" w:cs="Calibri"/>
                <w:b/>
                <w:bCs/>
                <w:color w:val="000000"/>
                <w:sz w:val="20"/>
                <w:szCs w:val="20"/>
              </w:rPr>
              <w:t>7 785 689</w:t>
            </w:r>
          </w:p>
        </w:tc>
        <w:tc>
          <w:tcPr>
            <w:tcW w:w="1100" w:type="dxa"/>
            <w:tcBorders>
              <w:top w:val="nil"/>
              <w:left w:val="nil"/>
              <w:bottom w:val="nil"/>
              <w:right w:val="nil"/>
            </w:tcBorders>
            <w:shd w:val="clear" w:color="000000" w:fill="D9D9D9"/>
            <w:noWrap/>
            <w:vAlign w:val="bottom"/>
          </w:tcPr>
          <w:p w14:paraId="7FAC95C1" w14:textId="6023BFD4" w:rsidR="008A5920" w:rsidRPr="00B95B16" w:rsidRDefault="008A5920" w:rsidP="008A5920">
            <w:pPr>
              <w:spacing w:after="0" w:line="240" w:lineRule="auto"/>
              <w:jc w:val="right"/>
              <w:rPr>
                <w:rFonts w:ascii="Calibri" w:eastAsia="Times New Roman" w:hAnsi="Calibri" w:cs="Calibri"/>
                <w:b/>
                <w:bCs/>
                <w:color w:val="000000"/>
                <w:sz w:val="20"/>
                <w:szCs w:val="20"/>
                <w:lang w:eastAsia="sk-SK"/>
              </w:rPr>
            </w:pPr>
            <w:r w:rsidRPr="00382246">
              <w:rPr>
                <w:rFonts w:ascii="Calibri" w:hAnsi="Calibri" w:cs="Calibri"/>
                <w:b/>
                <w:bCs/>
                <w:sz w:val="20"/>
                <w:szCs w:val="20"/>
              </w:rPr>
              <w:t>6 097 991</w:t>
            </w:r>
          </w:p>
        </w:tc>
        <w:tc>
          <w:tcPr>
            <w:tcW w:w="1078" w:type="dxa"/>
            <w:tcBorders>
              <w:top w:val="nil"/>
              <w:left w:val="nil"/>
              <w:bottom w:val="nil"/>
              <w:right w:val="nil"/>
            </w:tcBorders>
            <w:shd w:val="clear" w:color="000000" w:fill="8DB4E2"/>
            <w:noWrap/>
            <w:vAlign w:val="bottom"/>
          </w:tcPr>
          <w:p w14:paraId="1AFA1423" w14:textId="66327993" w:rsidR="008A5920" w:rsidRPr="00B95B16" w:rsidRDefault="008A5920" w:rsidP="008A5920">
            <w:pPr>
              <w:spacing w:after="0" w:line="240" w:lineRule="auto"/>
              <w:jc w:val="right"/>
              <w:rPr>
                <w:rFonts w:ascii="Calibri" w:eastAsia="Times New Roman" w:hAnsi="Calibri" w:cs="Calibri"/>
                <w:b/>
                <w:bCs/>
                <w:color w:val="000000"/>
                <w:sz w:val="20"/>
                <w:szCs w:val="20"/>
                <w:lang w:eastAsia="sk-SK"/>
              </w:rPr>
            </w:pPr>
            <w:r w:rsidRPr="00B95B16">
              <w:rPr>
                <w:rFonts w:ascii="Calibri" w:hAnsi="Calibri" w:cs="Calibri"/>
                <w:b/>
                <w:bCs/>
                <w:color w:val="000000"/>
                <w:sz w:val="20"/>
                <w:szCs w:val="20"/>
              </w:rPr>
              <w:t>12 247 119</w:t>
            </w:r>
          </w:p>
        </w:tc>
        <w:tc>
          <w:tcPr>
            <w:tcW w:w="1100" w:type="dxa"/>
            <w:tcBorders>
              <w:top w:val="nil"/>
              <w:left w:val="nil"/>
              <w:bottom w:val="nil"/>
              <w:right w:val="nil"/>
            </w:tcBorders>
            <w:shd w:val="clear" w:color="000000" w:fill="8DB4E2"/>
            <w:noWrap/>
            <w:vAlign w:val="bottom"/>
          </w:tcPr>
          <w:p w14:paraId="06E3427C" w14:textId="6F3176C2" w:rsidR="008A5920" w:rsidRPr="00B95B16" w:rsidRDefault="008A5920" w:rsidP="008A5920">
            <w:pPr>
              <w:spacing w:after="0" w:line="240" w:lineRule="auto"/>
              <w:jc w:val="right"/>
              <w:rPr>
                <w:rFonts w:ascii="Calibri" w:eastAsia="Times New Roman" w:hAnsi="Calibri" w:cs="Calibri"/>
                <w:b/>
                <w:bCs/>
                <w:color w:val="000000"/>
                <w:sz w:val="20"/>
                <w:szCs w:val="20"/>
                <w:lang w:eastAsia="sk-SK"/>
              </w:rPr>
            </w:pPr>
            <w:r w:rsidRPr="00B95B16">
              <w:rPr>
                <w:rFonts w:ascii="Calibri" w:hAnsi="Calibri" w:cs="Calibri"/>
                <w:b/>
                <w:bCs/>
                <w:color w:val="000000"/>
                <w:sz w:val="20"/>
                <w:szCs w:val="20"/>
              </w:rPr>
              <w:t>9 016 688</w:t>
            </w:r>
          </w:p>
        </w:tc>
      </w:tr>
      <w:tr w:rsidR="008A5920" w:rsidRPr="003E2140" w14:paraId="2EFB490E" w14:textId="77777777" w:rsidTr="00640D40">
        <w:trPr>
          <w:trHeight w:val="348"/>
        </w:trPr>
        <w:tc>
          <w:tcPr>
            <w:tcW w:w="3056" w:type="dxa"/>
            <w:tcBorders>
              <w:top w:val="nil"/>
              <w:left w:val="nil"/>
              <w:bottom w:val="nil"/>
              <w:right w:val="nil"/>
            </w:tcBorders>
            <w:shd w:val="clear" w:color="auto" w:fill="auto"/>
            <w:noWrap/>
            <w:vAlign w:val="center"/>
            <w:hideMark/>
          </w:tcPr>
          <w:p w14:paraId="05E71C6B" w14:textId="77777777" w:rsidR="008A5920" w:rsidRPr="003E2140" w:rsidRDefault="008A5920" w:rsidP="008A5920">
            <w:pPr>
              <w:spacing w:after="0" w:line="240" w:lineRule="auto"/>
              <w:rPr>
                <w:rFonts w:ascii="Calibri" w:eastAsia="Times New Roman" w:hAnsi="Calibri" w:cs="Calibri"/>
                <w:color w:val="000000"/>
                <w:sz w:val="16"/>
                <w:szCs w:val="16"/>
                <w:lang w:eastAsia="sk-SK"/>
              </w:rPr>
            </w:pPr>
            <w:r w:rsidRPr="003E2140">
              <w:rPr>
                <w:rFonts w:ascii="Calibri" w:eastAsia="Times New Roman" w:hAnsi="Calibri" w:cs="Calibri"/>
                <w:color w:val="000000"/>
                <w:sz w:val="16"/>
                <w:szCs w:val="16"/>
                <w:lang w:eastAsia="sk-SK"/>
              </w:rPr>
              <w:t>810 - Poskytnuté pôžičky, kurzové rozdiely</w:t>
            </w:r>
          </w:p>
        </w:tc>
        <w:tc>
          <w:tcPr>
            <w:tcW w:w="1123" w:type="dxa"/>
            <w:tcBorders>
              <w:top w:val="nil"/>
              <w:left w:val="nil"/>
              <w:bottom w:val="nil"/>
              <w:right w:val="nil"/>
            </w:tcBorders>
            <w:shd w:val="clear" w:color="auto" w:fill="auto"/>
            <w:noWrap/>
            <w:vAlign w:val="bottom"/>
            <w:hideMark/>
          </w:tcPr>
          <w:p w14:paraId="0E39F3D0" w14:textId="117FB272"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546 991</w:t>
            </w:r>
          </w:p>
        </w:tc>
        <w:tc>
          <w:tcPr>
            <w:tcW w:w="1143" w:type="dxa"/>
            <w:tcBorders>
              <w:top w:val="nil"/>
              <w:left w:val="nil"/>
              <w:bottom w:val="nil"/>
              <w:right w:val="nil"/>
            </w:tcBorders>
            <w:shd w:val="clear" w:color="auto" w:fill="auto"/>
            <w:noWrap/>
            <w:vAlign w:val="bottom"/>
          </w:tcPr>
          <w:p w14:paraId="604B3C37" w14:textId="362BDAA9"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433 866</w:t>
            </w:r>
          </w:p>
        </w:tc>
        <w:tc>
          <w:tcPr>
            <w:tcW w:w="1100" w:type="dxa"/>
            <w:tcBorders>
              <w:top w:val="nil"/>
              <w:left w:val="nil"/>
              <w:bottom w:val="nil"/>
              <w:right w:val="nil"/>
            </w:tcBorders>
            <w:shd w:val="clear" w:color="auto" w:fill="auto"/>
            <w:noWrap/>
            <w:vAlign w:val="bottom"/>
          </w:tcPr>
          <w:p w14:paraId="4151F906" w14:textId="2E8FAEAA"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100</w:t>
            </w:r>
          </w:p>
        </w:tc>
        <w:tc>
          <w:tcPr>
            <w:tcW w:w="1100" w:type="dxa"/>
            <w:tcBorders>
              <w:top w:val="nil"/>
              <w:left w:val="nil"/>
              <w:bottom w:val="nil"/>
              <w:right w:val="nil"/>
            </w:tcBorders>
            <w:shd w:val="clear" w:color="auto" w:fill="auto"/>
            <w:noWrap/>
            <w:vAlign w:val="bottom"/>
          </w:tcPr>
          <w:p w14:paraId="00CB3C5E" w14:textId="193DAB92"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100</w:t>
            </w:r>
          </w:p>
        </w:tc>
        <w:tc>
          <w:tcPr>
            <w:tcW w:w="1100" w:type="dxa"/>
            <w:tcBorders>
              <w:top w:val="nil"/>
              <w:left w:val="nil"/>
              <w:bottom w:val="nil"/>
              <w:right w:val="nil"/>
            </w:tcBorders>
            <w:shd w:val="clear" w:color="000000" w:fill="D9D9D9"/>
            <w:noWrap/>
            <w:vAlign w:val="bottom"/>
          </w:tcPr>
          <w:p w14:paraId="0FD785D1" w14:textId="7D2FA61A" w:rsidR="008A5920" w:rsidRPr="00930959" w:rsidRDefault="008A5920" w:rsidP="008A5920">
            <w:pPr>
              <w:spacing w:after="0" w:line="240" w:lineRule="auto"/>
              <w:jc w:val="right"/>
              <w:rPr>
                <w:rFonts w:ascii="Calibri" w:eastAsia="Times New Roman" w:hAnsi="Calibri" w:cs="Calibri"/>
                <w:b/>
                <w:bCs/>
                <w:color w:val="000000"/>
                <w:sz w:val="20"/>
                <w:szCs w:val="20"/>
                <w:lang w:eastAsia="sk-SK"/>
              </w:rPr>
            </w:pPr>
            <w:r w:rsidRPr="00382246">
              <w:rPr>
                <w:rFonts w:ascii="Calibri" w:hAnsi="Calibri" w:cs="Calibri"/>
                <w:b/>
                <w:bCs/>
                <w:sz w:val="20"/>
                <w:szCs w:val="20"/>
              </w:rPr>
              <w:t>0</w:t>
            </w:r>
          </w:p>
        </w:tc>
        <w:tc>
          <w:tcPr>
            <w:tcW w:w="1078" w:type="dxa"/>
            <w:tcBorders>
              <w:top w:val="nil"/>
              <w:left w:val="nil"/>
              <w:bottom w:val="nil"/>
              <w:right w:val="nil"/>
            </w:tcBorders>
            <w:shd w:val="clear" w:color="auto" w:fill="auto"/>
            <w:noWrap/>
            <w:vAlign w:val="bottom"/>
          </w:tcPr>
          <w:p w14:paraId="5A356816" w14:textId="06324018"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0</w:t>
            </w:r>
          </w:p>
        </w:tc>
        <w:tc>
          <w:tcPr>
            <w:tcW w:w="1100" w:type="dxa"/>
            <w:tcBorders>
              <w:top w:val="nil"/>
              <w:left w:val="nil"/>
              <w:bottom w:val="nil"/>
              <w:right w:val="nil"/>
            </w:tcBorders>
            <w:shd w:val="clear" w:color="auto" w:fill="auto"/>
            <w:noWrap/>
            <w:vAlign w:val="bottom"/>
          </w:tcPr>
          <w:p w14:paraId="4DE6EC12" w14:textId="13F05556"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0</w:t>
            </w:r>
          </w:p>
        </w:tc>
      </w:tr>
      <w:tr w:rsidR="008A5920" w:rsidRPr="003E2140" w14:paraId="0898F4A1" w14:textId="77777777" w:rsidTr="00640D40">
        <w:trPr>
          <w:trHeight w:val="348"/>
        </w:trPr>
        <w:tc>
          <w:tcPr>
            <w:tcW w:w="3056" w:type="dxa"/>
            <w:tcBorders>
              <w:top w:val="nil"/>
              <w:left w:val="nil"/>
              <w:bottom w:val="nil"/>
              <w:right w:val="nil"/>
            </w:tcBorders>
            <w:shd w:val="clear" w:color="auto" w:fill="auto"/>
            <w:noWrap/>
            <w:vAlign w:val="center"/>
            <w:hideMark/>
          </w:tcPr>
          <w:p w14:paraId="792E61BE" w14:textId="77777777" w:rsidR="008A5920" w:rsidRPr="003E2140" w:rsidRDefault="008A5920" w:rsidP="008A5920">
            <w:pPr>
              <w:spacing w:after="0" w:line="240" w:lineRule="auto"/>
              <w:rPr>
                <w:rFonts w:ascii="Calibri" w:eastAsia="Times New Roman" w:hAnsi="Calibri" w:cs="Calibri"/>
                <w:color w:val="000000"/>
                <w:sz w:val="16"/>
                <w:szCs w:val="16"/>
                <w:lang w:eastAsia="sk-SK"/>
              </w:rPr>
            </w:pPr>
            <w:r w:rsidRPr="003E2140">
              <w:rPr>
                <w:rFonts w:ascii="Calibri" w:eastAsia="Times New Roman" w:hAnsi="Calibri" w:cs="Calibri"/>
                <w:color w:val="000000"/>
                <w:sz w:val="16"/>
                <w:szCs w:val="16"/>
                <w:lang w:eastAsia="sk-SK"/>
              </w:rPr>
              <w:t>820 - Splátky istín úverov</w:t>
            </w:r>
          </w:p>
        </w:tc>
        <w:tc>
          <w:tcPr>
            <w:tcW w:w="1123" w:type="dxa"/>
            <w:tcBorders>
              <w:top w:val="nil"/>
              <w:left w:val="nil"/>
              <w:bottom w:val="nil"/>
              <w:right w:val="nil"/>
            </w:tcBorders>
            <w:shd w:val="clear" w:color="auto" w:fill="auto"/>
            <w:noWrap/>
            <w:vAlign w:val="bottom"/>
            <w:hideMark/>
          </w:tcPr>
          <w:p w14:paraId="0368B70E" w14:textId="42E08BDC"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4 144 163</w:t>
            </w:r>
          </w:p>
        </w:tc>
        <w:tc>
          <w:tcPr>
            <w:tcW w:w="1143" w:type="dxa"/>
            <w:tcBorders>
              <w:top w:val="nil"/>
              <w:left w:val="nil"/>
              <w:bottom w:val="nil"/>
              <w:right w:val="nil"/>
            </w:tcBorders>
            <w:shd w:val="clear" w:color="auto" w:fill="auto"/>
            <w:noWrap/>
            <w:vAlign w:val="bottom"/>
          </w:tcPr>
          <w:p w14:paraId="63433F78" w14:textId="43CCF104"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5 964 163</w:t>
            </w:r>
          </w:p>
        </w:tc>
        <w:tc>
          <w:tcPr>
            <w:tcW w:w="1100" w:type="dxa"/>
            <w:tcBorders>
              <w:top w:val="nil"/>
              <w:left w:val="nil"/>
              <w:bottom w:val="nil"/>
              <w:right w:val="nil"/>
            </w:tcBorders>
            <w:shd w:val="clear" w:color="auto" w:fill="auto"/>
            <w:noWrap/>
            <w:vAlign w:val="bottom"/>
          </w:tcPr>
          <w:p w14:paraId="25E6BEF4" w14:textId="450BA421"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7 785 589</w:t>
            </w:r>
          </w:p>
        </w:tc>
        <w:tc>
          <w:tcPr>
            <w:tcW w:w="1100" w:type="dxa"/>
            <w:tcBorders>
              <w:top w:val="nil"/>
              <w:left w:val="nil"/>
              <w:bottom w:val="nil"/>
              <w:right w:val="nil"/>
            </w:tcBorders>
            <w:shd w:val="clear" w:color="auto" w:fill="auto"/>
            <w:noWrap/>
            <w:vAlign w:val="bottom"/>
          </w:tcPr>
          <w:p w14:paraId="203860BF" w14:textId="3CB873D0"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7 785 589</w:t>
            </w:r>
          </w:p>
        </w:tc>
        <w:tc>
          <w:tcPr>
            <w:tcW w:w="1100" w:type="dxa"/>
            <w:tcBorders>
              <w:top w:val="nil"/>
              <w:left w:val="nil"/>
              <w:bottom w:val="nil"/>
              <w:right w:val="nil"/>
            </w:tcBorders>
            <w:shd w:val="clear" w:color="000000" w:fill="D9D9D9"/>
            <w:noWrap/>
            <w:vAlign w:val="bottom"/>
          </w:tcPr>
          <w:p w14:paraId="2DE44B84" w14:textId="45E7A5E9" w:rsidR="008A5920" w:rsidRPr="00930959" w:rsidRDefault="008A5920" w:rsidP="008A5920">
            <w:pPr>
              <w:spacing w:after="0" w:line="240" w:lineRule="auto"/>
              <w:jc w:val="right"/>
              <w:rPr>
                <w:rFonts w:ascii="Calibri" w:eastAsia="Times New Roman" w:hAnsi="Calibri" w:cs="Calibri"/>
                <w:b/>
                <w:bCs/>
                <w:color w:val="000000"/>
                <w:sz w:val="20"/>
                <w:szCs w:val="20"/>
                <w:lang w:eastAsia="sk-SK"/>
              </w:rPr>
            </w:pPr>
            <w:r w:rsidRPr="00382246">
              <w:rPr>
                <w:rFonts w:ascii="Calibri" w:hAnsi="Calibri" w:cs="Calibri"/>
                <w:b/>
                <w:bCs/>
                <w:sz w:val="20"/>
                <w:szCs w:val="20"/>
              </w:rPr>
              <w:t>6 097 991</w:t>
            </w:r>
          </w:p>
        </w:tc>
        <w:tc>
          <w:tcPr>
            <w:tcW w:w="1078" w:type="dxa"/>
            <w:tcBorders>
              <w:top w:val="nil"/>
              <w:left w:val="nil"/>
              <w:bottom w:val="nil"/>
              <w:right w:val="nil"/>
            </w:tcBorders>
            <w:shd w:val="clear" w:color="auto" w:fill="auto"/>
            <w:noWrap/>
            <w:vAlign w:val="bottom"/>
          </w:tcPr>
          <w:p w14:paraId="2A31CF69" w14:textId="234F912C"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12 247 119</w:t>
            </w:r>
          </w:p>
        </w:tc>
        <w:tc>
          <w:tcPr>
            <w:tcW w:w="1100" w:type="dxa"/>
            <w:tcBorders>
              <w:top w:val="nil"/>
              <w:left w:val="nil"/>
              <w:bottom w:val="nil"/>
              <w:right w:val="nil"/>
            </w:tcBorders>
            <w:shd w:val="clear" w:color="auto" w:fill="auto"/>
            <w:noWrap/>
            <w:vAlign w:val="bottom"/>
          </w:tcPr>
          <w:p w14:paraId="53EEBB6C" w14:textId="76A00354" w:rsidR="008A5920" w:rsidRPr="00B95B16" w:rsidRDefault="008A5920" w:rsidP="008A5920">
            <w:pPr>
              <w:spacing w:after="0" w:line="240" w:lineRule="auto"/>
              <w:jc w:val="right"/>
              <w:rPr>
                <w:rFonts w:ascii="Calibri" w:eastAsia="Times New Roman" w:hAnsi="Calibri" w:cs="Calibri"/>
                <w:color w:val="000000"/>
                <w:sz w:val="20"/>
                <w:szCs w:val="20"/>
                <w:lang w:eastAsia="sk-SK"/>
              </w:rPr>
            </w:pPr>
            <w:r w:rsidRPr="00B95B16">
              <w:rPr>
                <w:rFonts w:ascii="Calibri" w:hAnsi="Calibri" w:cs="Calibri"/>
                <w:color w:val="000000"/>
                <w:sz w:val="20"/>
                <w:szCs w:val="20"/>
              </w:rPr>
              <w:t>9 016 688</w:t>
            </w:r>
          </w:p>
        </w:tc>
      </w:tr>
    </w:tbl>
    <w:p w14:paraId="10F1439C" w14:textId="4A1F501C" w:rsidR="009957AD" w:rsidRDefault="009957AD" w:rsidP="0078776B">
      <w:pPr>
        <w:spacing w:after="0" w:line="240" w:lineRule="auto"/>
        <w:jc w:val="both"/>
        <w:rPr>
          <w:rFonts w:cstheme="minorHAnsi"/>
          <w:sz w:val="24"/>
          <w:szCs w:val="24"/>
        </w:rPr>
      </w:pPr>
    </w:p>
    <w:tbl>
      <w:tblPr>
        <w:tblW w:w="10637" w:type="dxa"/>
        <w:tblCellMar>
          <w:left w:w="70" w:type="dxa"/>
          <w:right w:w="70" w:type="dxa"/>
        </w:tblCellMar>
        <w:tblLook w:val="04A0" w:firstRow="1" w:lastRow="0" w:firstColumn="1" w:lastColumn="0" w:noHBand="0" w:noVBand="1"/>
      </w:tblPr>
      <w:tblGrid>
        <w:gridCol w:w="3446"/>
        <w:gridCol w:w="1240"/>
        <w:gridCol w:w="1240"/>
        <w:gridCol w:w="1196"/>
        <w:gridCol w:w="1061"/>
        <w:gridCol w:w="1214"/>
        <w:gridCol w:w="1240"/>
      </w:tblGrid>
      <w:tr w:rsidR="00030F6E" w:rsidRPr="00743FB0" w14:paraId="793C65E3" w14:textId="77777777" w:rsidTr="00C47022">
        <w:trPr>
          <w:trHeight w:val="407"/>
        </w:trPr>
        <w:tc>
          <w:tcPr>
            <w:tcW w:w="3446" w:type="dxa"/>
            <w:tcBorders>
              <w:top w:val="single" w:sz="8" w:space="0" w:color="366092"/>
              <w:left w:val="nil"/>
              <w:bottom w:val="single" w:sz="8" w:space="0" w:color="F2F2F2"/>
              <w:right w:val="nil"/>
            </w:tcBorders>
            <w:shd w:val="clear" w:color="000000" w:fill="366092"/>
            <w:noWrap/>
            <w:vAlign w:val="center"/>
            <w:hideMark/>
          </w:tcPr>
          <w:p w14:paraId="311BBC94" w14:textId="77777777" w:rsidR="00030F6E" w:rsidRPr="00743FB0" w:rsidRDefault="00030F6E" w:rsidP="00030F6E">
            <w:pPr>
              <w:spacing w:after="0" w:line="240" w:lineRule="auto"/>
              <w:rPr>
                <w:rFonts w:ascii="Calibri" w:eastAsia="Times New Roman" w:hAnsi="Calibri" w:cs="Calibri"/>
                <w:b/>
                <w:bCs/>
                <w:color w:val="FFFFFF"/>
                <w:sz w:val="16"/>
                <w:szCs w:val="16"/>
                <w:lang w:eastAsia="sk-SK"/>
              </w:rPr>
            </w:pPr>
            <w:r w:rsidRPr="00743FB0">
              <w:rPr>
                <w:rFonts w:ascii="Calibri" w:eastAsia="Times New Roman" w:hAnsi="Calibri" w:cs="Calibri"/>
                <w:b/>
                <w:bCs/>
                <w:color w:val="FFFFFF"/>
                <w:sz w:val="16"/>
                <w:szCs w:val="16"/>
                <w:lang w:eastAsia="sk-SK"/>
              </w:rPr>
              <w:t>Ukazovateľ</w:t>
            </w:r>
          </w:p>
        </w:tc>
        <w:tc>
          <w:tcPr>
            <w:tcW w:w="1240" w:type="dxa"/>
            <w:tcBorders>
              <w:top w:val="nil"/>
              <w:left w:val="nil"/>
              <w:bottom w:val="single" w:sz="8" w:space="0" w:color="F2F2F2"/>
              <w:right w:val="nil"/>
            </w:tcBorders>
            <w:shd w:val="clear" w:color="000000" w:fill="366092"/>
            <w:noWrap/>
            <w:vAlign w:val="center"/>
            <w:hideMark/>
          </w:tcPr>
          <w:p w14:paraId="101E3B2E" w14:textId="2E13F496" w:rsidR="00030F6E" w:rsidRPr="00743FB0" w:rsidRDefault="00030F6E" w:rsidP="00030F6E">
            <w:pPr>
              <w:spacing w:after="0" w:line="240" w:lineRule="auto"/>
              <w:jc w:val="center"/>
              <w:rPr>
                <w:rFonts w:ascii="Calibri" w:eastAsia="Times New Roman" w:hAnsi="Calibri" w:cs="Calibri"/>
                <w:b/>
                <w:bCs/>
                <w:color w:val="FFFFFF"/>
                <w:sz w:val="16"/>
                <w:szCs w:val="16"/>
                <w:lang w:eastAsia="sk-SK"/>
              </w:rPr>
            </w:pPr>
            <w:r>
              <w:rPr>
                <w:rFonts w:ascii="Calibri" w:hAnsi="Calibri" w:cs="Calibri"/>
                <w:b/>
                <w:bCs/>
                <w:color w:val="FFFFFF"/>
                <w:sz w:val="20"/>
                <w:szCs w:val="20"/>
              </w:rPr>
              <w:t>2024 (SR)</w:t>
            </w:r>
          </w:p>
        </w:tc>
        <w:tc>
          <w:tcPr>
            <w:tcW w:w="1240" w:type="dxa"/>
            <w:tcBorders>
              <w:top w:val="nil"/>
              <w:left w:val="nil"/>
              <w:bottom w:val="single" w:sz="8" w:space="0" w:color="F2F2F2"/>
              <w:right w:val="nil"/>
            </w:tcBorders>
            <w:shd w:val="clear" w:color="000000" w:fill="366092"/>
            <w:noWrap/>
            <w:vAlign w:val="center"/>
            <w:hideMark/>
          </w:tcPr>
          <w:p w14:paraId="72D11D23" w14:textId="27DFC174" w:rsidR="00030F6E" w:rsidRPr="00743FB0" w:rsidRDefault="00030F6E" w:rsidP="00030F6E">
            <w:pPr>
              <w:spacing w:after="0" w:line="240" w:lineRule="auto"/>
              <w:jc w:val="center"/>
              <w:rPr>
                <w:rFonts w:ascii="Calibri" w:eastAsia="Times New Roman" w:hAnsi="Calibri" w:cs="Calibri"/>
                <w:b/>
                <w:bCs/>
                <w:color w:val="FFFFFF"/>
                <w:sz w:val="16"/>
                <w:szCs w:val="16"/>
                <w:lang w:eastAsia="sk-SK"/>
              </w:rPr>
            </w:pPr>
            <w:r>
              <w:rPr>
                <w:rFonts w:ascii="Calibri" w:hAnsi="Calibri" w:cs="Calibri"/>
                <w:b/>
                <w:bCs/>
                <w:color w:val="FFFFFF"/>
                <w:sz w:val="20"/>
                <w:szCs w:val="20"/>
              </w:rPr>
              <w:t>2025 (N)</w:t>
            </w:r>
          </w:p>
        </w:tc>
        <w:tc>
          <w:tcPr>
            <w:tcW w:w="2257" w:type="dxa"/>
            <w:gridSpan w:val="2"/>
            <w:tcBorders>
              <w:top w:val="nil"/>
              <w:left w:val="nil"/>
              <w:bottom w:val="single" w:sz="8" w:space="0" w:color="F2F2F2"/>
              <w:right w:val="nil"/>
            </w:tcBorders>
            <w:shd w:val="clear" w:color="000000" w:fill="366092"/>
            <w:noWrap/>
            <w:vAlign w:val="center"/>
            <w:hideMark/>
          </w:tcPr>
          <w:p w14:paraId="5B57C837" w14:textId="6D445315" w:rsidR="00030F6E" w:rsidRPr="00743FB0" w:rsidRDefault="00030F6E" w:rsidP="00030F6E">
            <w:pPr>
              <w:spacing w:after="0" w:line="240" w:lineRule="auto"/>
              <w:jc w:val="center"/>
              <w:rPr>
                <w:rFonts w:ascii="Calibri" w:eastAsia="Times New Roman" w:hAnsi="Calibri" w:cs="Calibri"/>
                <w:b/>
                <w:bCs/>
                <w:color w:val="FFFFFF"/>
                <w:sz w:val="16"/>
                <w:szCs w:val="16"/>
                <w:lang w:eastAsia="sk-SK"/>
              </w:rPr>
            </w:pPr>
            <w:r>
              <w:rPr>
                <w:rFonts w:ascii="Calibri" w:hAnsi="Calibri" w:cs="Calibri"/>
                <w:b/>
                <w:bCs/>
                <w:color w:val="FFFFFF"/>
                <w:sz w:val="20"/>
                <w:szCs w:val="20"/>
              </w:rPr>
              <w:t>Rozdiel 2025 -2024</w:t>
            </w:r>
          </w:p>
        </w:tc>
        <w:tc>
          <w:tcPr>
            <w:tcW w:w="1214" w:type="dxa"/>
            <w:tcBorders>
              <w:top w:val="nil"/>
              <w:left w:val="nil"/>
              <w:bottom w:val="single" w:sz="8" w:space="0" w:color="F2F2F2"/>
              <w:right w:val="nil"/>
            </w:tcBorders>
            <w:shd w:val="clear" w:color="000000" w:fill="366092"/>
            <w:noWrap/>
            <w:vAlign w:val="center"/>
            <w:hideMark/>
          </w:tcPr>
          <w:p w14:paraId="51A8D39A" w14:textId="59473798" w:rsidR="00030F6E" w:rsidRPr="00030F6E" w:rsidRDefault="00030F6E" w:rsidP="00030F6E">
            <w:pPr>
              <w:spacing w:after="0" w:line="240" w:lineRule="auto"/>
              <w:jc w:val="center"/>
              <w:rPr>
                <w:rFonts w:ascii="Calibri" w:eastAsia="Times New Roman" w:hAnsi="Calibri" w:cs="Calibri"/>
                <w:b/>
                <w:bCs/>
                <w:color w:val="FFFFFF"/>
                <w:sz w:val="20"/>
                <w:szCs w:val="20"/>
                <w:lang w:eastAsia="sk-SK"/>
              </w:rPr>
            </w:pPr>
            <w:r w:rsidRPr="00030F6E">
              <w:rPr>
                <w:rFonts w:ascii="Calibri" w:eastAsia="Times New Roman" w:hAnsi="Calibri" w:cs="Calibri"/>
                <w:b/>
                <w:bCs/>
                <w:color w:val="FFFFFF"/>
                <w:sz w:val="20"/>
                <w:szCs w:val="20"/>
                <w:lang w:eastAsia="sk-SK"/>
              </w:rPr>
              <w:t>202</w:t>
            </w:r>
            <w:r>
              <w:rPr>
                <w:rFonts w:ascii="Calibri" w:eastAsia="Times New Roman" w:hAnsi="Calibri" w:cs="Calibri"/>
                <w:b/>
                <w:bCs/>
                <w:color w:val="FFFFFF"/>
                <w:sz w:val="20"/>
                <w:szCs w:val="20"/>
                <w:lang w:eastAsia="sk-SK"/>
              </w:rPr>
              <w:t>6</w:t>
            </w:r>
            <w:r w:rsidRPr="00030F6E">
              <w:rPr>
                <w:rFonts w:ascii="Calibri" w:eastAsia="Times New Roman" w:hAnsi="Calibri" w:cs="Calibri"/>
                <w:b/>
                <w:bCs/>
                <w:color w:val="FFFFFF"/>
                <w:sz w:val="20"/>
                <w:szCs w:val="20"/>
                <w:lang w:eastAsia="sk-SK"/>
              </w:rPr>
              <w:t xml:space="preserve"> (N)</w:t>
            </w:r>
          </w:p>
        </w:tc>
        <w:tc>
          <w:tcPr>
            <w:tcW w:w="1240" w:type="dxa"/>
            <w:tcBorders>
              <w:top w:val="single" w:sz="8" w:space="0" w:color="366092"/>
              <w:left w:val="nil"/>
              <w:bottom w:val="single" w:sz="8" w:space="0" w:color="F2F2F2"/>
              <w:right w:val="nil"/>
            </w:tcBorders>
            <w:shd w:val="clear" w:color="000000" w:fill="366092"/>
            <w:noWrap/>
            <w:vAlign w:val="center"/>
            <w:hideMark/>
          </w:tcPr>
          <w:p w14:paraId="54CA8AD1" w14:textId="7AE3C9A5" w:rsidR="00030F6E" w:rsidRPr="00030F6E" w:rsidRDefault="00030F6E" w:rsidP="00030F6E">
            <w:pPr>
              <w:spacing w:after="0" w:line="240" w:lineRule="auto"/>
              <w:jc w:val="center"/>
              <w:rPr>
                <w:rFonts w:ascii="Calibri" w:eastAsia="Times New Roman" w:hAnsi="Calibri" w:cs="Calibri"/>
                <w:b/>
                <w:bCs/>
                <w:color w:val="FFFFFF"/>
                <w:sz w:val="20"/>
                <w:szCs w:val="20"/>
                <w:lang w:eastAsia="sk-SK"/>
              </w:rPr>
            </w:pPr>
            <w:r w:rsidRPr="00030F6E">
              <w:rPr>
                <w:rFonts w:ascii="Calibri" w:eastAsia="Times New Roman" w:hAnsi="Calibri" w:cs="Calibri"/>
                <w:b/>
                <w:bCs/>
                <w:color w:val="FFFFFF"/>
                <w:sz w:val="20"/>
                <w:szCs w:val="20"/>
                <w:lang w:eastAsia="sk-SK"/>
              </w:rPr>
              <w:t>202</w:t>
            </w:r>
            <w:r>
              <w:rPr>
                <w:rFonts w:ascii="Calibri" w:eastAsia="Times New Roman" w:hAnsi="Calibri" w:cs="Calibri"/>
                <w:b/>
                <w:bCs/>
                <w:color w:val="FFFFFF"/>
                <w:sz w:val="20"/>
                <w:szCs w:val="20"/>
                <w:lang w:eastAsia="sk-SK"/>
              </w:rPr>
              <w:t>7</w:t>
            </w:r>
            <w:r w:rsidRPr="00030F6E">
              <w:rPr>
                <w:rFonts w:ascii="Calibri" w:eastAsia="Times New Roman" w:hAnsi="Calibri" w:cs="Calibri"/>
                <w:b/>
                <w:bCs/>
                <w:color w:val="FFFFFF"/>
                <w:sz w:val="20"/>
                <w:szCs w:val="20"/>
                <w:lang w:eastAsia="sk-SK"/>
              </w:rPr>
              <w:t xml:space="preserve"> (N)</w:t>
            </w:r>
          </w:p>
        </w:tc>
      </w:tr>
      <w:tr w:rsidR="00C27962" w:rsidRPr="00743FB0" w14:paraId="78921796" w14:textId="77777777" w:rsidTr="001311B5">
        <w:trPr>
          <w:trHeight w:val="387"/>
        </w:trPr>
        <w:tc>
          <w:tcPr>
            <w:tcW w:w="3446" w:type="dxa"/>
            <w:tcBorders>
              <w:top w:val="nil"/>
              <w:left w:val="nil"/>
              <w:bottom w:val="nil"/>
              <w:right w:val="nil"/>
            </w:tcBorders>
            <w:shd w:val="clear" w:color="000000" w:fill="8DB4E2"/>
            <w:noWrap/>
            <w:vAlign w:val="center"/>
            <w:hideMark/>
          </w:tcPr>
          <w:p w14:paraId="1D1DC03C" w14:textId="77777777" w:rsidR="00C27962" w:rsidRPr="00743FB0" w:rsidRDefault="00C27962" w:rsidP="00C27962">
            <w:pPr>
              <w:spacing w:after="0" w:line="240" w:lineRule="auto"/>
              <w:rPr>
                <w:rFonts w:ascii="Calibri" w:eastAsia="Times New Roman" w:hAnsi="Calibri" w:cs="Calibri"/>
                <w:b/>
                <w:bCs/>
                <w:color w:val="000000"/>
                <w:sz w:val="16"/>
                <w:szCs w:val="16"/>
                <w:lang w:eastAsia="sk-SK"/>
              </w:rPr>
            </w:pPr>
            <w:r w:rsidRPr="00743FB0">
              <w:rPr>
                <w:rFonts w:ascii="Calibri" w:eastAsia="Times New Roman" w:hAnsi="Calibri" w:cs="Calibri"/>
                <w:b/>
                <w:bCs/>
                <w:color w:val="000000"/>
                <w:sz w:val="16"/>
                <w:szCs w:val="16"/>
                <w:lang w:eastAsia="sk-SK"/>
              </w:rPr>
              <w:t>VÝDAVKOVÉ FINANČNÉ OPERÁCIE</w:t>
            </w:r>
          </w:p>
        </w:tc>
        <w:tc>
          <w:tcPr>
            <w:tcW w:w="1240" w:type="dxa"/>
            <w:tcBorders>
              <w:top w:val="nil"/>
              <w:left w:val="nil"/>
              <w:bottom w:val="nil"/>
              <w:right w:val="nil"/>
            </w:tcBorders>
            <w:shd w:val="clear" w:color="000000" w:fill="8DB4E2"/>
            <w:noWrap/>
            <w:vAlign w:val="bottom"/>
            <w:hideMark/>
          </w:tcPr>
          <w:p w14:paraId="19648090" w14:textId="11C16A02" w:rsidR="00C27962" w:rsidRPr="00C47022" w:rsidRDefault="00C27962" w:rsidP="00C27962">
            <w:pPr>
              <w:spacing w:after="0" w:line="240" w:lineRule="auto"/>
              <w:jc w:val="right"/>
              <w:rPr>
                <w:rFonts w:ascii="Calibri" w:eastAsia="Times New Roman" w:hAnsi="Calibri" w:cs="Calibri"/>
                <w:b/>
                <w:bCs/>
                <w:color w:val="000000"/>
                <w:lang w:eastAsia="sk-SK"/>
              </w:rPr>
            </w:pPr>
            <w:r w:rsidRPr="00B95B16">
              <w:rPr>
                <w:rFonts w:ascii="Calibri" w:hAnsi="Calibri" w:cs="Calibri"/>
                <w:b/>
                <w:bCs/>
                <w:color w:val="000000"/>
                <w:sz w:val="20"/>
                <w:szCs w:val="20"/>
              </w:rPr>
              <w:t>7 785 689</w:t>
            </w:r>
          </w:p>
        </w:tc>
        <w:tc>
          <w:tcPr>
            <w:tcW w:w="1240" w:type="dxa"/>
            <w:tcBorders>
              <w:top w:val="nil"/>
              <w:left w:val="nil"/>
              <w:bottom w:val="nil"/>
              <w:right w:val="nil"/>
            </w:tcBorders>
            <w:shd w:val="clear" w:color="000000" w:fill="D9D9D9"/>
            <w:noWrap/>
            <w:vAlign w:val="bottom"/>
            <w:hideMark/>
          </w:tcPr>
          <w:p w14:paraId="3FA4C1B8" w14:textId="4BD04310" w:rsidR="00C27962" w:rsidRPr="00C47022" w:rsidRDefault="00C27962" w:rsidP="00C27962">
            <w:pPr>
              <w:spacing w:after="0" w:line="240" w:lineRule="auto"/>
              <w:jc w:val="right"/>
              <w:rPr>
                <w:rFonts w:ascii="Calibri" w:eastAsia="Times New Roman" w:hAnsi="Calibri" w:cs="Calibri"/>
                <w:b/>
                <w:bCs/>
                <w:color w:val="000000"/>
                <w:lang w:eastAsia="sk-SK"/>
              </w:rPr>
            </w:pPr>
            <w:r w:rsidRPr="00382246">
              <w:rPr>
                <w:rFonts w:ascii="Calibri" w:hAnsi="Calibri" w:cs="Calibri"/>
                <w:b/>
                <w:bCs/>
                <w:sz w:val="20"/>
                <w:szCs w:val="20"/>
              </w:rPr>
              <w:t>6 097 991</w:t>
            </w:r>
          </w:p>
        </w:tc>
        <w:tc>
          <w:tcPr>
            <w:tcW w:w="1196" w:type="dxa"/>
            <w:tcBorders>
              <w:top w:val="nil"/>
              <w:left w:val="nil"/>
              <w:bottom w:val="nil"/>
              <w:right w:val="nil"/>
            </w:tcBorders>
            <w:shd w:val="clear" w:color="000000" w:fill="EBF1DE"/>
            <w:noWrap/>
            <w:vAlign w:val="center"/>
          </w:tcPr>
          <w:p w14:paraId="2EA88C88" w14:textId="7BC08A57" w:rsidR="00C27962" w:rsidRPr="00654B1D" w:rsidRDefault="00C27962" w:rsidP="00C27962">
            <w:pPr>
              <w:spacing w:after="0" w:line="240" w:lineRule="auto"/>
              <w:jc w:val="right"/>
              <w:rPr>
                <w:rFonts w:ascii="Calibri" w:eastAsia="Times New Roman" w:hAnsi="Calibri" w:cs="Calibri"/>
                <w:color w:val="000000"/>
                <w:lang w:eastAsia="sk-SK"/>
              </w:rPr>
            </w:pPr>
            <w:r>
              <w:rPr>
                <w:rFonts w:ascii="Calibri" w:hAnsi="Calibri" w:cs="Calibri"/>
                <w:color w:val="000000"/>
                <w:sz w:val="18"/>
                <w:szCs w:val="18"/>
              </w:rPr>
              <w:t>-1 687 698</w:t>
            </w:r>
          </w:p>
        </w:tc>
        <w:tc>
          <w:tcPr>
            <w:tcW w:w="1061" w:type="dxa"/>
            <w:tcBorders>
              <w:top w:val="nil"/>
              <w:left w:val="nil"/>
              <w:bottom w:val="nil"/>
              <w:right w:val="nil"/>
            </w:tcBorders>
            <w:shd w:val="clear" w:color="000000" w:fill="EBF1DE"/>
            <w:noWrap/>
            <w:vAlign w:val="center"/>
          </w:tcPr>
          <w:p w14:paraId="13240B56" w14:textId="16089842" w:rsidR="00C27962" w:rsidRPr="00654B1D" w:rsidRDefault="00C27962" w:rsidP="00C27962">
            <w:pPr>
              <w:spacing w:after="0" w:line="240" w:lineRule="auto"/>
              <w:jc w:val="right"/>
              <w:rPr>
                <w:rFonts w:ascii="Calibri" w:eastAsia="Times New Roman" w:hAnsi="Calibri" w:cs="Calibri"/>
                <w:color w:val="000000"/>
                <w:lang w:eastAsia="sk-SK"/>
              </w:rPr>
            </w:pPr>
            <w:r>
              <w:rPr>
                <w:rFonts w:ascii="Calibri" w:hAnsi="Calibri" w:cs="Calibri"/>
                <w:b/>
                <w:bCs/>
                <w:color w:val="000000"/>
                <w:sz w:val="18"/>
                <w:szCs w:val="18"/>
              </w:rPr>
              <w:t>-21,68%</w:t>
            </w:r>
          </w:p>
        </w:tc>
        <w:tc>
          <w:tcPr>
            <w:tcW w:w="1214" w:type="dxa"/>
            <w:tcBorders>
              <w:top w:val="nil"/>
              <w:left w:val="nil"/>
              <w:bottom w:val="nil"/>
              <w:right w:val="nil"/>
            </w:tcBorders>
            <w:shd w:val="clear" w:color="000000" w:fill="8DB4E2"/>
            <w:noWrap/>
            <w:vAlign w:val="bottom"/>
            <w:hideMark/>
          </w:tcPr>
          <w:p w14:paraId="68D3921F" w14:textId="2D3540BF" w:rsidR="00C27962" w:rsidRPr="00C47022" w:rsidRDefault="00C27962" w:rsidP="00C27962">
            <w:pPr>
              <w:spacing w:after="0" w:line="240" w:lineRule="auto"/>
              <w:jc w:val="right"/>
              <w:rPr>
                <w:rFonts w:ascii="Calibri" w:eastAsia="Times New Roman" w:hAnsi="Calibri" w:cs="Calibri"/>
                <w:b/>
                <w:bCs/>
                <w:color w:val="000000"/>
                <w:lang w:eastAsia="sk-SK"/>
              </w:rPr>
            </w:pPr>
            <w:r w:rsidRPr="00B95B16">
              <w:rPr>
                <w:rFonts w:ascii="Calibri" w:hAnsi="Calibri" w:cs="Calibri"/>
                <w:b/>
                <w:bCs/>
                <w:color w:val="000000"/>
                <w:sz w:val="20"/>
                <w:szCs w:val="20"/>
              </w:rPr>
              <w:t>12 247 119</w:t>
            </w:r>
          </w:p>
        </w:tc>
        <w:tc>
          <w:tcPr>
            <w:tcW w:w="1240" w:type="dxa"/>
            <w:tcBorders>
              <w:top w:val="nil"/>
              <w:left w:val="nil"/>
              <w:bottom w:val="nil"/>
              <w:right w:val="nil"/>
            </w:tcBorders>
            <w:shd w:val="clear" w:color="000000" w:fill="8DB4E2"/>
            <w:noWrap/>
            <w:vAlign w:val="bottom"/>
            <w:hideMark/>
          </w:tcPr>
          <w:p w14:paraId="17998BBA" w14:textId="2F4E61B4" w:rsidR="00C27962" w:rsidRPr="00C47022" w:rsidRDefault="00C27962" w:rsidP="00C27962">
            <w:pPr>
              <w:spacing w:after="0" w:line="240" w:lineRule="auto"/>
              <w:jc w:val="right"/>
              <w:rPr>
                <w:rFonts w:ascii="Calibri" w:eastAsia="Times New Roman" w:hAnsi="Calibri" w:cs="Calibri"/>
                <w:b/>
                <w:bCs/>
                <w:color w:val="000000"/>
                <w:lang w:eastAsia="sk-SK"/>
              </w:rPr>
            </w:pPr>
            <w:r w:rsidRPr="00B95B16">
              <w:rPr>
                <w:rFonts w:ascii="Calibri" w:hAnsi="Calibri" w:cs="Calibri"/>
                <w:b/>
                <w:bCs/>
                <w:color w:val="000000"/>
                <w:sz w:val="20"/>
                <w:szCs w:val="20"/>
              </w:rPr>
              <w:t>9 016 688</w:t>
            </w:r>
          </w:p>
        </w:tc>
      </w:tr>
      <w:tr w:rsidR="00C27962" w:rsidRPr="00743FB0" w14:paraId="536D399F" w14:textId="77777777" w:rsidTr="001311B5">
        <w:trPr>
          <w:trHeight w:val="387"/>
        </w:trPr>
        <w:tc>
          <w:tcPr>
            <w:tcW w:w="3446" w:type="dxa"/>
            <w:tcBorders>
              <w:top w:val="nil"/>
              <w:left w:val="nil"/>
              <w:bottom w:val="nil"/>
              <w:right w:val="nil"/>
            </w:tcBorders>
            <w:shd w:val="clear" w:color="auto" w:fill="auto"/>
            <w:noWrap/>
            <w:vAlign w:val="center"/>
            <w:hideMark/>
          </w:tcPr>
          <w:p w14:paraId="179FDE77" w14:textId="77777777" w:rsidR="00C27962" w:rsidRPr="00DE4D99" w:rsidRDefault="00C27962" w:rsidP="00C27962">
            <w:pPr>
              <w:spacing w:after="0" w:line="240" w:lineRule="auto"/>
              <w:rPr>
                <w:rFonts w:ascii="Calibri" w:eastAsia="Times New Roman" w:hAnsi="Calibri" w:cs="Calibri"/>
                <w:color w:val="000000"/>
                <w:sz w:val="18"/>
                <w:szCs w:val="18"/>
                <w:lang w:eastAsia="sk-SK"/>
              </w:rPr>
            </w:pPr>
            <w:r w:rsidRPr="00DE4D99">
              <w:rPr>
                <w:rFonts w:ascii="Calibri" w:eastAsia="Times New Roman" w:hAnsi="Calibri" w:cs="Calibri"/>
                <w:color w:val="000000"/>
                <w:sz w:val="18"/>
                <w:szCs w:val="18"/>
                <w:lang w:eastAsia="sk-SK"/>
              </w:rPr>
              <w:t>810 - Poskytnuté pôžičky, kurzové rozdiely</w:t>
            </w:r>
          </w:p>
        </w:tc>
        <w:tc>
          <w:tcPr>
            <w:tcW w:w="1240" w:type="dxa"/>
            <w:tcBorders>
              <w:top w:val="nil"/>
              <w:left w:val="nil"/>
              <w:bottom w:val="nil"/>
              <w:right w:val="nil"/>
            </w:tcBorders>
            <w:shd w:val="clear" w:color="auto" w:fill="auto"/>
            <w:noWrap/>
            <w:vAlign w:val="bottom"/>
            <w:hideMark/>
          </w:tcPr>
          <w:p w14:paraId="6B263034" w14:textId="2F0B7524" w:rsidR="00C27962" w:rsidRPr="00C47022" w:rsidRDefault="00C27962" w:rsidP="00C27962">
            <w:pPr>
              <w:spacing w:after="0" w:line="240" w:lineRule="auto"/>
              <w:jc w:val="right"/>
              <w:rPr>
                <w:rFonts w:ascii="Calibri" w:eastAsia="Times New Roman" w:hAnsi="Calibri" w:cs="Calibri"/>
                <w:color w:val="000000"/>
                <w:lang w:eastAsia="sk-SK"/>
              </w:rPr>
            </w:pPr>
            <w:r w:rsidRPr="00B95B16">
              <w:rPr>
                <w:rFonts w:ascii="Calibri" w:hAnsi="Calibri" w:cs="Calibri"/>
                <w:color w:val="000000"/>
                <w:sz w:val="20"/>
                <w:szCs w:val="20"/>
              </w:rPr>
              <w:t>100</w:t>
            </w:r>
          </w:p>
        </w:tc>
        <w:tc>
          <w:tcPr>
            <w:tcW w:w="1240" w:type="dxa"/>
            <w:tcBorders>
              <w:top w:val="nil"/>
              <w:left w:val="nil"/>
              <w:bottom w:val="nil"/>
              <w:right w:val="nil"/>
            </w:tcBorders>
            <w:shd w:val="clear" w:color="000000" w:fill="D9D9D9"/>
            <w:noWrap/>
            <w:vAlign w:val="bottom"/>
            <w:hideMark/>
          </w:tcPr>
          <w:p w14:paraId="331424D7" w14:textId="78C8CD8B" w:rsidR="00C27962" w:rsidRPr="00C47022" w:rsidRDefault="00C27962" w:rsidP="00C27962">
            <w:pPr>
              <w:spacing w:after="0" w:line="240" w:lineRule="auto"/>
              <w:jc w:val="right"/>
              <w:rPr>
                <w:rFonts w:ascii="Calibri" w:eastAsia="Times New Roman" w:hAnsi="Calibri" w:cs="Calibri"/>
                <w:b/>
                <w:bCs/>
                <w:color w:val="000000"/>
                <w:lang w:eastAsia="sk-SK"/>
              </w:rPr>
            </w:pPr>
            <w:r w:rsidRPr="00382246">
              <w:rPr>
                <w:rFonts w:ascii="Calibri" w:hAnsi="Calibri" w:cs="Calibri"/>
                <w:b/>
                <w:bCs/>
                <w:sz w:val="20"/>
                <w:szCs w:val="20"/>
              </w:rPr>
              <w:t>0</w:t>
            </w:r>
          </w:p>
        </w:tc>
        <w:tc>
          <w:tcPr>
            <w:tcW w:w="1196" w:type="dxa"/>
            <w:tcBorders>
              <w:top w:val="nil"/>
              <w:left w:val="nil"/>
              <w:bottom w:val="nil"/>
              <w:right w:val="nil"/>
            </w:tcBorders>
            <w:shd w:val="clear" w:color="000000" w:fill="EBF1DE"/>
            <w:noWrap/>
            <w:vAlign w:val="center"/>
          </w:tcPr>
          <w:p w14:paraId="26D61FF4" w14:textId="5AE2393B" w:rsidR="00C27962" w:rsidRPr="00654B1D" w:rsidRDefault="00C27962" w:rsidP="00C27962">
            <w:pPr>
              <w:spacing w:after="0" w:line="240" w:lineRule="auto"/>
              <w:jc w:val="right"/>
              <w:rPr>
                <w:rFonts w:ascii="Calibri" w:eastAsia="Times New Roman" w:hAnsi="Calibri" w:cs="Calibri"/>
                <w:color w:val="000000"/>
                <w:lang w:eastAsia="sk-SK"/>
              </w:rPr>
            </w:pPr>
            <w:r>
              <w:rPr>
                <w:rFonts w:ascii="Calibri" w:hAnsi="Calibri" w:cs="Calibri"/>
                <w:color w:val="000000"/>
                <w:sz w:val="18"/>
                <w:szCs w:val="18"/>
              </w:rPr>
              <w:t>-100</w:t>
            </w:r>
          </w:p>
        </w:tc>
        <w:tc>
          <w:tcPr>
            <w:tcW w:w="1061" w:type="dxa"/>
            <w:tcBorders>
              <w:top w:val="nil"/>
              <w:left w:val="nil"/>
              <w:bottom w:val="nil"/>
              <w:right w:val="nil"/>
            </w:tcBorders>
            <w:shd w:val="clear" w:color="000000" w:fill="EBF1DE"/>
            <w:noWrap/>
            <w:vAlign w:val="center"/>
          </w:tcPr>
          <w:p w14:paraId="7F9490EE" w14:textId="1505CE29" w:rsidR="00C27962" w:rsidRPr="00654B1D" w:rsidRDefault="00C27962" w:rsidP="00C27962">
            <w:pPr>
              <w:spacing w:after="0" w:line="240" w:lineRule="auto"/>
              <w:jc w:val="right"/>
              <w:rPr>
                <w:rFonts w:ascii="Calibri" w:eastAsia="Times New Roman" w:hAnsi="Calibri" w:cs="Calibri"/>
                <w:color w:val="000000"/>
                <w:lang w:eastAsia="sk-SK"/>
              </w:rPr>
            </w:pPr>
            <w:r>
              <w:rPr>
                <w:rFonts w:ascii="Calibri" w:hAnsi="Calibri" w:cs="Calibri"/>
                <w:b/>
                <w:bCs/>
                <w:color w:val="000000"/>
                <w:sz w:val="18"/>
                <w:szCs w:val="18"/>
              </w:rPr>
              <w:t>-100,00%</w:t>
            </w:r>
          </w:p>
        </w:tc>
        <w:tc>
          <w:tcPr>
            <w:tcW w:w="1214" w:type="dxa"/>
            <w:tcBorders>
              <w:top w:val="nil"/>
              <w:left w:val="nil"/>
              <w:bottom w:val="nil"/>
              <w:right w:val="nil"/>
            </w:tcBorders>
            <w:shd w:val="clear" w:color="auto" w:fill="auto"/>
            <w:noWrap/>
            <w:vAlign w:val="bottom"/>
            <w:hideMark/>
          </w:tcPr>
          <w:p w14:paraId="0188EAA2" w14:textId="3EC7E9FE" w:rsidR="00C27962" w:rsidRPr="00C47022" w:rsidRDefault="00C27962" w:rsidP="00C27962">
            <w:pPr>
              <w:spacing w:after="0" w:line="240" w:lineRule="auto"/>
              <w:jc w:val="right"/>
              <w:rPr>
                <w:rFonts w:ascii="Calibri" w:eastAsia="Times New Roman" w:hAnsi="Calibri" w:cs="Calibri"/>
                <w:color w:val="000000"/>
                <w:lang w:eastAsia="sk-SK"/>
              </w:rPr>
            </w:pPr>
            <w:r w:rsidRPr="00B95B16">
              <w:rPr>
                <w:rFonts w:ascii="Calibri" w:hAnsi="Calibri" w:cs="Calibri"/>
                <w:color w:val="000000"/>
                <w:sz w:val="20"/>
                <w:szCs w:val="20"/>
              </w:rPr>
              <w:t>0</w:t>
            </w:r>
          </w:p>
        </w:tc>
        <w:tc>
          <w:tcPr>
            <w:tcW w:w="1240" w:type="dxa"/>
            <w:tcBorders>
              <w:top w:val="nil"/>
              <w:left w:val="nil"/>
              <w:bottom w:val="nil"/>
              <w:right w:val="nil"/>
            </w:tcBorders>
            <w:shd w:val="clear" w:color="auto" w:fill="auto"/>
            <w:noWrap/>
            <w:vAlign w:val="bottom"/>
            <w:hideMark/>
          </w:tcPr>
          <w:p w14:paraId="7C9DF92D" w14:textId="41F1381B" w:rsidR="00C27962" w:rsidRPr="00C47022" w:rsidRDefault="00C27962" w:rsidP="00C27962">
            <w:pPr>
              <w:spacing w:after="0" w:line="240" w:lineRule="auto"/>
              <w:jc w:val="right"/>
              <w:rPr>
                <w:rFonts w:ascii="Calibri" w:eastAsia="Times New Roman" w:hAnsi="Calibri" w:cs="Calibri"/>
                <w:color w:val="000000"/>
                <w:lang w:eastAsia="sk-SK"/>
              </w:rPr>
            </w:pPr>
            <w:r w:rsidRPr="00B95B16">
              <w:rPr>
                <w:rFonts w:ascii="Calibri" w:hAnsi="Calibri" w:cs="Calibri"/>
                <w:color w:val="000000"/>
                <w:sz w:val="20"/>
                <w:szCs w:val="20"/>
              </w:rPr>
              <w:t>0</w:t>
            </w:r>
          </w:p>
        </w:tc>
      </w:tr>
      <w:tr w:rsidR="00C27962" w:rsidRPr="00743FB0" w14:paraId="650EE3E1" w14:textId="77777777" w:rsidTr="001311B5">
        <w:trPr>
          <w:trHeight w:val="387"/>
        </w:trPr>
        <w:tc>
          <w:tcPr>
            <w:tcW w:w="3446" w:type="dxa"/>
            <w:tcBorders>
              <w:top w:val="nil"/>
              <w:left w:val="nil"/>
              <w:bottom w:val="nil"/>
              <w:right w:val="nil"/>
            </w:tcBorders>
            <w:shd w:val="clear" w:color="auto" w:fill="auto"/>
            <w:noWrap/>
            <w:vAlign w:val="center"/>
            <w:hideMark/>
          </w:tcPr>
          <w:p w14:paraId="20485AF6" w14:textId="77777777" w:rsidR="00C27962" w:rsidRPr="00DE4D99" w:rsidRDefault="00C27962" w:rsidP="00C27962">
            <w:pPr>
              <w:spacing w:after="0" w:line="240" w:lineRule="auto"/>
              <w:rPr>
                <w:rFonts w:ascii="Calibri" w:eastAsia="Times New Roman" w:hAnsi="Calibri" w:cs="Calibri"/>
                <w:color w:val="000000"/>
                <w:sz w:val="18"/>
                <w:szCs w:val="18"/>
                <w:lang w:eastAsia="sk-SK"/>
              </w:rPr>
            </w:pPr>
            <w:r w:rsidRPr="00DE4D99">
              <w:rPr>
                <w:rFonts w:ascii="Calibri" w:eastAsia="Times New Roman" w:hAnsi="Calibri" w:cs="Calibri"/>
                <w:color w:val="000000"/>
                <w:sz w:val="18"/>
                <w:szCs w:val="18"/>
                <w:lang w:eastAsia="sk-SK"/>
              </w:rPr>
              <w:t>820 - Splátky istín úverov</w:t>
            </w:r>
          </w:p>
        </w:tc>
        <w:tc>
          <w:tcPr>
            <w:tcW w:w="1240" w:type="dxa"/>
            <w:tcBorders>
              <w:top w:val="nil"/>
              <w:left w:val="nil"/>
              <w:bottom w:val="nil"/>
              <w:right w:val="nil"/>
            </w:tcBorders>
            <w:shd w:val="clear" w:color="auto" w:fill="auto"/>
            <w:noWrap/>
            <w:vAlign w:val="bottom"/>
            <w:hideMark/>
          </w:tcPr>
          <w:p w14:paraId="12D64CD0" w14:textId="5547D8D8" w:rsidR="00C27962" w:rsidRPr="00C47022" w:rsidRDefault="00C27962" w:rsidP="00C27962">
            <w:pPr>
              <w:spacing w:after="0" w:line="240" w:lineRule="auto"/>
              <w:jc w:val="right"/>
              <w:rPr>
                <w:rFonts w:ascii="Calibri" w:eastAsia="Times New Roman" w:hAnsi="Calibri" w:cs="Calibri"/>
                <w:color w:val="000000"/>
                <w:lang w:eastAsia="sk-SK"/>
              </w:rPr>
            </w:pPr>
            <w:r w:rsidRPr="00B95B16">
              <w:rPr>
                <w:rFonts w:ascii="Calibri" w:hAnsi="Calibri" w:cs="Calibri"/>
                <w:color w:val="000000"/>
                <w:sz w:val="20"/>
                <w:szCs w:val="20"/>
              </w:rPr>
              <w:t>7 785 589</w:t>
            </w:r>
          </w:p>
        </w:tc>
        <w:tc>
          <w:tcPr>
            <w:tcW w:w="1240" w:type="dxa"/>
            <w:tcBorders>
              <w:top w:val="nil"/>
              <w:left w:val="nil"/>
              <w:bottom w:val="nil"/>
              <w:right w:val="nil"/>
            </w:tcBorders>
            <w:shd w:val="clear" w:color="000000" w:fill="D9D9D9"/>
            <w:noWrap/>
            <w:vAlign w:val="bottom"/>
            <w:hideMark/>
          </w:tcPr>
          <w:p w14:paraId="424D78F1" w14:textId="0219F2BB" w:rsidR="00C27962" w:rsidRPr="00C47022" w:rsidRDefault="00C27962" w:rsidP="00C27962">
            <w:pPr>
              <w:spacing w:after="0" w:line="240" w:lineRule="auto"/>
              <w:jc w:val="right"/>
              <w:rPr>
                <w:rFonts w:ascii="Calibri" w:eastAsia="Times New Roman" w:hAnsi="Calibri" w:cs="Calibri"/>
                <w:b/>
                <w:bCs/>
                <w:color w:val="000000"/>
                <w:lang w:eastAsia="sk-SK"/>
              </w:rPr>
            </w:pPr>
            <w:r w:rsidRPr="00382246">
              <w:rPr>
                <w:rFonts w:ascii="Calibri" w:hAnsi="Calibri" w:cs="Calibri"/>
                <w:b/>
                <w:bCs/>
                <w:sz w:val="20"/>
                <w:szCs w:val="20"/>
              </w:rPr>
              <w:t>6 097 991</w:t>
            </w:r>
          </w:p>
        </w:tc>
        <w:tc>
          <w:tcPr>
            <w:tcW w:w="1196" w:type="dxa"/>
            <w:tcBorders>
              <w:top w:val="nil"/>
              <w:left w:val="nil"/>
              <w:bottom w:val="nil"/>
              <w:right w:val="nil"/>
            </w:tcBorders>
            <w:shd w:val="clear" w:color="000000" w:fill="EBF1DE"/>
            <w:noWrap/>
            <w:vAlign w:val="center"/>
          </w:tcPr>
          <w:p w14:paraId="312583ED" w14:textId="399FA492" w:rsidR="00C27962" w:rsidRPr="00654B1D" w:rsidRDefault="00C27962" w:rsidP="00C27962">
            <w:pPr>
              <w:spacing w:after="0" w:line="240" w:lineRule="auto"/>
              <w:jc w:val="right"/>
              <w:rPr>
                <w:rFonts w:ascii="Calibri" w:eastAsia="Times New Roman" w:hAnsi="Calibri" w:cs="Calibri"/>
                <w:color w:val="000000"/>
                <w:lang w:eastAsia="sk-SK"/>
              </w:rPr>
            </w:pPr>
            <w:r>
              <w:rPr>
                <w:rFonts w:ascii="Calibri" w:hAnsi="Calibri" w:cs="Calibri"/>
                <w:color w:val="000000"/>
                <w:sz w:val="18"/>
                <w:szCs w:val="18"/>
              </w:rPr>
              <w:t>-1 687 598</w:t>
            </w:r>
          </w:p>
        </w:tc>
        <w:tc>
          <w:tcPr>
            <w:tcW w:w="1061" w:type="dxa"/>
            <w:tcBorders>
              <w:top w:val="nil"/>
              <w:left w:val="nil"/>
              <w:bottom w:val="nil"/>
              <w:right w:val="nil"/>
            </w:tcBorders>
            <w:shd w:val="clear" w:color="000000" w:fill="EBF1DE"/>
            <w:noWrap/>
            <w:vAlign w:val="center"/>
          </w:tcPr>
          <w:p w14:paraId="0742F4CA" w14:textId="169CEADA" w:rsidR="00C27962" w:rsidRPr="00654B1D" w:rsidRDefault="00C27962" w:rsidP="00C27962">
            <w:pPr>
              <w:spacing w:after="0" w:line="240" w:lineRule="auto"/>
              <w:jc w:val="right"/>
              <w:rPr>
                <w:rFonts w:ascii="Calibri" w:eastAsia="Times New Roman" w:hAnsi="Calibri" w:cs="Calibri"/>
                <w:color w:val="000000"/>
                <w:lang w:eastAsia="sk-SK"/>
              </w:rPr>
            </w:pPr>
            <w:r>
              <w:rPr>
                <w:rFonts w:ascii="Calibri" w:hAnsi="Calibri" w:cs="Calibri"/>
                <w:b/>
                <w:bCs/>
                <w:color w:val="000000"/>
                <w:sz w:val="18"/>
                <w:szCs w:val="18"/>
              </w:rPr>
              <w:t>-21,68%</w:t>
            </w:r>
          </w:p>
        </w:tc>
        <w:tc>
          <w:tcPr>
            <w:tcW w:w="1214" w:type="dxa"/>
            <w:tcBorders>
              <w:top w:val="nil"/>
              <w:left w:val="nil"/>
              <w:bottom w:val="nil"/>
              <w:right w:val="nil"/>
            </w:tcBorders>
            <w:shd w:val="clear" w:color="auto" w:fill="auto"/>
            <w:noWrap/>
            <w:vAlign w:val="bottom"/>
            <w:hideMark/>
          </w:tcPr>
          <w:p w14:paraId="2EB5AD1F" w14:textId="18EC84FE" w:rsidR="00C27962" w:rsidRPr="00C47022" w:rsidRDefault="00C27962" w:rsidP="00C27962">
            <w:pPr>
              <w:spacing w:after="0" w:line="240" w:lineRule="auto"/>
              <w:jc w:val="right"/>
              <w:rPr>
                <w:rFonts w:ascii="Calibri" w:eastAsia="Times New Roman" w:hAnsi="Calibri" w:cs="Calibri"/>
                <w:color w:val="000000"/>
                <w:lang w:eastAsia="sk-SK"/>
              </w:rPr>
            </w:pPr>
            <w:r w:rsidRPr="00B95B16">
              <w:rPr>
                <w:rFonts w:ascii="Calibri" w:hAnsi="Calibri" w:cs="Calibri"/>
                <w:color w:val="000000"/>
                <w:sz w:val="20"/>
                <w:szCs w:val="20"/>
              </w:rPr>
              <w:t>12 247 119</w:t>
            </w:r>
          </w:p>
        </w:tc>
        <w:tc>
          <w:tcPr>
            <w:tcW w:w="1240" w:type="dxa"/>
            <w:tcBorders>
              <w:top w:val="nil"/>
              <w:left w:val="nil"/>
              <w:bottom w:val="nil"/>
              <w:right w:val="nil"/>
            </w:tcBorders>
            <w:shd w:val="clear" w:color="auto" w:fill="auto"/>
            <w:noWrap/>
            <w:vAlign w:val="bottom"/>
            <w:hideMark/>
          </w:tcPr>
          <w:p w14:paraId="0ABF3989" w14:textId="34E16250" w:rsidR="00C27962" w:rsidRPr="00C47022" w:rsidRDefault="00C27962" w:rsidP="00C27962">
            <w:pPr>
              <w:spacing w:after="0" w:line="240" w:lineRule="auto"/>
              <w:jc w:val="right"/>
              <w:rPr>
                <w:rFonts w:ascii="Calibri" w:eastAsia="Times New Roman" w:hAnsi="Calibri" w:cs="Calibri"/>
                <w:color w:val="000000"/>
                <w:lang w:eastAsia="sk-SK"/>
              </w:rPr>
            </w:pPr>
            <w:r w:rsidRPr="00B95B16">
              <w:rPr>
                <w:rFonts w:ascii="Calibri" w:hAnsi="Calibri" w:cs="Calibri"/>
                <w:color w:val="000000"/>
                <w:sz w:val="20"/>
                <w:szCs w:val="20"/>
              </w:rPr>
              <w:t>9 016 688</w:t>
            </w:r>
          </w:p>
        </w:tc>
      </w:tr>
    </w:tbl>
    <w:p w14:paraId="4F838727" w14:textId="77777777" w:rsidR="00743FB0" w:rsidRDefault="00743FB0" w:rsidP="00357DE9">
      <w:pPr>
        <w:pStyle w:val="Zkladntext"/>
        <w:spacing w:after="0"/>
        <w:jc w:val="both"/>
        <w:rPr>
          <w:rFonts w:asciiTheme="minorHAnsi" w:hAnsiTheme="minorHAnsi" w:cstheme="minorHAnsi"/>
        </w:rPr>
      </w:pPr>
    </w:p>
    <w:p w14:paraId="6CF11D8D" w14:textId="77777777" w:rsidR="00357DE9" w:rsidRDefault="00357DE9" w:rsidP="00357DE9">
      <w:pPr>
        <w:pStyle w:val="Zkladntext"/>
        <w:spacing w:after="0"/>
        <w:jc w:val="both"/>
        <w:rPr>
          <w:rFonts w:asciiTheme="minorHAnsi" w:hAnsiTheme="minorHAnsi" w:cstheme="minorHAnsi"/>
        </w:rPr>
      </w:pPr>
    </w:p>
    <w:p w14:paraId="6E658954" w14:textId="77777777" w:rsidR="00C47022" w:rsidRDefault="00C47022" w:rsidP="00357DE9">
      <w:pPr>
        <w:pStyle w:val="Zkladntext"/>
        <w:spacing w:after="0"/>
        <w:jc w:val="both"/>
        <w:rPr>
          <w:rFonts w:asciiTheme="minorHAnsi" w:hAnsiTheme="minorHAnsi" w:cstheme="minorHAnsi"/>
        </w:rPr>
      </w:pPr>
    </w:p>
    <w:p w14:paraId="7907955E" w14:textId="4D280E03" w:rsidR="00357DE9" w:rsidRDefault="00357DE9" w:rsidP="00357DE9">
      <w:pPr>
        <w:pStyle w:val="Zkladntext"/>
        <w:spacing w:after="0"/>
        <w:jc w:val="both"/>
        <w:rPr>
          <w:rFonts w:asciiTheme="minorHAnsi" w:hAnsiTheme="minorHAnsi" w:cstheme="minorHAnsi"/>
        </w:rPr>
      </w:pPr>
      <w:r>
        <w:rPr>
          <w:rFonts w:asciiTheme="minorHAnsi" w:hAnsiTheme="minorHAnsi" w:cstheme="minorHAnsi"/>
        </w:rPr>
        <w:lastRenderedPageBreak/>
        <w:t>P</w:t>
      </w:r>
      <w:r w:rsidRPr="00D21DFC">
        <w:rPr>
          <w:rFonts w:asciiTheme="minorHAnsi" w:hAnsiTheme="minorHAnsi" w:cstheme="minorHAnsi"/>
        </w:rPr>
        <w:t>rehľad splátok istín z úverov BSK v roku 202</w:t>
      </w:r>
      <w:r w:rsidR="00711BB5">
        <w:rPr>
          <w:rFonts w:asciiTheme="minorHAnsi" w:hAnsiTheme="minorHAnsi" w:cstheme="minorHAnsi"/>
        </w:rPr>
        <w:t>5</w:t>
      </w:r>
      <w:r>
        <w:rPr>
          <w:rFonts w:asciiTheme="minorHAnsi" w:hAnsiTheme="minorHAnsi" w:cstheme="minorHAnsi"/>
        </w:rPr>
        <w:t xml:space="preserve"> prezentuje n</w:t>
      </w:r>
      <w:r w:rsidRPr="00D21DFC">
        <w:rPr>
          <w:rFonts w:asciiTheme="minorHAnsi" w:hAnsiTheme="minorHAnsi" w:cstheme="minorHAnsi"/>
        </w:rPr>
        <w:t>asledovná tabuľka:</w:t>
      </w:r>
    </w:p>
    <w:p w14:paraId="33208FD3" w14:textId="77777777" w:rsidR="008C4D28" w:rsidRDefault="008C4D28" w:rsidP="00357DE9">
      <w:pPr>
        <w:pStyle w:val="Zkladntext"/>
        <w:spacing w:after="0"/>
        <w:jc w:val="both"/>
        <w:rPr>
          <w:rFonts w:asciiTheme="minorHAnsi" w:hAnsiTheme="minorHAnsi" w:cstheme="minorHAnsi"/>
        </w:rPr>
      </w:pPr>
    </w:p>
    <w:tbl>
      <w:tblPr>
        <w:tblW w:w="10000" w:type="dxa"/>
        <w:tblCellMar>
          <w:left w:w="70" w:type="dxa"/>
          <w:right w:w="70" w:type="dxa"/>
        </w:tblCellMar>
        <w:tblLook w:val="04A0" w:firstRow="1" w:lastRow="0" w:firstColumn="1" w:lastColumn="0" w:noHBand="0" w:noVBand="1"/>
      </w:tblPr>
      <w:tblGrid>
        <w:gridCol w:w="5618"/>
        <w:gridCol w:w="2298"/>
        <w:gridCol w:w="2084"/>
      </w:tblGrid>
      <w:tr w:rsidR="001856C8" w:rsidRPr="001856C8" w14:paraId="6BA71E19" w14:textId="77777777" w:rsidTr="00770B34">
        <w:trPr>
          <w:trHeight w:hRule="exact" w:val="704"/>
        </w:trPr>
        <w:tc>
          <w:tcPr>
            <w:tcW w:w="5618" w:type="dxa"/>
            <w:tcBorders>
              <w:top w:val="nil"/>
              <w:left w:val="nil"/>
              <w:bottom w:val="single" w:sz="8" w:space="0" w:color="DCE6F1"/>
              <w:right w:val="nil"/>
            </w:tcBorders>
            <w:shd w:val="clear" w:color="000000" w:fill="95B3D7"/>
            <w:noWrap/>
            <w:vAlign w:val="center"/>
            <w:hideMark/>
          </w:tcPr>
          <w:p w14:paraId="1089B2E9" w14:textId="77777777" w:rsidR="001856C8" w:rsidRPr="001856C8" w:rsidRDefault="001856C8" w:rsidP="001856C8">
            <w:pPr>
              <w:spacing w:after="0" w:line="240" w:lineRule="auto"/>
              <w:rPr>
                <w:rFonts w:ascii="Calibri" w:eastAsia="Times New Roman" w:hAnsi="Calibri" w:cs="Calibri"/>
                <w:b/>
                <w:bCs/>
                <w:color w:val="000000"/>
                <w:sz w:val="24"/>
                <w:szCs w:val="24"/>
                <w:lang w:eastAsia="sk-SK"/>
              </w:rPr>
            </w:pPr>
            <w:r w:rsidRPr="001856C8">
              <w:rPr>
                <w:rFonts w:ascii="Calibri" w:eastAsia="Times New Roman" w:hAnsi="Calibri" w:cs="Calibri"/>
                <w:b/>
                <w:bCs/>
                <w:color w:val="000000"/>
                <w:sz w:val="24"/>
                <w:szCs w:val="24"/>
                <w:lang w:eastAsia="sk-SK"/>
              </w:rPr>
              <w:t>Finančná inštitúcia</w:t>
            </w:r>
          </w:p>
        </w:tc>
        <w:tc>
          <w:tcPr>
            <w:tcW w:w="2298" w:type="dxa"/>
            <w:tcBorders>
              <w:top w:val="nil"/>
              <w:left w:val="nil"/>
              <w:bottom w:val="single" w:sz="8" w:space="0" w:color="DCE6F1"/>
              <w:right w:val="nil"/>
            </w:tcBorders>
            <w:shd w:val="clear" w:color="000000" w:fill="95B3D7"/>
            <w:noWrap/>
            <w:vAlign w:val="center"/>
            <w:hideMark/>
          </w:tcPr>
          <w:p w14:paraId="0DA15F80" w14:textId="6B72B723" w:rsidR="001856C8" w:rsidRPr="001856C8" w:rsidRDefault="001856C8" w:rsidP="001856C8">
            <w:pPr>
              <w:spacing w:after="0" w:line="240" w:lineRule="auto"/>
              <w:jc w:val="right"/>
              <w:rPr>
                <w:rFonts w:ascii="Calibri" w:eastAsia="Times New Roman" w:hAnsi="Calibri" w:cs="Calibri"/>
                <w:b/>
                <w:bCs/>
                <w:color w:val="000000"/>
                <w:sz w:val="24"/>
                <w:szCs w:val="24"/>
                <w:lang w:eastAsia="sk-SK"/>
              </w:rPr>
            </w:pPr>
            <w:r w:rsidRPr="001856C8">
              <w:rPr>
                <w:rFonts w:ascii="Calibri" w:eastAsia="Times New Roman" w:hAnsi="Calibri" w:cs="Calibri"/>
                <w:b/>
                <w:bCs/>
                <w:color w:val="000000"/>
                <w:sz w:val="24"/>
                <w:szCs w:val="24"/>
                <w:lang w:eastAsia="sk-SK"/>
              </w:rPr>
              <w:t>Výška ročnej splátky istiny v roku 202</w:t>
            </w:r>
            <w:r>
              <w:rPr>
                <w:rFonts w:ascii="Calibri" w:eastAsia="Times New Roman" w:hAnsi="Calibri" w:cs="Calibri"/>
                <w:b/>
                <w:bCs/>
                <w:color w:val="000000"/>
                <w:sz w:val="24"/>
                <w:szCs w:val="24"/>
                <w:lang w:eastAsia="sk-SK"/>
              </w:rPr>
              <w:t>5</w:t>
            </w:r>
          </w:p>
        </w:tc>
        <w:tc>
          <w:tcPr>
            <w:tcW w:w="2084" w:type="dxa"/>
            <w:tcBorders>
              <w:top w:val="nil"/>
              <w:left w:val="nil"/>
              <w:bottom w:val="single" w:sz="8" w:space="0" w:color="DCE6F1"/>
              <w:right w:val="nil"/>
            </w:tcBorders>
            <w:shd w:val="clear" w:color="000000" w:fill="95B3D7"/>
            <w:vAlign w:val="center"/>
            <w:hideMark/>
          </w:tcPr>
          <w:p w14:paraId="02D97697" w14:textId="4B764E39" w:rsidR="001856C8" w:rsidRPr="001856C8" w:rsidRDefault="001856C8" w:rsidP="001856C8">
            <w:pPr>
              <w:spacing w:after="0" w:line="240" w:lineRule="auto"/>
              <w:jc w:val="right"/>
              <w:rPr>
                <w:rFonts w:ascii="Calibri" w:eastAsia="Times New Roman" w:hAnsi="Calibri" w:cs="Calibri"/>
                <w:b/>
                <w:bCs/>
                <w:color w:val="000000"/>
                <w:sz w:val="24"/>
                <w:szCs w:val="24"/>
                <w:lang w:eastAsia="sk-SK"/>
              </w:rPr>
            </w:pPr>
            <w:r w:rsidRPr="001856C8">
              <w:rPr>
                <w:rFonts w:ascii="Calibri" w:eastAsia="Times New Roman" w:hAnsi="Calibri" w:cs="Calibri"/>
                <w:b/>
                <w:bCs/>
                <w:color w:val="000000"/>
                <w:sz w:val="24"/>
                <w:szCs w:val="24"/>
                <w:lang w:eastAsia="sk-SK"/>
              </w:rPr>
              <w:t>Zostatok istiny k 31.12.20</w:t>
            </w:r>
            <w:r>
              <w:rPr>
                <w:rFonts w:ascii="Calibri" w:eastAsia="Times New Roman" w:hAnsi="Calibri" w:cs="Calibri"/>
                <w:b/>
                <w:bCs/>
                <w:color w:val="000000"/>
                <w:sz w:val="24"/>
                <w:szCs w:val="24"/>
                <w:lang w:eastAsia="sk-SK"/>
              </w:rPr>
              <w:t>25</w:t>
            </w:r>
          </w:p>
        </w:tc>
      </w:tr>
      <w:tr w:rsidR="00927389" w:rsidRPr="001856C8" w14:paraId="6548D9C9"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053A9B7A"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EIB I.</w:t>
            </w:r>
          </w:p>
        </w:tc>
        <w:tc>
          <w:tcPr>
            <w:tcW w:w="2298" w:type="dxa"/>
            <w:tcBorders>
              <w:top w:val="nil"/>
              <w:left w:val="nil"/>
              <w:bottom w:val="single" w:sz="8" w:space="0" w:color="DCE6F1"/>
              <w:right w:val="nil"/>
            </w:tcBorders>
            <w:shd w:val="clear" w:color="auto" w:fill="auto"/>
            <w:noWrap/>
            <w:vAlign w:val="center"/>
            <w:hideMark/>
          </w:tcPr>
          <w:p w14:paraId="346B3B36" w14:textId="32EA55B1"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282 50</w:t>
            </w:r>
            <w:r>
              <w:rPr>
                <w:rFonts w:ascii="Calibri" w:eastAsia="Times New Roman" w:hAnsi="Calibri" w:cs="Calibri"/>
                <w:color w:val="000000"/>
                <w:sz w:val="24"/>
                <w:szCs w:val="24"/>
                <w:lang w:eastAsia="sk-SK"/>
              </w:rPr>
              <w:t>2</w:t>
            </w:r>
          </w:p>
        </w:tc>
        <w:tc>
          <w:tcPr>
            <w:tcW w:w="2084" w:type="dxa"/>
            <w:tcBorders>
              <w:top w:val="nil"/>
              <w:left w:val="nil"/>
              <w:bottom w:val="single" w:sz="8" w:space="0" w:color="DCE6F1"/>
              <w:right w:val="nil"/>
            </w:tcBorders>
            <w:shd w:val="clear" w:color="auto" w:fill="auto"/>
            <w:vAlign w:val="center"/>
            <w:hideMark/>
          </w:tcPr>
          <w:p w14:paraId="10CB60AF" w14:textId="234DABEC"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3 672 518</w:t>
            </w:r>
          </w:p>
        </w:tc>
      </w:tr>
      <w:tr w:rsidR="00927389" w:rsidRPr="001856C8" w14:paraId="6232F60A"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36D7E769"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EIB II.</w:t>
            </w:r>
          </w:p>
        </w:tc>
        <w:tc>
          <w:tcPr>
            <w:tcW w:w="2298" w:type="dxa"/>
            <w:tcBorders>
              <w:top w:val="nil"/>
              <w:left w:val="nil"/>
              <w:bottom w:val="single" w:sz="8" w:space="0" w:color="DCE6F1"/>
              <w:right w:val="nil"/>
            </w:tcBorders>
            <w:shd w:val="clear" w:color="auto" w:fill="auto"/>
            <w:noWrap/>
            <w:vAlign w:val="center"/>
            <w:hideMark/>
          </w:tcPr>
          <w:p w14:paraId="13D5767F"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126 667</w:t>
            </w:r>
          </w:p>
        </w:tc>
        <w:tc>
          <w:tcPr>
            <w:tcW w:w="2084" w:type="dxa"/>
            <w:tcBorders>
              <w:top w:val="nil"/>
              <w:left w:val="nil"/>
              <w:bottom w:val="single" w:sz="8" w:space="0" w:color="DCE6F1"/>
              <w:right w:val="nil"/>
            </w:tcBorders>
            <w:shd w:val="clear" w:color="auto" w:fill="auto"/>
            <w:vAlign w:val="center"/>
            <w:hideMark/>
          </w:tcPr>
          <w:p w14:paraId="7F2FA752" w14:textId="44790033"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1 899 999</w:t>
            </w:r>
          </w:p>
        </w:tc>
      </w:tr>
      <w:tr w:rsidR="00927389" w:rsidRPr="001856C8" w14:paraId="1B589B70"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5815C435"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EIB III.</w:t>
            </w:r>
          </w:p>
        </w:tc>
        <w:tc>
          <w:tcPr>
            <w:tcW w:w="2298" w:type="dxa"/>
            <w:tcBorders>
              <w:top w:val="nil"/>
              <w:left w:val="nil"/>
              <w:bottom w:val="single" w:sz="8" w:space="0" w:color="DCE6F1"/>
              <w:right w:val="nil"/>
            </w:tcBorders>
            <w:shd w:val="clear" w:color="auto" w:fill="auto"/>
            <w:noWrap/>
            <w:vAlign w:val="center"/>
            <w:hideMark/>
          </w:tcPr>
          <w:p w14:paraId="561518A4"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208 579</w:t>
            </w:r>
          </w:p>
        </w:tc>
        <w:tc>
          <w:tcPr>
            <w:tcW w:w="2084" w:type="dxa"/>
            <w:tcBorders>
              <w:top w:val="nil"/>
              <w:left w:val="nil"/>
              <w:bottom w:val="single" w:sz="8" w:space="0" w:color="DCE6F1"/>
              <w:right w:val="nil"/>
            </w:tcBorders>
            <w:shd w:val="clear" w:color="auto" w:fill="auto"/>
            <w:vAlign w:val="center"/>
            <w:hideMark/>
          </w:tcPr>
          <w:p w14:paraId="025F414B" w14:textId="151C23FF"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3 337 267</w:t>
            </w:r>
          </w:p>
        </w:tc>
      </w:tr>
      <w:tr w:rsidR="00927389" w:rsidRPr="001856C8" w14:paraId="7BB062B0"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314FCC37"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EIB IV.</w:t>
            </w:r>
          </w:p>
        </w:tc>
        <w:tc>
          <w:tcPr>
            <w:tcW w:w="2298" w:type="dxa"/>
            <w:tcBorders>
              <w:top w:val="nil"/>
              <w:left w:val="nil"/>
              <w:bottom w:val="single" w:sz="8" w:space="0" w:color="DCE6F1"/>
              <w:right w:val="nil"/>
            </w:tcBorders>
            <w:shd w:val="clear" w:color="auto" w:fill="auto"/>
            <w:noWrap/>
            <w:vAlign w:val="center"/>
            <w:hideMark/>
          </w:tcPr>
          <w:p w14:paraId="5D5A311F"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118 704</w:t>
            </w:r>
          </w:p>
        </w:tc>
        <w:tc>
          <w:tcPr>
            <w:tcW w:w="2084" w:type="dxa"/>
            <w:tcBorders>
              <w:top w:val="nil"/>
              <w:left w:val="nil"/>
              <w:bottom w:val="single" w:sz="8" w:space="0" w:color="DCE6F1"/>
              <w:right w:val="nil"/>
            </w:tcBorders>
            <w:shd w:val="clear" w:color="auto" w:fill="auto"/>
            <w:vAlign w:val="center"/>
            <w:hideMark/>
          </w:tcPr>
          <w:p w14:paraId="681B559D" w14:textId="003DB298"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2 017 971</w:t>
            </w:r>
          </w:p>
        </w:tc>
      </w:tr>
      <w:tr w:rsidR="00927389" w:rsidRPr="001856C8" w14:paraId="08EBB232"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38C70767"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EIB V.</w:t>
            </w:r>
          </w:p>
        </w:tc>
        <w:tc>
          <w:tcPr>
            <w:tcW w:w="2298" w:type="dxa"/>
            <w:tcBorders>
              <w:top w:val="nil"/>
              <w:left w:val="nil"/>
              <w:bottom w:val="single" w:sz="8" w:space="0" w:color="DCE6F1"/>
              <w:right w:val="nil"/>
            </w:tcBorders>
            <w:shd w:val="clear" w:color="auto" w:fill="auto"/>
            <w:noWrap/>
            <w:vAlign w:val="center"/>
            <w:hideMark/>
          </w:tcPr>
          <w:p w14:paraId="4673D1DC" w14:textId="4085FF64"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99 28</w:t>
            </w:r>
            <w:r>
              <w:rPr>
                <w:rFonts w:ascii="Calibri" w:eastAsia="Times New Roman" w:hAnsi="Calibri" w:cs="Calibri"/>
                <w:color w:val="000000"/>
                <w:sz w:val="24"/>
                <w:szCs w:val="24"/>
                <w:lang w:eastAsia="sk-SK"/>
              </w:rPr>
              <w:t>0</w:t>
            </w:r>
          </w:p>
        </w:tc>
        <w:tc>
          <w:tcPr>
            <w:tcW w:w="2084" w:type="dxa"/>
            <w:tcBorders>
              <w:top w:val="nil"/>
              <w:left w:val="nil"/>
              <w:bottom w:val="single" w:sz="8" w:space="0" w:color="DCE6F1"/>
              <w:right w:val="nil"/>
            </w:tcBorders>
            <w:shd w:val="clear" w:color="auto" w:fill="auto"/>
            <w:vAlign w:val="center"/>
            <w:hideMark/>
          </w:tcPr>
          <w:p w14:paraId="6446BDC9" w14:textId="42D13711"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1 787 076</w:t>
            </w:r>
          </w:p>
        </w:tc>
      </w:tr>
      <w:tr w:rsidR="00927389" w:rsidRPr="001856C8" w14:paraId="254A5DC0"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551FEA66"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 xml:space="preserve">EIB VI. </w:t>
            </w:r>
          </w:p>
        </w:tc>
        <w:tc>
          <w:tcPr>
            <w:tcW w:w="2298" w:type="dxa"/>
            <w:tcBorders>
              <w:top w:val="nil"/>
              <w:left w:val="nil"/>
              <w:bottom w:val="single" w:sz="8" w:space="0" w:color="DCE6F1"/>
              <w:right w:val="nil"/>
            </w:tcBorders>
            <w:shd w:val="clear" w:color="auto" w:fill="auto"/>
            <w:noWrap/>
            <w:vAlign w:val="center"/>
            <w:hideMark/>
          </w:tcPr>
          <w:p w14:paraId="44703AC6"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280 000</w:t>
            </w:r>
          </w:p>
        </w:tc>
        <w:tc>
          <w:tcPr>
            <w:tcW w:w="2084" w:type="dxa"/>
            <w:tcBorders>
              <w:top w:val="nil"/>
              <w:left w:val="nil"/>
              <w:bottom w:val="single" w:sz="8" w:space="0" w:color="DCE6F1"/>
              <w:right w:val="nil"/>
            </w:tcBorders>
            <w:shd w:val="clear" w:color="auto" w:fill="auto"/>
            <w:vAlign w:val="center"/>
            <w:hideMark/>
          </w:tcPr>
          <w:p w14:paraId="208B911A" w14:textId="2CEAF0A9"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5 040 000</w:t>
            </w:r>
          </w:p>
        </w:tc>
      </w:tr>
      <w:tr w:rsidR="00927389" w:rsidRPr="001856C8" w14:paraId="0364DFB7"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30FB5748"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EIB VII.</w:t>
            </w:r>
          </w:p>
        </w:tc>
        <w:tc>
          <w:tcPr>
            <w:tcW w:w="2298" w:type="dxa"/>
            <w:tcBorders>
              <w:top w:val="nil"/>
              <w:left w:val="nil"/>
              <w:bottom w:val="single" w:sz="8" w:space="0" w:color="DCE6F1"/>
              <w:right w:val="nil"/>
            </w:tcBorders>
            <w:shd w:val="clear" w:color="auto" w:fill="auto"/>
            <w:noWrap/>
            <w:vAlign w:val="center"/>
            <w:hideMark/>
          </w:tcPr>
          <w:p w14:paraId="35503867"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80 000</w:t>
            </w:r>
          </w:p>
        </w:tc>
        <w:tc>
          <w:tcPr>
            <w:tcW w:w="2084" w:type="dxa"/>
            <w:tcBorders>
              <w:top w:val="nil"/>
              <w:left w:val="nil"/>
              <w:bottom w:val="single" w:sz="8" w:space="0" w:color="DCE6F1"/>
              <w:right w:val="nil"/>
            </w:tcBorders>
            <w:shd w:val="clear" w:color="auto" w:fill="auto"/>
            <w:vAlign w:val="center"/>
            <w:hideMark/>
          </w:tcPr>
          <w:p w14:paraId="619099B0" w14:textId="6ABB934B"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1 440 000</w:t>
            </w:r>
          </w:p>
        </w:tc>
      </w:tr>
      <w:tr w:rsidR="00927389" w:rsidRPr="001856C8" w14:paraId="333151B5"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4FE71CBD"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 xml:space="preserve">EIB VIII. </w:t>
            </w:r>
          </w:p>
        </w:tc>
        <w:tc>
          <w:tcPr>
            <w:tcW w:w="2298" w:type="dxa"/>
            <w:tcBorders>
              <w:top w:val="nil"/>
              <w:left w:val="nil"/>
              <w:bottom w:val="single" w:sz="8" w:space="0" w:color="DCE6F1"/>
              <w:right w:val="nil"/>
            </w:tcBorders>
            <w:shd w:val="clear" w:color="auto" w:fill="auto"/>
            <w:noWrap/>
            <w:vAlign w:val="center"/>
            <w:hideMark/>
          </w:tcPr>
          <w:p w14:paraId="70464D68"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280 000</w:t>
            </w:r>
          </w:p>
        </w:tc>
        <w:tc>
          <w:tcPr>
            <w:tcW w:w="2084" w:type="dxa"/>
            <w:tcBorders>
              <w:top w:val="nil"/>
              <w:left w:val="nil"/>
              <w:bottom w:val="single" w:sz="8" w:space="0" w:color="DCE6F1"/>
              <w:right w:val="nil"/>
            </w:tcBorders>
            <w:shd w:val="clear" w:color="auto" w:fill="auto"/>
            <w:vAlign w:val="center"/>
            <w:hideMark/>
          </w:tcPr>
          <w:p w14:paraId="54148B50" w14:textId="000175E3"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5 320 000</w:t>
            </w:r>
          </w:p>
        </w:tc>
      </w:tr>
      <w:tr w:rsidR="00927389" w:rsidRPr="001856C8" w14:paraId="2A5C44A0"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061857D6"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 xml:space="preserve">EIB IX. </w:t>
            </w:r>
          </w:p>
        </w:tc>
        <w:tc>
          <w:tcPr>
            <w:tcW w:w="2298" w:type="dxa"/>
            <w:tcBorders>
              <w:top w:val="nil"/>
              <w:left w:val="nil"/>
              <w:bottom w:val="single" w:sz="8" w:space="0" w:color="DCE6F1"/>
              <w:right w:val="nil"/>
            </w:tcBorders>
            <w:shd w:val="clear" w:color="auto" w:fill="auto"/>
            <w:noWrap/>
            <w:vAlign w:val="center"/>
            <w:hideMark/>
          </w:tcPr>
          <w:p w14:paraId="6EEE605E"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240 000</w:t>
            </w:r>
          </w:p>
        </w:tc>
        <w:tc>
          <w:tcPr>
            <w:tcW w:w="2084" w:type="dxa"/>
            <w:tcBorders>
              <w:top w:val="nil"/>
              <w:left w:val="nil"/>
              <w:bottom w:val="single" w:sz="8" w:space="0" w:color="DCE6F1"/>
              <w:right w:val="nil"/>
            </w:tcBorders>
            <w:shd w:val="clear" w:color="auto" w:fill="auto"/>
            <w:vAlign w:val="center"/>
            <w:hideMark/>
          </w:tcPr>
          <w:p w14:paraId="49F3D5C2" w14:textId="499FC9CF"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4 800 000</w:t>
            </w:r>
          </w:p>
        </w:tc>
      </w:tr>
      <w:tr w:rsidR="00927389" w:rsidRPr="001856C8" w14:paraId="42896E06"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30C17D1A"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EIB X</w:t>
            </w:r>
          </w:p>
        </w:tc>
        <w:tc>
          <w:tcPr>
            <w:tcW w:w="2298" w:type="dxa"/>
            <w:tcBorders>
              <w:top w:val="nil"/>
              <w:left w:val="nil"/>
              <w:bottom w:val="single" w:sz="8" w:space="0" w:color="DCE6F1"/>
              <w:right w:val="nil"/>
            </w:tcBorders>
            <w:shd w:val="clear" w:color="auto" w:fill="auto"/>
            <w:noWrap/>
            <w:vAlign w:val="center"/>
            <w:hideMark/>
          </w:tcPr>
          <w:p w14:paraId="09E91328"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120 000</w:t>
            </w:r>
          </w:p>
        </w:tc>
        <w:tc>
          <w:tcPr>
            <w:tcW w:w="2084" w:type="dxa"/>
            <w:tcBorders>
              <w:top w:val="nil"/>
              <w:left w:val="nil"/>
              <w:bottom w:val="single" w:sz="8" w:space="0" w:color="DCE6F1"/>
              <w:right w:val="nil"/>
            </w:tcBorders>
            <w:shd w:val="clear" w:color="auto" w:fill="auto"/>
            <w:vAlign w:val="center"/>
            <w:hideMark/>
          </w:tcPr>
          <w:p w14:paraId="4D90AEA9" w14:textId="3CCF2454"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2 640 000</w:t>
            </w:r>
          </w:p>
        </w:tc>
      </w:tr>
      <w:tr w:rsidR="00927389" w:rsidRPr="001856C8" w14:paraId="19649BD2"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2D4EB3D9"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KB I.</w:t>
            </w:r>
          </w:p>
        </w:tc>
        <w:tc>
          <w:tcPr>
            <w:tcW w:w="2298" w:type="dxa"/>
            <w:tcBorders>
              <w:top w:val="nil"/>
              <w:left w:val="nil"/>
              <w:bottom w:val="single" w:sz="8" w:space="0" w:color="DCE6F1"/>
              <w:right w:val="nil"/>
            </w:tcBorders>
            <w:shd w:val="clear" w:color="auto" w:fill="auto"/>
            <w:noWrap/>
            <w:vAlign w:val="center"/>
            <w:hideMark/>
          </w:tcPr>
          <w:p w14:paraId="3F56533D"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500 852</w:t>
            </w:r>
          </w:p>
        </w:tc>
        <w:tc>
          <w:tcPr>
            <w:tcW w:w="2084" w:type="dxa"/>
            <w:tcBorders>
              <w:top w:val="nil"/>
              <w:left w:val="nil"/>
              <w:bottom w:val="single" w:sz="8" w:space="0" w:color="DCE6F1"/>
              <w:right w:val="nil"/>
            </w:tcBorders>
            <w:shd w:val="clear" w:color="auto" w:fill="auto"/>
            <w:vAlign w:val="center"/>
            <w:hideMark/>
          </w:tcPr>
          <w:p w14:paraId="6DC428F8" w14:textId="3FDC6380"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250 431</w:t>
            </w:r>
          </w:p>
        </w:tc>
      </w:tr>
      <w:tr w:rsidR="00927389" w:rsidRPr="001856C8" w14:paraId="2D966040"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43BA8627"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KB II.</w:t>
            </w:r>
          </w:p>
        </w:tc>
        <w:tc>
          <w:tcPr>
            <w:tcW w:w="2298" w:type="dxa"/>
            <w:tcBorders>
              <w:top w:val="nil"/>
              <w:left w:val="nil"/>
              <w:bottom w:val="single" w:sz="8" w:space="0" w:color="DCE6F1"/>
              <w:right w:val="nil"/>
            </w:tcBorders>
            <w:shd w:val="clear" w:color="auto" w:fill="auto"/>
            <w:noWrap/>
            <w:vAlign w:val="center"/>
            <w:hideMark/>
          </w:tcPr>
          <w:p w14:paraId="65B96F37"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0</w:t>
            </w:r>
          </w:p>
        </w:tc>
        <w:tc>
          <w:tcPr>
            <w:tcW w:w="2084" w:type="dxa"/>
            <w:tcBorders>
              <w:top w:val="nil"/>
              <w:left w:val="nil"/>
              <w:bottom w:val="single" w:sz="8" w:space="0" w:color="DCE6F1"/>
              <w:right w:val="nil"/>
            </w:tcBorders>
            <w:shd w:val="clear" w:color="auto" w:fill="auto"/>
            <w:vAlign w:val="center"/>
            <w:hideMark/>
          </w:tcPr>
          <w:p w14:paraId="15EC8426" w14:textId="6E5AEF46"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0</w:t>
            </w:r>
          </w:p>
        </w:tc>
      </w:tr>
      <w:tr w:rsidR="00927389" w:rsidRPr="001856C8" w14:paraId="4B732789"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7CF744CC"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KB III.</w:t>
            </w:r>
          </w:p>
        </w:tc>
        <w:tc>
          <w:tcPr>
            <w:tcW w:w="2298" w:type="dxa"/>
            <w:tcBorders>
              <w:top w:val="nil"/>
              <w:left w:val="nil"/>
              <w:bottom w:val="single" w:sz="8" w:space="0" w:color="DCE6F1"/>
              <w:right w:val="nil"/>
            </w:tcBorders>
            <w:shd w:val="clear" w:color="auto" w:fill="auto"/>
            <w:noWrap/>
            <w:vAlign w:val="center"/>
            <w:hideMark/>
          </w:tcPr>
          <w:p w14:paraId="3517463D" w14:textId="596247CD"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203 4</w:t>
            </w:r>
            <w:r>
              <w:rPr>
                <w:rFonts w:ascii="Calibri" w:eastAsia="Times New Roman" w:hAnsi="Calibri" w:cs="Calibri"/>
                <w:color w:val="000000"/>
                <w:sz w:val="24"/>
                <w:szCs w:val="24"/>
                <w:lang w:eastAsia="sk-SK"/>
              </w:rPr>
              <w:t>49</w:t>
            </w:r>
          </w:p>
        </w:tc>
        <w:tc>
          <w:tcPr>
            <w:tcW w:w="2084" w:type="dxa"/>
            <w:tcBorders>
              <w:top w:val="nil"/>
              <w:left w:val="nil"/>
              <w:bottom w:val="single" w:sz="8" w:space="0" w:color="DCE6F1"/>
              <w:right w:val="nil"/>
            </w:tcBorders>
            <w:shd w:val="clear" w:color="auto" w:fill="auto"/>
            <w:vAlign w:val="center"/>
            <w:hideMark/>
          </w:tcPr>
          <w:p w14:paraId="58EE5D03" w14:textId="055C87E6"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0</w:t>
            </w:r>
          </w:p>
        </w:tc>
      </w:tr>
      <w:tr w:rsidR="00927389" w:rsidRPr="001856C8" w14:paraId="2181ABB8"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1BC09EBE" w14:textId="20A93A90" w:rsidR="00927389" w:rsidRPr="001856C8" w:rsidRDefault="00927389" w:rsidP="00927389">
            <w:pPr>
              <w:spacing w:after="0" w:line="240" w:lineRule="auto"/>
              <w:rPr>
                <w:rFonts w:ascii="Calibri" w:eastAsia="Times New Roman" w:hAnsi="Calibri" w:cs="Calibri"/>
                <w:color w:val="000000"/>
                <w:sz w:val="24"/>
                <w:szCs w:val="24"/>
                <w:lang w:eastAsia="sk-SK"/>
              </w:rPr>
            </w:pPr>
            <w:r>
              <w:rPr>
                <w:rFonts w:ascii="Calibri" w:eastAsia="Times New Roman" w:hAnsi="Calibri" w:cs="Calibri"/>
                <w:color w:val="000000"/>
                <w:sz w:val="24"/>
                <w:szCs w:val="24"/>
                <w:lang w:eastAsia="sk-SK"/>
              </w:rPr>
              <w:t>ČSOB (</w:t>
            </w:r>
            <w:r w:rsidRPr="001856C8">
              <w:rPr>
                <w:rFonts w:ascii="Calibri" w:eastAsia="Times New Roman" w:hAnsi="Calibri" w:cs="Calibri"/>
                <w:color w:val="000000"/>
                <w:sz w:val="24"/>
                <w:szCs w:val="24"/>
                <w:lang w:eastAsia="sk-SK"/>
              </w:rPr>
              <w:t>OTP</w:t>
            </w:r>
            <w:r>
              <w:rPr>
                <w:rFonts w:ascii="Calibri" w:eastAsia="Times New Roman" w:hAnsi="Calibri" w:cs="Calibri"/>
                <w:color w:val="000000"/>
                <w:sz w:val="24"/>
                <w:szCs w:val="24"/>
                <w:lang w:eastAsia="sk-SK"/>
              </w:rPr>
              <w:t>)</w:t>
            </w:r>
          </w:p>
        </w:tc>
        <w:tc>
          <w:tcPr>
            <w:tcW w:w="2298" w:type="dxa"/>
            <w:tcBorders>
              <w:top w:val="nil"/>
              <w:left w:val="nil"/>
              <w:bottom w:val="single" w:sz="8" w:space="0" w:color="DCE6F1"/>
              <w:right w:val="nil"/>
            </w:tcBorders>
            <w:shd w:val="clear" w:color="auto" w:fill="auto"/>
            <w:noWrap/>
            <w:vAlign w:val="center"/>
            <w:hideMark/>
          </w:tcPr>
          <w:p w14:paraId="4796AF0C"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77 003</w:t>
            </w:r>
          </w:p>
        </w:tc>
        <w:tc>
          <w:tcPr>
            <w:tcW w:w="2084" w:type="dxa"/>
            <w:tcBorders>
              <w:top w:val="nil"/>
              <w:left w:val="nil"/>
              <w:bottom w:val="single" w:sz="8" w:space="0" w:color="DCE6F1"/>
              <w:right w:val="nil"/>
            </w:tcBorders>
            <w:shd w:val="clear" w:color="auto" w:fill="auto"/>
            <w:vAlign w:val="center"/>
            <w:hideMark/>
          </w:tcPr>
          <w:p w14:paraId="7AC638E5" w14:textId="3AD7F796"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0</w:t>
            </w:r>
          </w:p>
        </w:tc>
      </w:tr>
      <w:tr w:rsidR="00927389" w:rsidRPr="001856C8" w14:paraId="5189F200"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06A57582"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SLSP I</w:t>
            </w:r>
          </w:p>
        </w:tc>
        <w:tc>
          <w:tcPr>
            <w:tcW w:w="2298" w:type="dxa"/>
            <w:tcBorders>
              <w:top w:val="nil"/>
              <w:left w:val="nil"/>
              <w:bottom w:val="single" w:sz="8" w:space="0" w:color="DCE6F1"/>
              <w:right w:val="nil"/>
            </w:tcBorders>
            <w:shd w:val="clear" w:color="auto" w:fill="auto"/>
            <w:noWrap/>
            <w:vAlign w:val="center"/>
            <w:hideMark/>
          </w:tcPr>
          <w:p w14:paraId="1499B088"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333 336</w:t>
            </w:r>
          </w:p>
        </w:tc>
        <w:tc>
          <w:tcPr>
            <w:tcW w:w="2084" w:type="dxa"/>
            <w:tcBorders>
              <w:top w:val="nil"/>
              <w:left w:val="nil"/>
              <w:bottom w:val="single" w:sz="8" w:space="0" w:color="DCE6F1"/>
              <w:right w:val="nil"/>
            </w:tcBorders>
            <w:shd w:val="clear" w:color="auto" w:fill="auto"/>
            <w:vAlign w:val="center"/>
            <w:hideMark/>
          </w:tcPr>
          <w:p w14:paraId="6715FCA3" w14:textId="22812AFE"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1 371 031</w:t>
            </w:r>
          </w:p>
        </w:tc>
      </w:tr>
      <w:tr w:rsidR="00927389" w:rsidRPr="001856C8" w14:paraId="0FFFB287"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3415BC59"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SLSP II</w:t>
            </w:r>
          </w:p>
        </w:tc>
        <w:tc>
          <w:tcPr>
            <w:tcW w:w="2298" w:type="dxa"/>
            <w:tcBorders>
              <w:top w:val="nil"/>
              <w:left w:val="nil"/>
              <w:bottom w:val="single" w:sz="8" w:space="0" w:color="DCE6F1"/>
              <w:right w:val="nil"/>
            </w:tcBorders>
            <w:shd w:val="clear" w:color="auto" w:fill="auto"/>
            <w:noWrap/>
            <w:vAlign w:val="center"/>
            <w:hideMark/>
          </w:tcPr>
          <w:p w14:paraId="40E76DB6"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666 668</w:t>
            </w:r>
          </w:p>
        </w:tc>
        <w:tc>
          <w:tcPr>
            <w:tcW w:w="2084" w:type="dxa"/>
            <w:tcBorders>
              <w:top w:val="nil"/>
              <w:left w:val="nil"/>
              <w:bottom w:val="single" w:sz="8" w:space="0" w:color="DCE6F1"/>
              <w:right w:val="nil"/>
            </w:tcBorders>
            <w:shd w:val="clear" w:color="auto" w:fill="auto"/>
            <w:vAlign w:val="center"/>
            <w:hideMark/>
          </w:tcPr>
          <w:p w14:paraId="0968AE9F" w14:textId="53BE1175"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4 666 656</w:t>
            </w:r>
          </w:p>
        </w:tc>
      </w:tr>
      <w:tr w:rsidR="00927389" w:rsidRPr="001856C8" w14:paraId="5F890ACE"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5F709153"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SLSP III</w:t>
            </w:r>
          </w:p>
        </w:tc>
        <w:tc>
          <w:tcPr>
            <w:tcW w:w="2298" w:type="dxa"/>
            <w:tcBorders>
              <w:top w:val="nil"/>
              <w:left w:val="nil"/>
              <w:bottom w:val="single" w:sz="8" w:space="0" w:color="DCE6F1"/>
              <w:right w:val="nil"/>
            </w:tcBorders>
            <w:shd w:val="clear" w:color="auto" w:fill="auto"/>
            <w:noWrap/>
            <w:vAlign w:val="center"/>
            <w:hideMark/>
          </w:tcPr>
          <w:p w14:paraId="7C840466" w14:textId="7777777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1 214 284</w:t>
            </w:r>
          </w:p>
        </w:tc>
        <w:tc>
          <w:tcPr>
            <w:tcW w:w="2084" w:type="dxa"/>
            <w:tcBorders>
              <w:top w:val="nil"/>
              <w:left w:val="nil"/>
              <w:bottom w:val="single" w:sz="8" w:space="0" w:color="DCE6F1"/>
              <w:right w:val="nil"/>
            </w:tcBorders>
            <w:shd w:val="clear" w:color="auto" w:fill="auto"/>
            <w:vAlign w:val="center"/>
            <w:hideMark/>
          </w:tcPr>
          <w:p w14:paraId="6FA9C8CB" w14:textId="3B637E87"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13 964 290</w:t>
            </w:r>
          </w:p>
        </w:tc>
      </w:tr>
      <w:tr w:rsidR="00927389" w:rsidRPr="001856C8" w14:paraId="60CA0A45"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277072CE"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proofErr w:type="spellStart"/>
            <w:r w:rsidRPr="001856C8">
              <w:rPr>
                <w:rFonts w:ascii="Calibri" w:eastAsia="Times New Roman" w:hAnsi="Calibri" w:cs="Calibri"/>
                <w:color w:val="000000"/>
                <w:sz w:val="24"/>
                <w:szCs w:val="24"/>
                <w:lang w:eastAsia="sk-SK"/>
              </w:rPr>
              <w:t>Návr</w:t>
            </w:r>
            <w:proofErr w:type="spellEnd"/>
            <w:r w:rsidRPr="001856C8">
              <w:rPr>
                <w:rFonts w:ascii="Calibri" w:eastAsia="Times New Roman" w:hAnsi="Calibri" w:cs="Calibri"/>
                <w:color w:val="000000"/>
                <w:sz w:val="24"/>
                <w:szCs w:val="24"/>
                <w:lang w:eastAsia="sk-SK"/>
              </w:rPr>
              <w:t xml:space="preserve">. </w:t>
            </w:r>
            <w:proofErr w:type="spellStart"/>
            <w:r w:rsidRPr="001856C8">
              <w:rPr>
                <w:rFonts w:ascii="Calibri" w:eastAsia="Times New Roman" w:hAnsi="Calibri" w:cs="Calibri"/>
                <w:color w:val="000000"/>
                <w:sz w:val="24"/>
                <w:szCs w:val="24"/>
                <w:lang w:eastAsia="sk-SK"/>
              </w:rPr>
              <w:t>finan</w:t>
            </w:r>
            <w:proofErr w:type="spellEnd"/>
            <w:r w:rsidRPr="001856C8">
              <w:rPr>
                <w:rFonts w:ascii="Calibri" w:eastAsia="Times New Roman" w:hAnsi="Calibri" w:cs="Calibri"/>
                <w:color w:val="000000"/>
                <w:sz w:val="24"/>
                <w:szCs w:val="24"/>
                <w:lang w:eastAsia="sk-SK"/>
              </w:rPr>
              <w:t>. výpomoc II (infraštruktúra)</w:t>
            </w:r>
          </w:p>
        </w:tc>
        <w:tc>
          <w:tcPr>
            <w:tcW w:w="2298" w:type="dxa"/>
            <w:tcBorders>
              <w:top w:val="nil"/>
              <w:left w:val="nil"/>
              <w:bottom w:val="single" w:sz="8" w:space="0" w:color="DCE6F1"/>
              <w:right w:val="nil"/>
            </w:tcBorders>
            <w:shd w:val="clear" w:color="auto" w:fill="auto"/>
            <w:noWrap/>
            <w:vAlign w:val="center"/>
            <w:hideMark/>
          </w:tcPr>
          <w:p w14:paraId="1FF106E1" w14:textId="2A06907A"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0</w:t>
            </w:r>
          </w:p>
        </w:tc>
        <w:tc>
          <w:tcPr>
            <w:tcW w:w="2084" w:type="dxa"/>
            <w:tcBorders>
              <w:top w:val="nil"/>
              <w:left w:val="nil"/>
              <w:bottom w:val="single" w:sz="8" w:space="0" w:color="DCE6F1"/>
              <w:right w:val="nil"/>
            </w:tcBorders>
            <w:shd w:val="clear" w:color="auto" w:fill="auto"/>
            <w:vAlign w:val="center"/>
            <w:hideMark/>
          </w:tcPr>
          <w:p w14:paraId="7CA1A87F" w14:textId="24C9E2DD" w:rsidR="00927389" w:rsidRPr="001856C8" w:rsidRDefault="005F25D4"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19</w:t>
            </w:r>
            <w:r w:rsidR="00927389">
              <w:rPr>
                <w:rFonts w:ascii="Calibri" w:hAnsi="Calibri" w:cs="Calibri"/>
                <w:color w:val="000000"/>
              </w:rPr>
              <w:t xml:space="preserve"> </w:t>
            </w:r>
            <w:r w:rsidR="000A7BFB">
              <w:rPr>
                <w:rFonts w:ascii="Calibri" w:hAnsi="Calibri" w:cs="Calibri"/>
                <w:color w:val="000000"/>
              </w:rPr>
              <w:t>1</w:t>
            </w:r>
            <w:r w:rsidR="00927389">
              <w:rPr>
                <w:rFonts w:ascii="Calibri" w:hAnsi="Calibri" w:cs="Calibri"/>
                <w:color w:val="000000"/>
              </w:rPr>
              <w:t>00 000</w:t>
            </w:r>
          </w:p>
        </w:tc>
      </w:tr>
      <w:tr w:rsidR="00927389" w:rsidRPr="001856C8" w14:paraId="3DF3223F" w14:textId="77777777" w:rsidTr="00770B34">
        <w:trPr>
          <w:trHeight w:val="297"/>
        </w:trPr>
        <w:tc>
          <w:tcPr>
            <w:tcW w:w="5618" w:type="dxa"/>
            <w:tcBorders>
              <w:top w:val="nil"/>
              <w:left w:val="nil"/>
              <w:bottom w:val="nil"/>
              <w:right w:val="nil"/>
            </w:tcBorders>
            <w:shd w:val="clear" w:color="auto" w:fill="auto"/>
            <w:noWrap/>
            <w:vAlign w:val="center"/>
            <w:hideMark/>
          </w:tcPr>
          <w:p w14:paraId="41F8D5E7"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Nový úver 2025</w:t>
            </w:r>
          </w:p>
        </w:tc>
        <w:tc>
          <w:tcPr>
            <w:tcW w:w="2298" w:type="dxa"/>
            <w:tcBorders>
              <w:top w:val="nil"/>
              <w:left w:val="nil"/>
              <w:bottom w:val="nil"/>
              <w:right w:val="nil"/>
            </w:tcBorders>
            <w:shd w:val="clear" w:color="auto" w:fill="auto"/>
            <w:noWrap/>
            <w:vAlign w:val="center"/>
            <w:hideMark/>
          </w:tcPr>
          <w:p w14:paraId="0232DAC9" w14:textId="0320EC7D"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0</w:t>
            </w:r>
          </w:p>
        </w:tc>
        <w:tc>
          <w:tcPr>
            <w:tcW w:w="2084" w:type="dxa"/>
            <w:tcBorders>
              <w:top w:val="nil"/>
              <w:left w:val="nil"/>
              <w:bottom w:val="nil"/>
              <w:right w:val="nil"/>
            </w:tcBorders>
            <w:shd w:val="clear" w:color="auto" w:fill="auto"/>
            <w:vAlign w:val="center"/>
            <w:hideMark/>
          </w:tcPr>
          <w:p w14:paraId="73FFF8A7" w14:textId="4536DA6C"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15 000 000</w:t>
            </w:r>
          </w:p>
        </w:tc>
      </w:tr>
      <w:tr w:rsidR="00927389" w:rsidRPr="001856C8" w14:paraId="5AB295D0" w14:textId="77777777" w:rsidTr="00770B34">
        <w:trPr>
          <w:trHeight w:hRule="exact" w:val="297"/>
        </w:trPr>
        <w:tc>
          <w:tcPr>
            <w:tcW w:w="5618" w:type="dxa"/>
            <w:tcBorders>
              <w:top w:val="nil"/>
              <w:left w:val="nil"/>
              <w:bottom w:val="single" w:sz="8" w:space="0" w:color="DCE6F1"/>
              <w:right w:val="nil"/>
            </w:tcBorders>
            <w:shd w:val="clear" w:color="auto" w:fill="auto"/>
            <w:noWrap/>
            <w:vAlign w:val="center"/>
            <w:hideMark/>
          </w:tcPr>
          <w:p w14:paraId="337593F1"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NDF II</w:t>
            </w:r>
          </w:p>
        </w:tc>
        <w:tc>
          <w:tcPr>
            <w:tcW w:w="2298" w:type="dxa"/>
            <w:tcBorders>
              <w:top w:val="nil"/>
              <w:left w:val="nil"/>
              <w:bottom w:val="single" w:sz="8" w:space="0" w:color="DCE6F1"/>
              <w:right w:val="nil"/>
            </w:tcBorders>
            <w:shd w:val="clear" w:color="auto" w:fill="auto"/>
            <w:noWrap/>
            <w:vAlign w:val="center"/>
            <w:hideMark/>
          </w:tcPr>
          <w:p w14:paraId="40B96236" w14:textId="1EF858D4"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1 266 667</w:t>
            </w:r>
          </w:p>
        </w:tc>
        <w:tc>
          <w:tcPr>
            <w:tcW w:w="2084" w:type="dxa"/>
            <w:tcBorders>
              <w:top w:val="nil"/>
              <w:left w:val="nil"/>
              <w:bottom w:val="single" w:sz="8" w:space="0" w:color="DCE6F1"/>
              <w:right w:val="nil"/>
            </w:tcBorders>
            <w:shd w:val="clear" w:color="auto" w:fill="auto"/>
            <w:vAlign w:val="center"/>
            <w:hideMark/>
          </w:tcPr>
          <w:p w14:paraId="22F98D68" w14:textId="3EB35392"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25 333 333</w:t>
            </w:r>
          </w:p>
        </w:tc>
      </w:tr>
      <w:tr w:rsidR="00927389" w:rsidRPr="001856C8" w14:paraId="59B4C7E3" w14:textId="77777777" w:rsidTr="00770B34">
        <w:trPr>
          <w:trHeight w:val="297"/>
        </w:trPr>
        <w:tc>
          <w:tcPr>
            <w:tcW w:w="5618" w:type="dxa"/>
            <w:tcBorders>
              <w:top w:val="nil"/>
              <w:left w:val="nil"/>
              <w:bottom w:val="nil"/>
              <w:right w:val="nil"/>
            </w:tcBorders>
            <w:shd w:val="clear" w:color="auto" w:fill="auto"/>
            <w:noWrap/>
            <w:vAlign w:val="center"/>
            <w:hideMark/>
          </w:tcPr>
          <w:p w14:paraId="102A2DE6" w14:textId="77777777" w:rsidR="00927389" w:rsidRPr="001856C8" w:rsidRDefault="00927389" w:rsidP="00927389">
            <w:pPr>
              <w:spacing w:after="0" w:line="240" w:lineRule="auto"/>
              <w:rPr>
                <w:rFonts w:ascii="Calibri" w:eastAsia="Times New Roman" w:hAnsi="Calibri" w:cs="Calibri"/>
                <w:color w:val="000000"/>
                <w:sz w:val="24"/>
                <w:szCs w:val="24"/>
                <w:lang w:eastAsia="sk-SK"/>
              </w:rPr>
            </w:pPr>
            <w:r w:rsidRPr="001856C8">
              <w:rPr>
                <w:rFonts w:ascii="Calibri" w:eastAsia="Times New Roman" w:hAnsi="Calibri" w:cs="Calibri"/>
                <w:color w:val="000000"/>
                <w:sz w:val="24"/>
                <w:szCs w:val="24"/>
                <w:lang w:eastAsia="sk-SK"/>
              </w:rPr>
              <w:t>Preklenovací úver</w:t>
            </w:r>
          </w:p>
        </w:tc>
        <w:tc>
          <w:tcPr>
            <w:tcW w:w="2298" w:type="dxa"/>
            <w:tcBorders>
              <w:top w:val="nil"/>
              <w:left w:val="nil"/>
              <w:bottom w:val="nil"/>
              <w:right w:val="nil"/>
            </w:tcBorders>
            <w:shd w:val="clear" w:color="auto" w:fill="auto"/>
            <w:noWrap/>
            <w:vAlign w:val="center"/>
            <w:hideMark/>
          </w:tcPr>
          <w:p w14:paraId="3D2F8228" w14:textId="271F1FB4"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0</w:t>
            </w:r>
          </w:p>
        </w:tc>
        <w:tc>
          <w:tcPr>
            <w:tcW w:w="2084" w:type="dxa"/>
            <w:tcBorders>
              <w:top w:val="nil"/>
              <w:left w:val="nil"/>
              <w:bottom w:val="single" w:sz="8" w:space="0" w:color="DCE6F1"/>
              <w:right w:val="nil"/>
            </w:tcBorders>
            <w:shd w:val="clear" w:color="auto" w:fill="auto"/>
            <w:vAlign w:val="center"/>
            <w:hideMark/>
          </w:tcPr>
          <w:p w14:paraId="62A11BCF" w14:textId="28114238" w:rsidR="00927389" w:rsidRPr="001856C8" w:rsidRDefault="00927389" w:rsidP="00927389">
            <w:pPr>
              <w:spacing w:after="0" w:line="240" w:lineRule="auto"/>
              <w:jc w:val="right"/>
              <w:rPr>
                <w:rFonts w:ascii="Calibri" w:eastAsia="Times New Roman" w:hAnsi="Calibri" w:cs="Calibri"/>
                <w:color w:val="000000"/>
                <w:sz w:val="24"/>
                <w:szCs w:val="24"/>
                <w:lang w:eastAsia="sk-SK"/>
              </w:rPr>
            </w:pPr>
            <w:r>
              <w:rPr>
                <w:rFonts w:ascii="Calibri" w:hAnsi="Calibri" w:cs="Calibri"/>
                <w:color w:val="000000"/>
              </w:rPr>
              <w:t>3 980 000</w:t>
            </w:r>
          </w:p>
        </w:tc>
      </w:tr>
      <w:tr w:rsidR="00927389" w:rsidRPr="001856C8" w14:paraId="33DEA92B" w14:textId="77777777" w:rsidTr="00770B34">
        <w:trPr>
          <w:trHeight w:val="284"/>
        </w:trPr>
        <w:tc>
          <w:tcPr>
            <w:tcW w:w="5618" w:type="dxa"/>
            <w:tcBorders>
              <w:top w:val="single" w:sz="8" w:space="0" w:color="DCE6F1"/>
              <w:left w:val="nil"/>
              <w:bottom w:val="nil"/>
              <w:right w:val="nil"/>
            </w:tcBorders>
            <w:shd w:val="clear" w:color="000000" w:fill="DCE6F1"/>
            <w:noWrap/>
            <w:vAlign w:val="center"/>
            <w:hideMark/>
          </w:tcPr>
          <w:p w14:paraId="07653AB1" w14:textId="2E9C4210" w:rsidR="00927389" w:rsidRPr="001856C8" w:rsidRDefault="00927389" w:rsidP="00927389">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Celková splátka istiny/celkový zostatok istiny</w:t>
            </w:r>
          </w:p>
        </w:tc>
        <w:tc>
          <w:tcPr>
            <w:tcW w:w="2298" w:type="dxa"/>
            <w:tcBorders>
              <w:top w:val="single" w:sz="8" w:space="0" w:color="DCE6F1"/>
              <w:left w:val="nil"/>
              <w:bottom w:val="nil"/>
              <w:right w:val="nil"/>
            </w:tcBorders>
            <w:shd w:val="clear" w:color="000000" w:fill="DCE6F1"/>
            <w:noWrap/>
            <w:vAlign w:val="center"/>
            <w:hideMark/>
          </w:tcPr>
          <w:p w14:paraId="51894901" w14:textId="5CDA1DFF" w:rsidR="00927389" w:rsidRPr="001856C8" w:rsidRDefault="00927389" w:rsidP="00927389">
            <w:pPr>
              <w:spacing w:after="0" w:line="240" w:lineRule="auto"/>
              <w:jc w:val="right"/>
              <w:rPr>
                <w:rFonts w:ascii="Calibri" w:eastAsia="Times New Roman" w:hAnsi="Calibri" w:cs="Calibri"/>
                <w:b/>
                <w:bCs/>
                <w:color w:val="000000"/>
                <w:lang w:eastAsia="sk-SK"/>
              </w:rPr>
            </w:pPr>
            <w:r>
              <w:rPr>
                <w:rFonts w:ascii="Calibri" w:hAnsi="Calibri" w:cs="Calibri"/>
                <w:b/>
                <w:bCs/>
                <w:color w:val="000000"/>
              </w:rPr>
              <w:t>6 097 991</w:t>
            </w:r>
          </w:p>
        </w:tc>
        <w:tc>
          <w:tcPr>
            <w:tcW w:w="2084" w:type="dxa"/>
            <w:tcBorders>
              <w:top w:val="nil"/>
              <w:left w:val="nil"/>
              <w:bottom w:val="nil"/>
              <w:right w:val="nil"/>
            </w:tcBorders>
            <w:shd w:val="clear" w:color="000000" w:fill="DCE6F1"/>
            <w:vAlign w:val="center"/>
            <w:hideMark/>
          </w:tcPr>
          <w:p w14:paraId="1AC287C1" w14:textId="0BDA3D4E" w:rsidR="00927389" w:rsidRPr="00510536" w:rsidRDefault="00510536" w:rsidP="00510536">
            <w:pPr>
              <w:spacing w:after="0" w:line="240" w:lineRule="auto"/>
              <w:jc w:val="right"/>
              <w:rPr>
                <w:rFonts w:ascii="Calibri" w:hAnsi="Calibri" w:cs="Calibri"/>
                <w:b/>
                <w:bCs/>
                <w:color w:val="000000"/>
              </w:rPr>
            </w:pPr>
            <w:r w:rsidRPr="00510536">
              <w:rPr>
                <w:rFonts w:ascii="Calibri" w:hAnsi="Calibri" w:cs="Calibri"/>
                <w:b/>
                <w:bCs/>
                <w:color w:val="000000"/>
              </w:rPr>
              <w:t>115 620</w:t>
            </w:r>
            <w:r w:rsidRPr="00510536">
              <w:rPr>
                <w:rFonts w:ascii="Calibri" w:hAnsi="Calibri" w:cs="Calibri"/>
                <w:b/>
                <w:bCs/>
                <w:color w:val="000000"/>
              </w:rPr>
              <w:t> </w:t>
            </w:r>
            <w:r w:rsidRPr="00510536">
              <w:rPr>
                <w:rFonts w:ascii="Calibri" w:hAnsi="Calibri" w:cs="Calibri"/>
                <w:b/>
                <w:bCs/>
                <w:color w:val="000000"/>
              </w:rPr>
              <w:t>572</w:t>
            </w:r>
          </w:p>
        </w:tc>
      </w:tr>
      <w:tr w:rsidR="00927389" w:rsidRPr="001856C8" w14:paraId="583066AD" w14:textId="77777777" w:rsidTr="00770B34">
        <w:trPr>
          <w:trHeight w:val="284"/>
        </w:trPr>
        <w:tc>
          <w:tcPr>
            <w:tcW w:w="5618" w:type="dxa"/>
            <w:tcBorders>
              <w:top w:val="nil"/>
              <w:left w:val="nil"/>
              <w:bottom w:val="single" w:sz="8" w:space="0" w:color="4F81BD"/>
              <w:right w:val="nil"/>
            </w:tcBorders>
            <w:shd w:val="clear" w:color="000000" w:fill="DCE6F1"/>
            <w:noWrap/>
            <w:vAlign w:val="center"/>
            <w:hideMark/>
          </w:tcPr>
          <w:p w14:paraId="000C96FD" w14:textId="07B0AC68" w:rsidR="00927389" w:rsidRPr="001856C8" w:rsidRDefault="00927389" w:rsidP="00927389">
            <w:pPr>
              <w:spacing w:after="0" w:line="240" w:lineRule="auto"/>
              <w:rPr>
                <w:rFonts w:ascii="Calibri" w:eastAsia="Times New Roman" w:hAnsi="Calibri" w:cs="Calibri"/>
                <w:b/>
                <w:bCs/>
                <w:color w:val="000000"/>
                <w:sz w:val="20"/>
                <w:szCs w:val="20"/>
                <w:lang w:eastAsia="sk-SK"/>
              </w:rPr>
            </w:pPr>
            <w:r w:rsidRPr="001856C8">
              <w:rPr>
                <w:rFonts w:ascii="Calibri" w:eastAsia="Times New Roman" w:hAnsi="Calibri" w:cs="Calibri"/>
                <w:b/>
                <w:bCs/>
                <w:color w:val="000000"/>
                <w:sz w:val="20"/>
                <w:szCs w:val="20"/>
                <w:lang w:eastAsia="sk-SK"/>
              </w:rPr>
              <w:t> </w:t>
            </w:r>
            <w:r>
              <w:rPr>
                <w:rFonts w:ascii="Calibri" w:eastAsia="Times New Roman" w:hAnsi="Calibri" w:cs="Calibri"/>
                <w:b/>
                <w:bCs/>
                <w:color w:val="000000"/>
                <w:sz w:val="20"/>
                <w:szCs w:val="20"/>
                <w:lang w:eastAsia="sk-SK"/>
              </w:rPr>
              <w:t>Zostatok istiny bez NDF II a preklenovacieho úveru</w:t>
            </w:r>
          </w:p>
        </w:tc>
        <w:tc>
          <w:tcPr>
            <w:tcW w:w="2298" w:type="dxa"/>
            <w:tcBorders>
              <w:top w:val="nil"/>
              <w:left w:val="nil"/>
              <w:bottom w:val="single" w:sz="8" w:space="0" w:color="4F81BD"/>
              <w:right w:val="nil"/>
            </w:tcBorders>
            <w:shd w:val="clear" w:color="000000" w:fill="DCE6F1"/>
            <w:noWrap/>
            <w:vAlign w:val="center"/>
            <w:hideMark/>
          </w:tcPr>
          <w:p w14:paraId="7E091C82" w14:textId="5C6524E6" w:rsidR="00927389" w:rsidRPr="001856C8" w:rsidRDefault="00927389" w:rsidP="00927389">
            <w:pPr>
              <w:spacing w:after="0" w:line="240" w:lineRule="auto"/>
              <w:rPr>
                <w:rFonts w:ascii="Calibri" w:eastAsia="Times New Roman" w:hAnsi="Calibri" w:cs="Calibri"/>
                <w:b/>
                <w:bCs/>
                <w:color w:val="000000"/>
                <w:lang w:eastAsia="sk-SK"/>
              </w:rPr>
            </w:pPr>
            <w:r>
              <w:rPr>
                <w:rFonts w:ascii="Calibri" w:hAnsi="Calibri" w:cs="Calibri"/>
                <w:b/>
                <w:bCs/>
                <w:color w:val="000000"/>
              </w:rPr>
              <w:t> </w:t>
            </w:r>
          </w:p>
        </w:tc>
        <w:tc>
          <w:tcPr>
            <w:tcW w:w="2084" w:type="dxa"/>
            <w:tcBorders>
              <w:top w:val="nil"/>
              <w:left w:val="nil"/>
              <w:bottom w:val="single" w:sz="8" w:space="0" w:color="4F81BD"/>
              <w:right w:val="nil"/>
            </w:tcBorders>
            <w:shd w:val="clear" w:color="000000" w:fill="DCE6F1"/>
            <w:vAlign w:val="center"/>
            <w:hideMark/>
          </w:tcPr>
          <w:p w14:paraId="3E9794B3" w14:textId="17A5F2F6" w:rsidR="00927389" w:rsidRPr="001856C8" w:rsidRDefault="00927389" w:rsidP="00927389">
            <w:pPr>
              <w:spacing w:after="0" w:line="240" w:lineRule="auto"/>
              <w:jc w:val="right"/>
              <w:rPr>
                <w:rFonts w:ascii="Calibri" w:eastAsia="Times New Roman" w:hAnsi="Calibri" w:cs="Calibri"/>
                <w:b/>
                <w:bCs/>
                <w:color w:val="000000"/>
                <w:lang w:eastAsia="sk-SK"/>
              </w:rPr>
            </w:pPr>
            <w:r>
              <w:rPr>
                <w:rFonts w:ascii="Calibri" w:hAnsi="Calibri" w:cs="Calibri"/>
                <w:b/>
                <w:bCs/>
                <w:color w:val="000000"/>
              </w:rPr>
              <w:t>*8</w:t>
            </w:r>
            <w:r w:rsidR="008F4C3A">
              <w:rPr>
                <w:rFonts w:ascii="Calibri" w:hAnsi="Calibri" w:cs="Calibri"/>
                <w:b/>
                <w:bCs/>
                <w:color w:val="000000"/>
              </w:rPr>
              <w:t>6</w:t>
            </w:r>
            <w:r>
              <w:rPr>
                <w:rFonts w:ascii="Calibri" w:hAnsi="Calibri" w:cs="Calibri"/>
                <w:b/>
                <w:bCs/>
                <w:color w:val="000000"/>
              </w:rPr>
              <w:t xml:space="preserve"> </w:t>
            </w:r>
            <w:r w:rsidR="008F4C3A">
              <w:rPr>
                <w:rFonts w:ascii="Calibri" w:hAnsi="Calibri" w:cs="Calibri"/>
                <w:b/>
                <w:bCs/>
                <w:color w:val="000000"/>
              </w:rPr>
              <w:t>3</w:t>
            </w:r>
            <w:r>
              <w:rPr>
                <w:rFonts w:ascii="Calibri" w:hAnsi="Calibri" w:cs="Calibri"/>
                <w:b/>
                <w:bCs/>
                <w:color w:val="000000"/>
              </w:rPr>
              <w:t>07 239</w:t>
            </w:r>
          </w:p>
        </w:tc>
      </w:tr>
    </w:tbl>
    <w:p w14:paraId="73968E4E" w14:textId="77777777" w:rsidR="008C4D28" w:rsidRDefault="008C4D28" w:rsidP="00357DE9">
      <w:pPr>
        <w:pStyle w:val="Zkladntext"/>
        <w:spacing w:after="0"/>
        <w:jc w:val="both"/>
        <w:rPr>
          <w:rFonts w:asciiTheme="minorHAnsi" w:hAnsiTheme="minorHAnsi" w:cstheme="minorHAnsi"/>
        </w:rPr>
      </w:pPr>
    </w:p>
    <w:p w14:paraId="526B6979" w14:textId="45A654FC" w:rsidR="00357DE9" w:rsidRDefault="00357DE9" w:rsidP="00952A12">
      <w:pPr>
        <w:pStyle w:val="Zkladntext"/>
        <w:spacing w:after="0"/>
        <w:jc w:val="both"/>
        <w:rPr>
          <w:rFonts w:asciiTheme="minorHAnsi" w:eastAsiaTheme="minorHAnsi" w:hAnsiTheme="minorHAnsi" w:cstheme="minorHAnsi"/>
          <w:lang w:eastAsia="en-US"/>
        </w:rPr>
      </w:pPr>
      <w:r w:rsidRPr="00952A12">
        <w:rPr>
          <w:rFonts w:asciiTheme="minorHAnsi" w:eastAsiaTheme="minorHAnsi" w:hAnsiTheme="minorHAnsi" w:cstheme="minorHAnsi"/>
          <w:lang w:eastAsia="en-US"/>
        </w:rPr>
        <w:t>Očakávaná skutočnosť bežných príjmov v roku 202</w:t>
      </w:r>
      <w:r w:rsidR="008C691D">
        <w:rPr>
          <w:rFonts w:asciiTheme="minorHAnsi" w:eastAsiaTheme="minorHAnsi" w:hAnsiTheme="minorHAnsi" w:cstheme="minorHAnsi"/>
          <w:lang w:eastAsia="en-US"/>
        </w:rPr>
        <w:t>4</w:t>
      </w:r>
      <w:r w:rsidRPr="00952A12">
        <w:rPr>
          <w:rFonts w:asciiTheme="minorHAnsi" w:eastAsiaTheme="minorHAnsi" w:hAnsiTheme="minorHAnsi" w:cstheme="minorHAnsi"/>
          <w:lang w:eastAsia="en-US"/>
        </w:rPr>
        <w:t xml:space="preserve"> je vo výške </w:t>
      </w:r>
      <w:r w:rsidR="001F5B6F" w:rsidRPr="001F5B6F">
        <w:rPr>
          <w:rFonts w:asciiTheme="minorHAnsi" w:eastAsiaTheme="minorHAnsi" w:hAnsiTheme="minorHAnsi" w:cstheme="minorHAnsi"/>
          <w:lang w:eastAsia="en-US"/>
        </w:rPr>
        <w:t>245</w:t>
      </w:r>
      <w:r w:rsidR="001F5B6F">
        <w:rPr>
          <w:rFonts w:asciiTheme="minorHAnsi" w:eastAsiaTheme="minorHAnsi" w:hAnsiTheme="minorHAnsi" w:cstheme="minorHAnsi"/>
          <w:lang w:eastAsia="en-US"/>
        </w:rPr>
        <w:t> </w:t>
      </w:r>
      <w:r w:rsidR="001F5B6F" w:rsidRPr="001F5B6F">
        <w:rPr>
          <w:rFonts w:asciiTheme="minorHAnsi" w:eastAsiaTheme="minorHAnsi" w:hAnsiTheme="minorHAnsi" w:cstheme="minorHAnsi"/>
          <w:lang w:eastAsia="en-US"/>
        </w:rPr>
        <w:t>282</w:t>
      </w:r>
      <w:r w:rsidR="001F5B6F">
        <w:rPr>
          <w:rFonts w:asciiTheme="minorHAnsi" w:eastAsiaTheme="minorHAnsi" w:hAnsiTheme="minorHAnsi" w:cstheme="minorHAnsi"/>
          <w:lang w:eastAsia="en-US"/>
        </w:rPr>
        <w:t> </w:t>
      </w:r>
      <w:r w:rsidR="001F5B6F" w:rsidRPr="001F5B6F">
        <w:rPr>
          <w:rFonts w:asciiTheme="minorHAnsi" w:eastAsiaTheme="minorHAnsi" w:hAnsiTheme="minorHAnsi" w:cstheme="minorHAnsi"/>
          <w:lang w:eastAsia="en-US"/>
        </w:rPr>
        <w:t>691</w:t>
      </w:r>
      <w:r w:rsidR="001F5B6F">
        <w:rPr>
          <w:rFonts w:asciiTheme="minorHAnsi" w:eastAsiaTheme="minorHAnsi" w:hAnsiTheme="minorHAnsi" w:cstheme="minorHAnsi"/>
          <w:lang w:eastAsia="en-US"/>
        </w:rPr>
        <w:t xml:space="preserve"> </w:t>
      </w:r>
      <w:r w:rsidRPr="00952A12">
        <w:rPr>
          <w:rFonts w:asciiTheme="minorHAnsi" w:eastAsiaTheme="minorHAnsi" w:hAnsiTheme="minorHAnsi" w:cstheme="minorHAnsi"/>
          <w:lang w:eastAsia="en-US"/>
        </w:rPr>
        <w:t xml:space="preserve">€, z čoho vyplýva, že v zmysle legislatívy (pomer zostatku úverov voči bežným príjmom predchádzajúceho roka) bude </w:t>
      </w:r>
      <w:r w:rsidRPr="002B7079">
        <w:rPr>
          <w:rFonts w:asciiTheme="minorHAnsi" w:eastAsiaTheme="minorHAnsi" w:hAnsiTheme="minorHAnsi" w:cstheme="minorHAnsi"/>
          <w:b/>
          <w:bCs/>
          <w:lang w:eastAsia="en-US"/>
        </w:rPr>
        <w:t>plánované zadlženie BSK k 31.12.202</w:t>
      </w:r>
      <w:r w:rsidR="002B7079">
        <w:rPr>
          <w:rFonts w:asciiTheme="minorHAnsi" w:eastAsiaTheme="minorHAnsi" w:hAnsiTheme="minorHAnsi" w:cstheme="minorHAnsi"/>
          <w:b/>
          <w:bCs/>
          <w:lang w:eastAsia="en-US"/>
        </w:rPr>
        <w:t>5</w:t>
      </w:r>
      <w:r w:rsidRPr="002B7079">
        <w:rPr>
          <w:rFonts w:asciiTheme="minorHAnsi" w:eastAsiaTheme="minorHAnsi" w:hAnsiTheme="minorHAnsi" w:cstheme="minorHAnsi"/>
          <w:b/>
          <w:bCs/>
          <w:lang w:eastAsia="en-US"/>
        </w:rPr>
        <w:t xml:space="preserve"> na úrovni </w:t>
      </w:r>
      <w:r w:rsidR="00941F86" w:rsidRPr="002B7079">
        <w:rPr>
          <w:rFonts w:asciiTheme="minorHAnsi" w:eastAsiaTheme="minorHAnsi" w:hAnsiTheme="minorHAnsi" w:cstheme="minorHAnsi"/>
          <w:b/>
          <w:bCs/>
          <w:lang w:eastAsia="en-US"/>
        </w:rPr>
        <w:t>3</w:t>
      </w:r>
      <w:r w:rsidR="000F4E7B">
        <w:rPr>
          <w:rFonts w:asciiTheme="minorHAnsi" w:eastAsiaTheme="minorHAnsi" w:hAnsiTheme="minorHAnsi" w:cstheme="minorHAnsi"/>
          <w:b/>
          <w:bCs/>
          <w:lang w:eastAsia="en-US"/>
        </w:rPr>
        <w:t>1,36</w:t>
      </w:r>
      <w:r w:rsidRPr="002B7079">
        <w:rPr>
          <w:rFonts w:asciiTheme="minorHAnsi" w:eastAsiaTheme="minorHAnsi" w:hAnsiTheme="minorHAnsi" w:cstheme="minorHAnsi"/>
          <w:b/>
          <w:bCs/>
          <w:lang w:eastAsia="en-US"/>
        </w:rPr>
        <w:t>%</w:t>
      </w:r>
      <w:r w:rsidRPr="00952A12">
        <w:rPr>
          <w:rFonts w:asciiTheme="minorHAnsi" w:eastAsiaTheme="minorHAnsi" w:hAnsiTheme="minorHAnsi" w:cstheme="minorHAnsi"/>
          <w:lang w:eastAsia="en-US"/>
        </w:rPr>
        <w:t xml:space="preserve">. </w:t>
      </w:r>
      <w:r w:rsidR="00941F86" w:rsidRPr="00952A12">
        <w:rPr>
          <w:rFonts w:asciiTheme="minorHAnsi" w:eastAsiaTheme="minorHAnsi" w:hAnsiTheme="minorHAnsi" w:cstheme="minorHAnsi"/>
          <w:lang w:eastAsia="en-US"/>
        </w:rPr>
        <w:t xml:space="preserve">Prijatý úver z NDF II v roku 2023 </w:t>
      </w:r>
      <w:r w:rsidR="00B127C6">
        <w:rPr>
          <w:rFonts w:asciiTheme="minorHAnsi" w:eastAsiaTheme="minorHAnsi" w:hAnsiTheme="minorHAnsi" w:cstheme="minorHAnsi"/>
          <w:lang w:eastAsia="en-US"/>
        </w:rPr>
        <w:t>a plánovaný preklenovací úv</w:t>
      </w:r>
      <w:r w:rsidR="00071F27">
        <w:rPr>
          <w:rFonts w:asciiTheme="minorHAnsi" w:eastAsiaTheme="minorHAnsi" w:hAnsiTheme="minorHAnsi" w:cstheme="minorHAnsi"/>
          <w:lang w:eastAsia="en-US"/>
        </w:rPr>
        <w:t xml:space="preserve">er 2025 </w:t>
      </w:r>
      <w:r w:rsidR="00071F27">
        <w:rPr>
          <w:rFonts w:asciiTheme="minorHAnsi" w:eastAsiaTheme="minorHAnsi" w:hAnsiTheme="minorHAnsi" w:cstheme="minorHAnsi"/>
          <w:lang w:eastAsia="en-US"/>
        </w:rPr>
        <w:br/>
      </w:r>
      <w:r w:rsidRPr="00952A12">
        <w:rPr>
          <w:rFonts w:asciiTheme="minorHAnsi" w:eastAsiaTheme="minorHAnsi" w:hAnsiTheme="minorHAnsi" w:cstheme="minorHAnsi"/>
          <w:lang w:eastAsia="en-US"/>
        </w:rPr>
        <w:t xml:space="preserve">sa </w:t>
      </w:r>
      <w:r w:rsidR="00584367" w:rsidRPr="00952A12">
        <w:rPr>
          <w:rFonts w:asciiTheme="minorHAnsi" w:eastAsiaTheme="minorHAnsi" w:hAnsiTheme="minorHAnsi" w:cstheme="minorHAnsi"/>
          <w:lang w:eastAsia="en-US"/>
        </w:rPr>
        <w:t xml:space="preserve">v zmysle </w:t>
      </w:r>
      <w:r w:rsidR="000158E3" w:rsidRPr="00952A12">
        <w:rPr>
          <w:rFonts w:asciiTheme="minorHAnsi" w:eastAsiaTheme="minorHAnsi" w:hAnsiTheme="minorHAnsi" w:cstheme="minorHAnsi"/>
          <w:lang w:eastAsia="en-US"/>
        </w:rPr>
        <w:t>§ 17 ods</w:t>
      </w:r>
      <w:r w:rsidR="00DF2FA0" w:rsidRPr="00952A12">
        <w:rPr>
          <w:rFonts w:asciiTheme="minorHAnsi" w:eastAsiaTheme="minorHAnsi" w:hAnsiTheme="minorHAnsi" w:cstheme="minorHAnsi"/>
          <w:lang w:eastAsia="en-US"/>
        </w:rPr>
        <w:t>.</w:t>
      </w:r>
      <w:r w:rsidR="000158E3" w:rsidRPr="00952A12">
        <w:rPr>
          <w:rFonts w:asciiTheme="minorHAnsi" w:eastAsiaTheme="minorHAnsi" w:hAnsiTheme="minorHAnsi" w:cstheme="minorHAnsi"/>
          <w:lang w:eastAsia="en-US"/>
        </w:rPr>
        <w:t xml:space="preserve"> 8 zákona č. 583/2004 </w:t>
      </w:r>
      <w:r w:rsidR="00DF2FA0" w:rsidRPr="00952A12">
        <w:rPr>
          <w:rFonts w:asciiTheme="minorHAnsi" w:eastAsiaTheme="minorHAnsi" w:hAnsiTheme="minorHAnsi" w:cstheme="minorHAnsi"/>
          <w:lang w:eastAsia="en-US"/>
        </w:rPr>
        <w:t>o rozpočtových pravidlách územnej samosprávy</w:t>
      </w:r>
      <w:r w:rsidR="00A85493" w:rsidRPr="00952A12">
        <w:rPr>
          <w:rFonts w:asciiTheme="minorHAnsi" w:eastAsiaTheme="minorHAnsi" w:hAnsiTheme="minorHAnsi" w:cstheme="minorHAnsi"/>
          <w:lang w:eastAsia="en-US"/>
        </w:rPr>
        <w:t xml:space="preserve"> do celkovej sumy dlhu BSK </w:t>
      </w:r>
      <w:r w:rsidR="000A008F" w:rsidRPr="00952A12">
        <w:rPr>
          <w:rFonts w:asciiTheme="minorHAnsi" w:eastAsiaTheme="minorHAnsi" w:hAnsiTheme="minorHAnsi" w:cstheme="minorHAnsi"/>
          <w:lang w:eastAsia="en-US"/>
        </w:rPr>
        <w:t>nezapočítav</w:t>
      </w:r>
      <w:r w:rsidR="00071F27">
        <w:rPr>
          <w:rFonts w:asciiTheme="minorHAnsi" w:eastAsiaTheme="minorHAnsi" w:hAnsiTheme="minorHAnsi" w:cstheme="minorHAnsi"/>
          <w:lang w:eastAsia="en-US"/>
        </w:rPr>
        <w:t>ajú</w:t>
      </w:r>
      <w:r w:rsidR="00A85493" w:rsidRPr="00952A12">
        <w:rPr>
          <w:rFonts w:asciiTheme="minorHAnsi" w:eastAsiaTheme="minorHAnsi" w:hAnsiTheme="minorHAnsi" w:cstheme="minorHAnsi"/>
          <w:lang w:eastAsia="en-US"/>
        </w:rPr>
        <w:t>.</w:t>
      </w:r>
    </w:p>
    <w:p w14:paraId="4C9AA618" w14:textId="77777777" w:rsidR="004D7228" w:rsidRDefault="004D7228" w:rsidP="00952A12">
      <w:pPr>
        <w:pStyle w:val="Zkladntext"/>
        <w:spacing w:after="0"/>
        <w:jc w:val="both"/>
        <w:rPr>
          <w:rFonts w:asciiTheme="minorHAnsi" w:eastAsiaTheme="minorHAnsi" w:hAnsiTheme="minorHAnsi" w:cstheme="minorHAnsi"/>
          <w:lang w:eastAsia="en-US"/>
        </w:rPr>
      </w:pPr>
    </w:p>
    <w:p w14:paraId="0B1675BD" w14:textId="1EB49FC5" w:rsidR="004D7228" w:rsidRDefault="00F643DF" w:rsidP="00952A12">
      <w:pPr>
        <w:pStyle w:val="Zkladntext"/>
        <w:spacing w:after="0"/>
        <w:jc w:val="both"/>
        <w:rPr>
          <w:rFonts w:asciiTheme="minorHAnsi" w:eastAsiaTheme="minorHAnsi" w:hAnsiTheme="minorHAnsi" w:cstheme="minorHAnsi"/>
          <w:lang w:eastAsia="en-US"/>
        </w:rPr>
      </w:pPr>
      <w:r>
        <w:rPr>
          <w:noProof/>
        </w:rPr>
        <w:drawing>
          <wp:inline distT="0" distB="0" distL="0" distR="0" wp14:anchorId="1261FD78" wp14:editId="0C09A16C">
            <wp:extent cx="6645910" cy="2766349"/>
            <wp:effectExtent l="0" t="0" r="2540" b="15240"/>
            <wp:docPr id="812058624" name="Graf 1">
              <a:extLst xmlns:a="http://schemas.openxmlformats.org/drawingml/2006/main">
                <a:ext uri="{FF2B5EF4-FFF2-40B4-BE49-F238E27FC236}">
                  <a16:creationId xmlns:a16="http://schemas.microsoft.com/office/drawing/2014/main" id="{4A60B454-AA73-4131-9D8A-7DE26BF5B2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04FD9BF" w14:textId="77777777" w:rsidR="00E7192C" w:rsidRDefault="00E7192C" w:rsidP="00952A12">
      <w:pPr>
        <w:pStyle w:val="Zkladntext"/>
        <w:spacing w:after="0"/>
        <w:jc w:val="both"/>
        <w:rPr>
          <w:rFonts w:asciiTheme="minorHAnsi" w:eastAsiaTheme="minorHAnsi" w:hAnsiTheme="minorHAnsi" w:cstheme="minorHAnsi"/>
          <w:lang w:eastAsia="en-US"/>
        </w:rPr>
      </w:pPr>
    </w:p>
    <w:p w14:paraId="3894A158" w14:textId="245C43C0" w:rsidR="00622351" w:rsidRPr="00952A12" w:rsidRDefault="00622351" w:rsidP="00952A12">
      <w:pPr>
        <w:pStyle w:val="Zkladntext"/>
        <w:spacing w:after="0"/>
        <w:jc w:val="both"/>
        <w:rPr>
          <w:rFonts w:asciiTheme="minorHAnsi" w:eastAsiaTheme="minorHAnsi" w:hAnsiTheme="minorHAnsi" w:cstheme="minorHAnsi"/>
          <w:lang w:eastAsia="en-US"/>
        </w:rPr>
        <w:sectPr w:rsidR="00622351" w:rsidRPr="00952A12" w:rsidSect="00512FA3">
          <w:footerReference w:type="default" r:id="rId29"/>
          <w:pgSz w:w="11906" w:h="16838"/>
          <w:pgMar w:top="720" w:right="720" w:bottom="720" w:left="720" w:header="708" w:footer="32" w:gutter="0"/>
          <w:cols w:space="708"/>
          <w:docGrid w:linePitch="360"/>
        </w:sectPr>
      </w:pPr>
    </w:p>
    <w:p w14:paraId="18BA1709" w14:textId="19DF70F2" w:rsidR="00357DE9" w:rsidRPr="00B855ED" w:rsidRDefault="00357DE9" w:rsidP="00B855ED">
      <w:pPr>
        <w:rPr>
          <w:rFonts w:eastAsia="Times New Roman" w:cs="Times New Roman"/>
          <w:b/>
          <w:bCs/>
          <w:color w:val="000080"/>
          <w:kern w:val="36"/>
          <w:sz w:val="48"/>
          <w:szCs w:val="48"/>
          <w:lang w:eastAsia="sk-SK"/>
        </w:rPr>
      </w:pPr>
      <w:r w:rsidRPr="00991E56">
        <w:rPr>
          <w:rFonts w:eastAsia="Times New Roman" w:cs="Times New Roman"/>
          <w:b/>
          <w:bCs/>
          <w:color w:val="000080"/>
          <w:kern w:val="36"/>
          <w:sz w:val="48"/>
          <w:szCs w:val="48"/>
          <w:lang w:eastAsia="sk-SK"/>
        </w:rPr>
        <w:lastRenderedPageBreak/>
        <w:t>Programový rozpočet na roky 202</w:t>
      </w:r>
      <w:r w:rsidR="00711BB5">
        <w:rPr>
          <w:rFonts w:eastAsia="Times New Roman" w:cs="Times New Roman"/>
          <w:b/>
          <w:bCs/>
          <w:color w:val="000080"/>
          <w:kern w:val="36"/>
          <w:sz w:val="48"/>
          <w:szCs w:val="48"/>
          <w:lang w:eastAsia="sk-SK"/>
        </w:rPr>
        <w:t>5</w:t>
      </w:r>
      <w:r w:rsidR="00E87DCB">
        <w:rPr>
          <w:rFonts w:eastAsia="Times New Roman" w:cs="Times New Roman"/>
          <w:b/>
          <w:bCs/>
          <w:color w:val="000080"/>
          <w:kern w:val="36"/>
          <w:sz w:val="48"/>
          <w:szCs w:val="48"/>
          <w:lang w:eastAsia="sk-SK"/>
        </w:rPr>
        <w:t xml:space="preserve">  </w:t>
      </w:r>
      <w:r w:rsidRPr="00991E56">
        <w:rPr>
          <w:rFonts w:eastAsia="Times New Roman" w:cs="Times New Roman"/>
          <w:b/>
          <w:bCs/>
          <w:color w:val="000080"/>
          <w:kern w:val="36"/>
          <w:sz w:val="48"/>
          <w:szCs w:val="48"/>
          <w:lang w:eastAsia="sk-SK"/>
        </w:rPr>
        <w:t>-</w:t>
      </w:r>
      <w:r w:rsidR="00E87DCB">
        <w:rPr>
          <w:rFonts w:eastAsia="Times New Roman" w:cs="Times New Roman"/>
          <w:b/>
          <w:bCs/>
          <w:color w:val="000080"/>
          <w:kern w:val="36"/>
          <w:sz w:val="48"/>
          <w:szCs w:val="48"/>
          <w:lang w:eastAsia="sk-SK"/>
        </w:rPr>
        <w:t xml:space="preserve"> </w:t>
      </w:r>
      <w:r w:rsidRPr="00991E56">
        <w:rPr>
          <w:rFonts w:eastAsia="Times New Roman" w:cs="Times New Roman"/>
          <w:b/>
          <w:bCs/>
          <w:color w:val="000080"/>
          <w:kern w:val="36"/>
          <w:sz w:val="48"/>
          <w:szCs w:val="48"/>
          <w:lang w:eastAsia="sk-SK"/>
        </w:rPr>
        <w:t>202</w:t>
      </w:r>
      <w:r w:rsidR="00711BB5">
        <w:rPr>
          <w:rFonts w:eastAsia="Times New Roman" w:cs="Times New Roman"/>
          <w:b/>
          <w:bCs/>
          <w:color w:val="000080"/>
          <w:kern w:val="36"/>
          <w:sz w:val="48"/>
          <w:szCs w:val="48"/>
          <w:lang w:eastAsia="sk-SK"/>
        </w:rPr>
        <w:t>7</w:t>
      </w:r>
    </w:p>
    <w:p w14:paraId="02C36736" w14:textId="77777777" w:rsidR="00521A08" w:rsidRDefault="00521A08" w:rsidP="00521A08">
      <w:pPr>
        <w:pStyle w:val="Nadpis2"/>
        <w:rPr>
          <w:rFonts w:asciiTheme="minorHAnsi" w:hAnsiTheme="minorHAnsi" w:cstheme="minorHAnsi"/>
        </w:rPr>
      </w:pPr>
      <w:r>
        <w:rPr>
          <w:rFonts w:asciiTheme="minorHAnsi" w:hAnsiTheme="minorHAnsi" w:cstheme="minorHAnsi"/>
          <w:color w:val="000080"/>
        </w:rPr>
        <w:t>Program 1: Plánovanie, manažment a kontrola</w:t>
      </w:r>
      <w:r>
        <w:rPr>
          <w:rFonts w:asciiTheme="minorHAnsi" w:hAnsiTheme="minorHAnsi" w:cstheme="minorHAnsi"/>
        </w:rPr>
        <w:t xml:space="preserve"> </w:t>
      </w:r>
    </w:p>
    <w:p w14:paraId="1D5B3891" w14:textId="77777777" w:rsidR="00521A08" w:rsidRDefault="00521A08" w:rsidP="00521A08">
      <w:pPr>
        <w:pStyle w:val="Normlnywebov"/>
        <w:rPr>
          <w:rFonts w:asciiTheme="minorHAnsi" w:eastAsiaTheme="minorEastAsia" w:hAnsiTheme="minorHAnsi" w:cstheme="minorHAnsi"/>
        </w:rPr>
      </w:pPr>
      <w:r>
        <w:rPr>
          <w:rFonts w:asciiTheme="minorHAnsi" w:hAnsiTheme="minorHAnsi" w:cstheme="minorHAnsi"/>
          <w:b/>
          <w:bCs/>
        </w:rPr>
        <w:t xml:space="preserve">Zámer: </w:t>
      </w:r>
      <w:r>
        <w:rPr>
          <w:rFonts w:asciiTheme="minorHAnsi" w:hAnsiTheme="minorHAnsi" w:cstheme="minorHAnsi"/>
        </w:rPr>
        <w:t>Trvalo udržateľný rozvoj BSK</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481"/>
        <w:gridCol w:w="2059"/>
        <w:gridCol w:w="1487"/>
        <w:gridCol w:w="1487"/>
        <w:gridCol w:w="649"/>
        <w:gridCol w:w="1487"/>
        <w:gridCol w:w="649"/>
        <w:gridCol w:w="1487"/>
        <w:gridCol w:w="664"/>
      </w:tblGrid>
      <w:tr w:rsidR="00521A08" w14:paraId="445D7B1D" w14:textId="77777777" w:rsidTr="00521A08">
        <w:trPr>
          <w:trHeight w:hRule="exact" w:val="284"/>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4F95E420" w14:textId="77777777" w:rsidR="00521A08" w:rsidRDefault="00521A08" w:rsidP="005D28D3">
            <w:pPr>
              <w:jc w:val="center"/>
              <w:rPr>
                <w:rFonts w:eastAsia="Times New Roman" w:cstheme="minorHAnsi"/>
              </w:rPr>
            </w:pPr>
            <w:r>
              <w:rPr>
                <w:rFonts w:eastAsia="Times New Roman" w:cstheme="minorHAnsi"/>
                <w:b/>
                <w:bCs/>
                <w:i/>
                <w:iCs/>
              </w:rPr>
              <w:t>Rozpočet v EUR</w:t>
            </w:r>
          </w:p>
        </w:tc>
      </w:tr>
      <w:tr w:rsidR="00843392" w14:paraId="25813817" w14:textId="77777777" w:rsidTr="00C62828">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5148D90E" w14:textId="77777777" w:rsidR="00843392" w:rsidRDefault="00843392" w:rsidP="00843392">
            <w:pPr>
              <w:rPr>
                <w:rFonts w:eastAsia="Times New Roman" w:cstheme="minorHAnsi"/>
              </w:rPr>
            </w:pPr>
            <w:r>
              <w:rPr>
                <w:rFonts w:eastAsia="Times New Roman" w:cstheme="minorHAnsi"/>
                <w:b/>
                <w:bCs/>
                <w:sz w:val="20"/>
                <w:szCs w:val="20"/>
              </w:rPr>
              <w:t>EK</w:t>
            </w:r>
          </w:p>
        </w:tc>
        <w:tc>
          <w:tcPr>
            <w:tcW w:w="975" w:type="pct"/>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72BBDFE6" w14:textId="77777777" w:rsidR="00843392" w:rsidRDefault="00843392" w:rsidP="00843392">
            <w:pPr>
              <w:rPr>
                <w:rFonts w:eastAsia="Times New Roman" w:cstheme="minorHAnsi"/>
              </w:rPr>
            </w:pPr>
            <w:r>
              <w:rPr>
                <w:rFonts w:eastAsia="Times New Roman" w:cstheme="minorHAnsi"/>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2C897763" w14:textId="6D5488EA" w:rsidR="00843392" w:rsidRDefault="00843392" w:rsidP="00843392">
            <w:pPr>
              <w:jc w:val="center"/>
              <w:rPr>
                <w:rFonts w:eastAsia="Times New Roman" w:cstheme="minorHAnsi"/>
              </w:rPr>
            </w:pPr>
            <w:r w:rsidRPr="00121894">
              <w:rPr>
                <w:rFonts w:ascii="Calibri" w:eastAsia="Times New Roman" w:hAnsi="Calibri" w:cs="Calibri"/>
                <w:b/>
                <w:bCs/>
                <w:sz w:val="20"/>
                <w:szCs w:val="20"/>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30B5DC1F" w14:textId="529C039C" w:rsidR="00843392" w:rsidRDefault="00843392" w:rsidP="00843392">
            <w:pPr>
              <w:jc w:val="center"/>
              <w:rPr>
                <w:rFonts w:eastAsia="Times New Roman" w:cstheme="minorHAnsi"/>
              </w:rPr>
            </w:pPr>
            <w:r w:rsidRPr="00121894">
              <w:rPr>
                <w:rFonts w:ascii="Calibri" w:eastAsia="Times New Roman" w:hAnsi="Calibri" w:cs="Calibri"/>
                <w:b/>
                <w:bCs/>
                <w:sz w:val="20"/>
                <w:szCs w:val="20"/>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4BCA4BDB" w14:textId="2038F927" w:rsidR="00843392" w:rsidRDefault="00843392" w:rsidP="00843392">
            <w:pPr>
              <w:jc w:val="center"/>
              <w:rPr>
                <w:rFonts w:eastAsia="Times New Roman" w:cstheme="minorHAnsi"/>
              </w:rPr>
            </w:pPr>
            <w:r w:rsidRPr="00121894">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2ACCEC0C" w14:textId="558A664F" w:rsidR="00843392" w:rsidRDefault="00843392" w:rsidP="00843392">
            <w:pPr>
              <w:jc w:val="center"/>
              <w:rPr>
                <w:rFonts w:eastAsia="Times New Roman" w:cstheme="minorHAnsi"/>
              </w:rPr>
            </w:pPr>
            <w:r w:rsidRPr="00121894">
              <w:rPr>
                <w:rFonts w:ascii="Calibri" w:eastAsia="Times New Roman" w:hAnsi="Calibri" w:cs="Calibri"/>
                <w:b/>
                <w:bCs/>
                <w:sz w:val="20"/>
                <w:szCs w:val="20"/>
              </w:rPr>
              <w:t>2026</w:t>
            </w:r>
          </w:p>
        </w:tc>
        <w:tc>
          <w:tcPr>
            <w:tcW w:w="296" w:type="pct"/>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128859E2" w14:textId="118CFF24" w:rsidR="00843392" w:rsidRDefault="00843392" w:rsidP="00843392">
            <w:pPr>
              <w:jc w:val="center"/>
              <w:rPr>
                <w:rFonts w:eastAsia="Times New Roman" w:cstheme="minorHAnsi"/>
              </w:rPr>
            </w:pPr>
            <w:r w:rsidRPr="00121894">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13ECFE8F" w14:textId="407B70EC" w:rsidR="00843392" w:rsidRDefault="00843392" w:rsidP="00843392">
            <w:pPr>
              <w:jc w:val="center"/>
              <w:rPr>
                <w:rFonts w:eastAsia="Times New Roman" w:cstheme="minorHAnsi"/>
              </w:rPr>
            </w:pPr>
            <w:r w:rsidRPr="00121894">
              <w:rPr>
                <w:rFonts w:ascii="Calibri" w:eastAsia="Times New Roman" w:hAnsi="Calibri" w:cs="Calibri"/>
                <w:b/>
                <w:bCs/>
                <w:sz w:val="20"/>
                <w:szCs w:val="20"/>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05EE640F" w14:textId="777CD7C9" w:rsidR="00843392" w:rsidRDefault="00843392" w:rsidP="00843392">
            <w:pPr>
              <w:jc w:val="center"/>
              <w:rPr>
                <w:rFonts w:eastAsia="Times New Roman" w:cstheme="minorHAnsi"/>
              </w:rPr>
            </w:pPr>
            <w:r w:rsidRPr="00121894">
              <w:rPr>
                <w:rFonts w:ascii="Calibri" w:eastAsia="Times New Roman" w:hAnsi="Calibri" w:cs="Calibri"/>
                <w:b/>
                <w:bCs/>
                <w:sz w:val="20"/>
                <w:szCs w:val="20"/>
              </w:rPr>
              <w:t>%</w:t>
            </w:r>
          </w:p>
        </w:tc>
      </w:tr>
      <w:tr w:rsidR="00C62828" w14:paraId="21270223" w14:textId="77777777" w:rsidTr="00C7385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69519D60" w14:textId="77777777" w:rsidR="00C62828" w:rsidRDefault="00C62828" w:rsidP="00C62828">
            <w:pPr>
              <w:rPr>
                <w:rFonts w:eastAsia="Times New Roman" w:cstheme="minorHAnsi"/>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B0F4F9A" w14:textId="77777777" w:rsidR="00C62828" w:rsidRDefault="00C62828" w:rsidP="00C62828">
            <w:pPr>
              <w:rPr>
                <w:rFonts w:eastAsia="Times New Roman" w:cstheme="minorHAnsi"/>
                <w:sz w:val="24"/>
                <w:szCs w:val="24"/>
              </w:rPr>
            </w:pPr>
            <w:r>
              <w:rPr>
                <w:rFonts w:eastAsia="Times New Roman" w:cstheme="minorHAnsi"/>
                <w:b/>
                <w:bCs/>
                <w:sz w:val="20"/>
                <w:szCs w:val="20"/>
              </w:rPr>
              <w:t>Výdavky celkom</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156DBE16" w14:textId="73A4C213" w:rsidR="00C62828" w:rsidRDefault="00C62828" w:rsidP="00C62828">
            <w:pPr>
              <w:jc w:val="right"/>
              <w:rPr>
                <w:rFonts w:eastAsia="Times New Roman" w:cstheme="minorHAnsi"/>
              </w:rPr>
            </w:pPr>
            <w:r w:rsidRPr="00121894">
              <w:rPr>
                <w:rFonts w:ascii="Calibri" w:eastAsia="Times New Roman" w:hAnsi="Calibri" w:cs="Calibri"/>
                <w:b/>
                <w:bCs/>
                <w:sz w:val="20"/>
                <w:szCs w:val="20"/>
              </w:rPr>
              <w:t>20 722 743,01</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E21FE47" w14:textId="399B14DB"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41 452 562,71</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6924AAAE" w14:textId="662BD2C5"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200,03</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3EB4BA97" w14:textId="051260B0"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69 281 599,66</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3667037B" w14:textId="72A74D15"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167,80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8FD4A3F" w14:textId="0CDE5C13" w:rsidR="00C62828" w:rsidRDefault="00C62828" w:rsidP="00C62828">
            <w:pPr>
              <w:jc w:val="right"/>
              <w:rPr>
                <w:rFonts w:eastAsia="Times New Roman" w:cstheme="minorHAnsi"/>
              </w:rPr>
            </w:pPr>
            <w:r w:rsidRPr="00121894">
              <w:rPr>
                <w:rFonts w:ascii="Calibri" w:eastAsia="Times New Roman" w:hAnsi="Calibri" w:cs="Calibri"/>
                <w:b/>
                <w:bCs/>
                <w:sz w:val="20"/>
                <w:szCs w:val="20"/>
              </w:rPr>
              <w:t>71 178 711,29</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18160E15" w14:textId="2692B858" w:rsidR="00C62828" w:rsidRDefault="00C62828" w:rsidP="00C62828">
            <w:pPr>
              <w:jc w:val="right"/>
              <w:rPr>
                <w:rFonts w:eastAsia="Times New Roman" w:cstheme="minorHAnsi"/>
              </w:rPr>
            </w:pPr>
            <w:r w:rsidRPr="00121894">
              <w:rPr>
                <w:rFonts w:ascii="Calibri" w:eastAsia="Times New Roman" w:hAnsi="Calibri" w:cs="Calibri"/>
                <w:b/>
                <w:bCs/>
                <w:sz w:val="20"/>
                <w:szCs w:val="20"/>
              </w:rPr>
              <w:t>102,74</w:t>
            </w:r>
            <w:r w:rsidRPr="00121894">
              <w:rPr>
                <w:rFonts w:ascii="Calibri" w:eastAsia="Times New Roman" w:hAnsi="Calibri" w:cs="Calibri"/>
              </w:rPr>
              <w:t xml:space="preserve"> </w:t>
            </w:r>
          </w:p>
        </w:tc>
      </w:tr>
      <w:tr w:rsidR="00C62828" w14:paraId="5AB39A6C" w14:textId="77777777" w:rsidTr="00C7385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7089CFA1" w14:textId="77777777" w:rsidR="00C62828" w:rsidRDefault="00C62828" w:rsidP="00C62828">
            <w:pPr>
              <w:rPr>
                <w:rFonts w:eastAsia="Times New Roman" w:cstheme="minorHAnsi"/>
              </w:rPr>
            </w:pPr>
            <w:r>
              <w:rPr>
                <w:rFonts w:eastAsia="Times New Roman" w:cstheme="minorHAnsi"/>
                <w:b/>
                <w:bCs/>
                <w:sz w:val="20"/>
                <w:szCs w:val="20"/>
              </w:rPr>
              <w:t>600</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1EF484C" w14:textId="77777777" w:rsidR="00C62828" w:rsidRDefault="00C62828" w:rsidP="00C62828">
            <w:pPr>
              <w:rPr>
                <w:rFonts w:eastAsia="Times New Roman" w:cstheme="minorHAnsi"/>
              </w:rPr>
            </w:pPr>
            <w:r>
              <w:rPr>
                <w:rFonts w:eastAsia="Times New Roman" w:cstheme="minorHAnsi"/>
                <w:b/>
                <w:bCs/>
                <w:sz w:val="20"/>
                <w:szCs w:val="20"/>
              </w:rPr>
              <w:t>Bežné výdavky</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3B592B6" w14:textId="3121B4FB" w:rsidR="00C62828" w:rsidRDefault="00C62828" w:rsidP="00C62828">
            <w:pPr>
              <w:jc w:val="right"/>
              <w:rPr>
                <w:rFonts w:eastAsia="Times New Roman" w:cstheme="minorHAnsi"/>
              </w:rPr>
            </w:pPr>
            <w:r w:rsidRPr="00121894">
              <w:rPr>
                <w:rFonts w:ascii="Calibri" w:eastAsia="Times New Roman" w:hAnsi="Calibri" w:cs="Calibri"/>
                <w:b/>
                <w:bCs/>
                <w:sz w:val="20"/>
                <w:szCs w:val="20"/>
              </w:rPr>
              <w:t>7 364 366,84</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67C9F069" w14:textId="4D97F2EC"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7 055 066,86</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4918D0FF" w14:textId="4BB976B8"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95,80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5816B335" w14:textId="669F2A75"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7 022 070,19</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79E5D9A8" w14:textId="6330AF8F"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99,53</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1DC0755" w14:textId="7C8C696A" w:rsidR="00C62828" w:rsidRDefault="00C62828" w:rsidP="00C62828">
            <w:pPr>
              <w:jc w:val="right"/>
              <w:rPr>
                <w:rFonts w:eastAsia="Times New Roman" w:cstheme="minorHAnsi"/>
              </w:rPr>
            </w:pPr>
            <w:r w:rsidRPr="00121894">
              <w:rPr>
                <w:rFonts w:ascii="Calibri" w:eastAsia="Times New Roman" w:hAnsi="Calibri" w:cs="Calibri"/>
                <w:b/>
                <w:bCs/>
                <w:sz w:val="20"/>
                <w:szCs w:val="20"/>
              </w:rPr>
              <w:t>8 333 083,95</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711200BF" w14:textId="07719440" w:rsidR="00C62828" w:rsidRDefault="00C62828" w:rsidP="00C62828">
            <w:pPr>
              <w:jc w:val="right"/>
              <w:rPr>
                <w:rFonts w:eastAsia="Times New Roman" w:cstheme="minorHAnsi"/>
              </w:rPr>
            </w:pPr>
            <w:r w:rsidRPr="00121894">
              <w:rPr>
                <w:rFonts w:ascii="Calibri" w:eastAsia="Times New Roman" w:hAnsi="Calibri" w:cs="Calibri"/>
                <w:b/>
                <w:bCs/>
                <w:sz w:val="20"/>
                <w:szCs w:val="20"/>
              </w:rPr>
              <w:t>118,67</w:t>
            </w:r>
            <w:r w:rsidRPr="00121894">
              <w:rPr>
                <w:rFonts w:ascii="Calibri" w:eastAsia="Times New Roman" w:hAnsi="Calibri" w:cs="Calibri"/>
              </w:rPr>
              <w:t xml:space="preserve"> </w:t>
            </w:r>
          </w:p>
        </w:tc>
      </w:tr>
      <w:tr w:rsidR="00C62828" w14:paraId="5223D9ED" w14:textId="77777777" w:rsidTr="00C7385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737F588" w14:textId="77777777" w:rsidR="00C62828" w:rsidRDefault="00C62828" w:rsidP="00C62828">
            <w:pPr>
              <w:rPr>
                <w:rFonts w:eastAsia="Times New Roman" w:cstheme="minorHAnsi"/>
              </w:rPr>
            </w:pPr>
            <w:r>
              <w:rPr>
                <w:rFonts w:eastAsia="Times New Roman" w:cstheme="minorHAnsi"/>
                <w:sz w:val="20"/>
                <w:szCs w:val="20"/>
              </w:rPr>
              <w:t>610</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8D32324" w14:textId="77777777" w:rsidR="00C62828" w:rsidRDefault="00C62828" w:rsidP="00C62828">
            <w:pPr>
              <w:rPr>
                <w:rFonts w:eastAsia="Times New Roman" w:cstheme="minorHAnsi"/>
              </w:rPr>
            </w:pPr>
            <w:r>
              <w:rPr>
                <w:rFonts w:eastAsia="Times New Roman" w:cstheme="minorHAnsi"/>
                <w:sz w:val="20"/>
                <w:szCs w:val="20"/>
              </w:rPr>
              <w:t>Mzdy, platy, ...</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56F819E2" w14:textId="628046C8" w:rsidR="00C62828" w:rsidRDefault="00C62828" w:rsidP="00C62828">
            <w:pPr>
              <w:jc w:val="right"/>
              <w:rPr>
                <w:rFonts w:eastAsia="Times New Roman" w:cstheme="minorHAnsi"/>
              </w:rPr>
            </w:pPr>
            <w:r w:rsidRPr="00121894">
              <w:rPr>
                <w:rFonts w:ascii="Calibri" w:eastAsia="Times New Roman" w:hAnsi="Calibri" w:cs="Calibri"/>
                <w:sz w:val="20"/>
                <w:szCs w:val="20"/>
              </w:rPr>
              <w:t>1 277 758,58</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705CC0C" w14:textId="75FC01D9"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1 529 177,36</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4718CC7" w14:textId="2B67FF96"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119,68</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3326C69" w14:textId="505A402F"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1 744 334,83</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075C1E1" w14:textId="5C24A4C6"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114,07</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09B7E07" w14:textId="66FF49DD" w:rsidR="00C62828" w:rsidRDefault="00C62828" w:rsidP="00C62828">
            <w:pPr>
              <w:jc w:val="right"/>
              <w:rPr>
                <w:rFonts w:eastAsia="Times New Roman" w:cstheme="minorHAnsi"/>
              </w:rPr>
            </w:pPr>
            <w:r w:rsidRPr="00121894">
              <w:rPr>
                <w:rFonts w:ascii="Calibri" w:eastAsia="Times New Roman" w:hAnsi="Calibri" w:cs="Calibri"/>
                <w:sz w:val="20"/>
                <w:szCs w:val="20"/>
              </w:rPr>
              <w:t>1 611 187,23</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83E893E" w14:textId="1FBE3A33" w:rsidR="00C62828" w:rsidRDefault="00C62828" w:rsidP="00C62828">
            <w:pPr>
              <w:jc w:val="right"/>
              <w:rPr>
                <w:rFonts w:eastAsia="Times New Roman" w:cstheme="minorHAnsi"/>
              </w:rPr>
            </w:pPr>
            <w:r w:rsidRPr="00121894">
              <w:rPr>
                <w:rFonts w:ascii="Calibri" w:eastAsia="Times New Roman" w:hAnsi="Calibri" w:cs="Calibri"/>
                <w:sz w:val="20"/>
                <w:szCs w:val="20"/>
              </w:rPr>
              <w:t>92,37</w:t>
            </w:r>
            <w:r w:rsidRPr="00121894">
              <w:rPr>
                <w:rFonts w:ascii="Calibri" w:eastAsia="Times New Roman" w:hAnsi="Calibri" w:cs="Calibri"/>
              </w:rPr>
              <w:t xml:space="preserve"> </w:t>
            </w:r>
          </w:p>
        </w:tc>
      </w:tr>
      <w:tr w:rsidR="00C62828" w14:paraId="22C7A9B8" w14:textId="77777777" w:rsidTr="00C7385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46C4119" w14:textId="77777777" w:rsidR="00C62828" w:rsidRDefault="00C62828" w:rsidP="00C62828">
            <w:pPr>
              <w:rPr>
                <w:rFonts w:eastAsia="Times New Roman" w:cstheme="minorHAnsi"/>
              </w:rPr>
            </w:pPr>
            <w:r>
              <w:rPr>
                <w:rFonts w:eastAsia="Times New Roman" w:cstheme="minorHAnsi"/>
                <w:sz w:val="20"/>
                <w:szCs w:val="20"/>
              </w:rPr>
              <w:t>620</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80A3A6C" w14:textId="77777777" w:rsidR="00C62828" w:rsidRDefault="00C62828" w:rsidP="00C62828">
            <w:pPr>
              <w:rPr>
                <w:rFonts w:eastAsia="Times New Roman" w:cstheme="minorHAnsi"/>
              </w:rPr>
            </w:pPr>
            <w:r>
              <w:rPr>
                <w:rFonts w:eastAsia="Times New Roman" w:cstheme="minorHAnsi"/>
                <w:sz w:val="20"/>
                <w:szCs w:val="20"/>
              </w:rPr>
              <w:t>Poistné do poisťovní</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B6FE8A6" w14:textId="1BBC825F" w:rsidR="00C62828" w:rsidRDefault="00C62828" w:rsidP="00C62828">
            <w:pPr>
              <w:jc w:val="right"/>
              <w:rPr>
                <w:rFonts w:eastAsia="Times New Roman" w:cstheme="minorHAnsi"/>
              </w:rPr>
            </w:pPr>
            <w:r w:rsidRPr="00121894">
              <w:rPr>
                <w:rFonts w:ascii="Calibri" w:eastAsia="Times New Roman" w:hAnsi="Calibri" w:cs="Calibri"/>
                <w:sz w:val="20"/>
                <w:szCs w:val="20"/>
              </w:rPr>
              <w:t>203 104,08</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5F3CF09C" w14:textId="0F359E12"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555 034,55</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FE77560" w14:textId="25347CD6"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273,28</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D8EC283" w14:textId="1E4BC9FC"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559 123,70</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58C8DEE0" w14:textId="317C3B1D"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100,74</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D1B1590" w14:textId="3734098E" w:rsidR="00C62828" w:rsidRDefault="00C62828" w:rsidP="00C62828">
            <w:pPr>
              <w:jc w:val="right"/>
              <w:rPr>
                <w:rFonts w:eastAsia="Times New Roman" w:cstheme="minorHAnsi"/>
              </w:rPr>
            </w:pPr>
            <w:r w:rsidRPr="00121894">
              <w:rPr>
                <w:rFonts w:ascii="Calibri" w:eastAsia="Times New Roman" w:hAnsi="Calibri" w:cs="Calibri"/>
                <w:sz w:val="20"/>
                <w:szCs w:val="20"/>
              </w:rPr>
              <w:t>563 474,97</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316F528" w14:textId="01D7CA8A" w:rsidR="00C62828" w:rsidRDefault="00C62828" w:rsidP="00C62828">
            <w:pPr>
              <w:jc w:val="right"/>
              <w:rPr>
                <w:rFonts w:eastAsia="Times New Roman" w:cstheme="minorHAnsi"/>
              </w:rPr>
            </w:pPr>
            <w:r w:rsidRPr="00121894">
              <w:rPr>
                <w:rFonts w:ascii="Calibri" w:eastAsia="Times New Roman" w:hAnsi="Calibri" w:cs="Calibri"/>
                <w:sz w:val="20"/>
                <w:szCs w:val="20"/>
              </w:rPr>
              <w:t>100,78</w:t>
            </w:r>
            <w:r w:rsidRPr="00121894">
              <w:rPr>
                <w:rFonts w:ascii="Calibri" w:eastAsia="Times New Roman" w:hAnsi="Calibri" w:cs="Calibri"/>
              </w:rPr>
              <w:t xml:space="preserve"> </w:t>
            </w:r>
          </w:p>
        </w:tc>
      </w:tr>
      <w:tr w:rsidR="00C62828" w14:paraId="27CFEB33" w14:textId="77777777" w:rsidTr="00C7385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0C6B56F" w14:textId="77777777" w:rsidR="00C62828" w:rsidRDefault="00C62828" w:rsidP="00C62828">
            <w:pPr>
              <w:rPr>
                <w:rFonts w:eastAsia="Times New Roman" w:cstheme="minorHAnsi"/>
              </w:rPr>
            </w:pPr>
            <w:r>
              <w:rPr>
                <w:rFonts w:eastAsia="Times New Roman" w:cstheme="minorHAnsi"/>
                <w:sz w:val="20"/>
                <w:szCs w:val="20"/>
              </w:rPr>
              <w:t>630</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22B6001" w14:textId="77777777" w:rsidR="00C62828" w:rsidRDefault="00C62828" w:rsidP="00C62828">
            <w:pPr>
              <w:rPr>
                <w:rFonts w:eastAsia="Times New Roman" w:cstheme="minorHAnsi"/>
              </w:rPr>
            </w:pPr>
            <w:r>
              <w:rPr>
                <w:rFonts w:eastAsia="Times New Roman" w:cstheme="minorHAnsi"/>
                <w:sz w:val="20"/>
                <w:szCs w:val="20"/>
              </w:rPr>
              <w:t>Tovary a služby</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50EE9CC" w14:textId="63A4648F" w:rsidR="00C62828" w:rsidRDefault="00C62828" w:rsidP="00C62828">
            <w:pPr>
              <w:jc w:val="right"/>
              <w:rPr>
                <w:rFonts w:eastAsia="Times New Roman" w:cstheme="minorHAnsi"/>
              </w:rPr>
            </w:pPr>
            <w:r w:rsidRPr="00121894">
              <w:rPr>
                <w:rFonts w:ascii="Calibri" w:eastAsia="Times New Roman" w:hAnsi="Calibri" w:cs="Calibri"/>
                <w:sz w:val="20"/>
                <w:szCs w:val="20"/>
              </w:rPr>
              <w:t>2 864 815,99</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782BEC01" w14:textId="15BD0797"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2 683 026,87</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809EBB5" w14:textId="121B8217"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93,65</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FA456A5" w14:textId="5D59FAAD"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2 365 233,43</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E9CD441" w14:textId="78850D5B"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88,16</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1879311" w14:textId="6AC9BA12" w:rsidR="00C62828" w:rsidRDefault="00C62828" w:rsidP="00C62828">
            <w:pPr>
              <w:jc w:val="right"/>
              <w:rPr>
                <w:rFonts w:eastAsia="Times New Roman" w:cstheme="minorHAnsi"/>
              </w:rPr>
            </w:pPr>
            <w:r w:rsidRPr="00121894">
              <w:rPr>
                <w:rFonts w:ascii="Calibri" w:eastAsia="Times New Roman" w:hAnsi="Calibri" w:cs="Calibri"/>
                <w:sz w:val="20"/>
                <w:szCs w:val="20"/>
              </w:rPr>
              <w:t>3 749 501,14</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921914C" w14:textId="4D9FA591" w:rsidR="00C62828" w:rsidRDefault="00C62828" w:rsidP="00C62828">
            <w:pPr>
              <w:jc w:val="right"/>
              <w:rPr>
                <w:rFonts w:eastAsia="Times New Roman" w:cstheme="minorHAnsi"/>
              </w:rPr>
            </w:pPr>
            <w:r w:rsidRPr="00121894">
              <w:rPr>
                <w:rFonts w:ascii="Calibri" w:eastAsia="Times New Roman" w:hAnsi="Calibri" w:cs="Calibri"/>
                <w:sz w:val="20"/>
                <w:szCs w:val="20"/>
              </w:rPr>
              <w:t>158,53</w:t>
            </w:r>
            <w:r w:rsidRPr="00121894">
              <w:rPr>
                <w:rFonts w:ascii="Calibri" w:eastAsia="Times New Roman" w:hAnsi="Calibri" w:cs="Calibri"/>
              </w:rPr>
              <w:t xml:space="preserve"> </w:t>
            </w:r>
          </w:p>
        </w:tc>
      </w:tr>
      <w:tr w:rsidR="00C62828" w14:paraId="6F8EC419" w14:textId="77777777" w:rsidTr="00C7385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E7ED99E" w14:textId="77777777" w:rsidR="00C62828" w:rsidRDefault="00C62828" w:rsidP="00C62828">
            <w:pPr>
              <w:rPr>
                <w:rFonts w:eastAsia="Times New Roman" w:cstheme="minorHAnsi"/>
              </w:rPr>
            </w:pPr>
            <w:r>
              <w:rPr>
                <w:rFonts w:eastAsia="Times New Roman" w:cstheme="minorHAnsi"/>
                <w:sz w:val="20"/>
                <w:szCs w:val="20"/>
              </w:rPr>
              <w:t>640</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36F774A" w14:textId="77777777" w:rsidR="00C62828" w:rsidRDefault="00C62828" w:rsidP="00C62828">
            <w:pPr>
              <w:rPr>
                <w:rFonts w:eastAsia="Times New Roman" w:cstheme="minorHAnsi"/>
              </w:rPr>
            </w:pPr>
            <w:r>
              <w:rPr>
                <w:rFonts w:eastAsia="Times New Roman" w:cstheme="minorHAnsi"/>
                <w:sz w:val="20"/>
                <w:szCs w:val="20"/>
              </w:rPr>
              <w:t>Bežné transfery</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6401325" w14:textId="05197060" w:rsidR="00C62828" w:rsidRDefault="00C62828" w:rsidP="00C62828">
            <w:pPr>
              <w:jc w:val="right"/>
              <w:rPr>
                <w:rFonts w:eastAsia="Times New Roman" w:cstheme="minorHAnsi"/>
              </w:rPr>
            </w:pPr>
            <w:r w:rsidRPr="00121894">
              <w:rPr>
                <w:rFonts w:ascii="Calibri" w:eastAsia="Times New Roman" w:hAnsi="Calibri" w:cs="Calibri"/>
                <w:sz w:val="20"/>
                <w:szCs w:val="20"/>
              </w:rPr>
              <w:t>419 688,19</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532B544C" w14:textId="769EA128"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337 828,08</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04DC9FE" w14:textId="1D1EFBCF"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80,50</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34ADBB6" w14:textId="79BB40DA"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453 378,23</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9DB7EB3" w14:textId="5326E790"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134,20</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49891F7" w14:textId="038318AF" w:rsidR="00C62828" w:rsidRDefault="00C62828" w:rsidP="00C62828">
            <w:pPr>
              <w:jc w:val="right"/>
              <w:rPr>
                <w:rFonts w:eastAsia="Times New Roman" w:cstheme="minorHAnsi"/>
              </w:rPr>
            </w:pPr>
            <w:r w:rsidRPr="00121894">
              <w:rPr>
                <w:rFonts w:ascii="Calibri" w:eastAsia="Times New Roman" w:hAnsi="Calibri" w:cs="Calibri"/>
                <w:sz w:val="20"/>
                <w:szCs w:val="20"/>
              </w:rPr>
              <w:t>568 920,61</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C2481A8" w14:textId="324BB24B" w:rsidR="00C62828" w:rsidRDefault="00C62828" w:rsidP="00C62828">
            <w:pPr>
              <w:jc w:val="right"/>
              <w:rPr>
                <w:rFonts w:eastAsia="Times New Roman" w:cstheme="minorHAnsi"/>
              </w:rPr>
            </w:pPr>
            <w:r w:rsidRPr="00121894">
              <w:rPr>
                <w:rFonts w:ascii="Calibri" w:eastAsia="Times New Roman" w:hAnsi="Calibri" w:cs="Calibri"/>
                <w:sz w:val="20"/>
                <w:szCs w:val="20"/>
              </w:rPr>
              <w:t>125,48</w:t>
            </w:r>
            <w:r w:rsidRPr="00121894">
              <w:rPr>
                <w:rFonts w:ascii="Calibri" w:eastAsia="Times New Roman" w:hAnsi="Calibri" w:cs="Calibri"/>
              </w:rPr>
              <w:t xml:space="preserve"> </w:t>
            </w:r>
          </w:p>
        </w:tc>
      </w:tr>
      <w:tr w:rsidR="00C62828" w14:paraId="70515BF6" w14:textId="77777777" w:rsidTr="00C7385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5305EA84" w14:textId="77777777" w:rsidR="00C62828" w:rsidRDefault="00C62828" w:rsidP="00C62828">
            <w:pPr>
              <w:rPr>
                <w:rFonts w:eastAsia="Times New Roman" w:cstheme="minorHAnsi"/>
              </w:rPr>
            </w:pPr>
            <w:r>
              <w:rPr>
                <w:rFonts w:eastAsia="Times New Roman" w:cstheme="minorHAnsi"/>
                <w:sz w:val="20"/>
                <w:szCs w:val="20"/>
              </w:rPr>
              <w:t>650</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502B879" w14:textId="77777777" w:rsidR="00C62828" w:rsidRDefault="00C62828" w:rsidP="00C62828">
            <w:pPr>
              <w:rPr>
                <w:rFonts w:eastAsia="Times New Roman" w:cstheme="minorHAnsi"/>
              </w:rPr>
            </w:pPr>
            <w:r>
              <w:rPr>
                <w:rFonts w:eastAsia="Times New Roman" w:cstheme="minorHAnsi"/>
                <w:sz w:val="20"/>
                <w:szCs w:val="20"/>
              </w:rPr>
              <w:t>Splácanie úrokov</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746BD0B9" w14:textId="30AF21B9" w:rsidR="00C62828" w:rsidRDefault="00C62828" w:rsidP="00C62828">
            <w:pPr>
              <w:jc w:val="right"/>
              <w:rPr>
                <w:rFonts w:eastAsia="Times New Roman" w:cstheme="minorHAnsi"/>
              </w:rPr>
            </w:pPr>
            <w:r w:rsidRPr="00121894">
              <w:rPr>
                <w:rFonts w:ascii="Calibri" w:eastAsia="Times New Roman" w:hAnsi="Calibri" w:cs="Calibri"/>
                <w:sz w:val="20"/>
                <w:szCs w:val="20"/>
              </w:rPr>
              <w:t>2 599 000,00</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7333015" w14:textId="70C4FEE5"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1 950 000,00</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1C87E9B" w14:textId="7A61D371"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75,03</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73ADC624" w14:textId="22C9B027"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1 900 000,00</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C973801" w14:textId="3C4D3265"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97,44</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04C71FB" w14:textId="34338FB7" w:rsidR="00C62828" w:rsidRDefault="00C62828" w:rsidP="00C62828">
            <w:pPr>
              <w:jc w:val="right"/>
              <w:rPr>
                <w:rFonts w:eastAsia="Times New Roman" w:cstheme="minorHAnsi"/>
              </w:rPr>
            </w:pPr>
            <w:r w:rsidRPr="00121894">
              <w:rPr>
                <w:rFonts w:ascii="Calibri" w:eastAsia="Times New Roman" w:hAnsi="Calibri" w:cs="Calibri"/>
                <w:sz w:val="20"/>
                <w:szCs w:val="20"/>
              </w:rPr>
              <w:t>1 840 000,00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FBD6827" w14:textId="31E4C82F" w:rsidR="00C62828" w:rsidRDefault="00C62828" w:rsidP="00C62828">
            <w:pPr>
              <w:jc w:val="right"/>
              <w:rPr>
                <w:rFonts w:eastAsia="Times New Roman" w:cstheme="minorHAnsi"/>
              </w:rPr>
            </w:pPr>
            <w:r w:rsidRPr="00121894">
              <w:rPr>
                <w:rFonts w:ascii="Calibri" w:eastAsia="Times New Roman" w:hAnsi="Calibri" w:cs="Calibri"/>
                <w:sz w:val="20"/>
                <w:szCs w:val="20"/>
              </w:rPr>
              <w:t>96,84</w:t>
            </w:r>
            <w:r w:rsidRPr="00121894">
              <w:rPr>
                <w:rFonts w:ascii="Calibri" w:eastAsia="Times New Roman" w:hAnsi="Calibri" w:cs="Calibri"/>
              </w:rPr>
              <w:t xml:space="preserve"> </w:t>
            </w:r>
          </w:p>
        </w:tc>
      </w:tr>
      <w:tr w:rsidR="00C62828" w14:paraId="50477EDF" w14:textId="77777777" w:rsidTr="00C7385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7C41D29F" w14:textId="77777777" w:rsidR="00C62828" w:rsidRDefault="00C62828" w:rsidP="00C62828">
            <w:pPr>
              <w:rPr>
                <w:rFonts w:eastAsia="Times New Roman" w:cstheme="minorHAnsi"/>
              </w:rPr>
            </w:pPr>
            <w:r>
              <w:rPr>
                <w:rFonts w:eastAsia="Times New Roman" w:cstheme="minorHAnsi"/>
                <w:b/>
                <w:bCs/>
                <w:sz w:val="20"/>
                <w:szCs w:val="20"/>
              </w:rPr>
              <w:t>700</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43A2383" w14:textId="77777777" w:rsidR="00C62828" w:rsidRDefault="00C62828" w:rsidP="00C62828">
            <w:pPr>
              <w:rPr>
                <w:rFonts w:eastAsia="Times New Roman" w:cstheme="minorHAnsi"/>
              </w:rPr>
            </w:pPr>
            <w:r>
              <w:rPr>
                <w:rFonts w:eastAsia="Times New Roman" w:cstheme="minorHAnsi"/>
                <w:b/>
                <w:bCs/>
                <w:sz w:val="20"/>
                <w:szCs w:val="20"/>
              </w:rPr>
              <w:t>Kapitálové výdavky</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457114E8" w14:textId="3231772E" w:rsidR="00C62828" w:rsidRDefault="00C62828" w:rsidP="00C62828">
            <w:pPr>
              <w:jc w:val="right"/>
              <w:rPr>
                <w:rFonts w:eastAsia="Times New Roman" w:cstheme="minorHAnsi"/>
              </w:rPr>
            </w:pPr>
            <w:r w:rsidRPr="00121894">
              <w:rPr>
                <w:rFonts w:ascii="Calibri" w:eastAsia="Times New Roman" w:hAnsi="Calibri" w:cs="Calibri"/>
                <w:b/>
                <w:bCs/>
                <w:sz w:val="20"/>
                <w:szCs w:val="20"/>
              </w:rPr>
              <w:t>13 358 376,17</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1E3BEA97" w14:textId="3DCFFCE2"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34 397 495,85</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7BA36251" w14:textId="042AC089"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257,50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45FFB7DC" w14:textId="7BC25FF8"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62 259 529,47</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7E3D4544" w14:textId="77C0B738" w:rsidR="00C62828" w:rsidRPr="003935C6" w:rsidRDefault="00C62828" w:rsidP="00C62828">
            <w:pPr>
              <w:jc w:val="right"/>
              <w:rPr>
                <w:rFonts w:eastAsia="Times New Roman" w:cstheme="minorHAnsi"/>
                <w:sz w:val="20"/>
                <w:szCs w:val="20"/>
              </w:rPr>
            </w:pPr>
            <w:r w:rsidRPr="003935C6">
              <w:rPr>
                <w:rFonts w:eastAsia="Times New Roman" w:cstheme="minorHAnsi"/>
                <w:b/>
                <w:bCs/>
                <w:sz w:val="20"/>
                <w:szCs w:val="20"/>
              </w:rPr>
              <w:t>181,00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F973373" w14:textId="791B3BB7" w:rsidR="00C62828" w:rsidRDefault="00C62828" w:rsidP="00C62828">
            <w:pPr>
              <w:jc w:val="right"/>
              <w:rPr>
                <w:rFonts w:eastAsia="Times New Roman" w:cstheme="minorHAnsi"/>
              </w:rPr>
            </w:pPr>
            <w:r w:rsidRPr="00121894">
              <w:rPr>
                <w:rFonts w:ascii="Calibri" w:eastAsia="Times New Roman" w:hAnsi="Calibri" w:cs="Calibri"/>
                <w:b/>
                <w:bCs/>
                <w:sz w:val="20"/>
                <w:szCs w:val="20"/>
              </w:rPr>
              <w:t>62 845 627,34</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369D6C10" w14:textId="2FD14EAF" w:rsidR="00C62828" w:rsidRDefault="00C62828" w:rsidP="00C62828">
            <w:pPr>
              <w:jc w:val="right"/>
              <w:rPr>
                <w:rFonts w:eastAsia="Times New Roman" w:cstheme="minorHAnsi"/>
              </w:rPr>
            </w:pPr>
            <w:r w:rsidRPr="00121894">
              <w:rPr>
                <w:rFonts w:ascii="Calibri" w:eastAsia="Times New Roman" w:hAnsi="Calibri" w:cs="Calibri"/>
                <w:b/>
                <w:bCs/>
                <w:sz w:val="20"/>
                <w:szCs w:val="20"/>
              </w:rPr>
              <w:t>100,94</w:t>
            </w:r>
            <w:r w:rsidRPr="00121894">
              <w:rPr>
                <w:rFonts w:ascii="Calibri" w:eastAsia="Times New Roman" w:hAnsi="Calibri" w:cs="Calibri"/>
              </w:rPr>
              <w:t xml:space="preserve"> </w:t>
            </w:r>
          </w:p>
        </w:tc>
      </w:tr>
      <w:tr w:rsidR="00C62828" w14:paraId="0CBD521E" w14:textId="77777777" w:rsidTr="00C7385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1DB21C7" w14:textId="77777777" w:rsidR="00C62828" w:rsidRDefault="00C62828" w:rsidP="00C62828">
            <w:pPr>
              <w:rPr>
                <w:rFonts w:eastAsia="Times New Roman" w:cstheme="minorHAnsi"/>
              </w:rPr>
            </w:pPr>
            <w:r>
              <w:rPr>
                <w:rFonts w:eastAsia="Times New Roman" w:cstheme="minorHAnsi"/>
                <w:sz w:val="20"/>
                <w:szCs w:val="20"/>
              </w:rPr>
              <w:t>710</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EABB74B" w14:textId="77777777" w:rsidR="00C62828" w:rsidRDefault="00C62828" w:rsidP="00C62828">
            <w:pPr>
              <w:rPr>
                <w:rFonts w:eastAsia="Times New Roman" w:cstheme="minorHAnsi"/>
              </w:rPr>
            </w:pPr>
            <w:proofErr w:type="spellStart"/>
            <w:r>
              <w:rPr>
                <w:rFonts w:eastAsia="Times New Roman" w:cstheme="minorHAnsi"/>
                <w:sz w:val="20"/>
                <w:szCs w:val="20"/>
              </w:rPr>
              <w:t>Obst</w:t>
            </w:r>
            <w:proofErr w:type="spellEnd"/>
            <w:r>
              <w:rPr>
                <w:rFonts w:eastAsia="Times New Roman" w:cstheme="minorHAnsi"/>
                <w:sz w:val="20"/>
                <w:szCs w:val="20"/>
              </w:rPr>
              <w:t xml:space="preserve">. </w:t>
            </w:r>
            <w:proofErr w:type="spellStart"/>
            <w:r>
              <w:rPr>
                <w:rFonts w:eastAsia="Times New Roman" w:cstheme="minorHAnsi"/>
                <w:sz w:val="20"/>
                <w:szCs w:val="20"/>
              </w:rPr>
              <w:t>kapit</w:t>
            </w:r>
            <w:proofErr w:type="spellEnd"/>
            <w:r>
              <w:rPr>
                <w:rFonts w:eastAsia="Times New Roman" w:cstheme="minorHAnsi"/>
                <w:sz w:val="20"/>
                <w:szCs w:val="20"/>
              </w:rPr>
              <w:t>. aktív</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CA39696" w14:textId="062FDA29" w:rsidR="00C62828" w:rsidRDefault="00C62828" w:rsidP="00C62828">
            <w:pPr>
              <w:jc w:val="right"/>
              <w:rPr>
                <w:rFonts w:eastAsia="Times New Roman" w:cstheme="minorHAnsi"/>
              </w:rPr>
            </w:pPr>
            <w:r w:rsidRPr="00121894">
              <w:rPr>
                <w:rFonts w:ascii="Calibri" w:eastAsia="Times New Roman" w:hAnsi="Calibri" w:cs="Calibri"/>
                <w:sz w:val="20"/>
                <w:szCs w:val="20"/>
              </w:rPr>
              <w:t>12 745 609,88</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7AD49FE7" w14:textId="75D647D8"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34 334 828,85</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A074F96" w14:textId="65A92F8A"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269,39</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5851246" w14:textId="3DD01327"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61 959 529,47</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D1AC6AC" w14:textId="0856AE2C"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180,46</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774473A5" w14:textId="5C176243" w:rsidR="00C62828" w:rsidRDefault="00C62828" w:rsidP="00C62828">
            <w:pPr>
              <w:jc w:val="right"/>
              <w:rPr>
                <w:rFonts w:eastAsia="Times New Roman" w:cstheme="minorHAnsi"/>
              </w:rPr>
            </w:pPr>
            <w:r w:rsidRPr="00121894">
              <w:rPr>
                <w:rFonts w:ascii="Calibri" w:eastAsia="Times New Roman" w:hAnsi="Calibri" w:cs="Calibri"/>
                <w:sz w:val="20"/>
                <w:szCs w:val="20"/>
              </w:rPr>
              <w:t>62 004 427,34</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81585DE" w14:textId="08FAF07D" w:rsidR="00C62828" w:rsidRDefault="00C62828" w:rsidP="00C62828">
            <w:pPr>
              <w:jc w:val="right"/>
              <w:rPr>
                <w:rFonts w:eastAsia="Times New Roman" w:cstheme="minorHAnsi"/>
              </w:rPr>
            </w:pPr>
            <w:r w:rsidRPr="00121894">
              <w:rPr>
                <w:rFonts w:ascii="Calibri" w:eastAsia="Times New Roman" w:hAnsi="Calibri" w:cs="Calibri"/>
                <w:sz w:val="20"/>
                <w:szCs w:val="20"/>
              </w:rPr>
              <w:t>100,07</w:t>
            </w:r>
            <w:r w:rsidRPr="00121894">
              <w:rPr>
                <w:rFonts w:ascii="Calibri" w:eastAsia="Times New Roman" w:hAnsi="Calibri" w:cs="Calibri"/>
              </w:rPr>
              <w:t xml:space="preserve"> </w:t>
            </w:r>
          </w:p>
        </w:tc>
      </w:tr>
      <w:tr w:rsidR="00C62828" w14:paraId="7E4F60A3" w14:textId="77777777" w:rsidTr="00C73852">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560412C7" w14:textId="77777777" w:rsidR="00C62828" w:rsidRDefault="00C62828" w:rsidP="00C62828">
            <w:pPr>
              <w:rPr>
                <w:rFonts w:eastAsia="Times New Roman" w:cstheme="minorHAnsi"/>
              </w:rPr>
            </w:pPr>
            <w:r>
              <w:rPr>
                <w:rFonts w:eastAsia="Times New Roman" w:cstheme="minorHAnsi"/>
                <w:sz w:val="20"/>
                <w:szCs w:val="20"/>
              </w:rPr>
              <w:t>720</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55139E0" w14:textId="77777777" w:rsidR="00C62828" w:rsidRDefault="00C62828" w:rsidP="00C62828">
            <w:pPr>
              <w:rPr>
                <w:rFonts w:eastAsia="Times New Roman" w:cstheme="minorHAnsi"/>
              </w:rPr>
            </w:pPr>
            <w:r>
              <w:rPr>
                <w:rFonts w:eastAsia="Times New Roman" w:cstheme="minorHAnsi"/>
                <w:sz w:val="20"/>
                <w:szCs w:val="20"/>
              </w:rPr>
              <w:t>Kapitálové transfery</w:t>
            </w:r>
            <w:r>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826418F" w14:textId="00BF7528" w:rsidR="00C62828" w:rsidRDefault="00C62828" w:rsidP="00C62828">
            <w:pPr>
              <w:jc w:val="right"/>
              <w:rPr>
                <w:rFonts w:eastAsia="Times New Roman" w:cstheme="minorHAnsi"/>
              </w:rPr>
            </w:pPr>
            <w:r w:rsidRPr="00121894">
              <w:rPr>
                <w:rFonts w:ascii="Calibri" w:eastAsia="Times New Roman" w:hAnsi="Calibri" w:cs="Calibri"/>
                <w:sz w:val="20"/>
                <w:szCs w:val="20"/>
              </w:rPr>
              <w:t>612 766,29</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7EADD619" w14:textId="2C14CE8A"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62 667,00</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DFB8466" w14:textId="181E58D1"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10,23</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5133F0E" w14:textId="00D43368"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 xml:space="preserve">300 000,00 </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E66DB9F" w14:textId="02DE1805" w:rsidR="00C62828" w:rsidRPr="003935C6" w:rsidRDefault="00C62828" w:rsidP="00C62828">
            <w:pPr>
              <w:jc w:val="right"/>
              <w:rPr>
                <w:rFonts w:eastAsia="Times New Roman" w:cstheme="minorHAnsi"/>
                <w:sz w:val="20"/>
                <w:szCs w:val="20"/>
              </w:rPr>
            </w:pPr>
            <w:r w:rsidRPr="003935C6">
              <w:rPr>
                <w:rFonts w:eastAsia="Times New Roman" w:cstheme="minorHAnsi"/>
                <w:sz w:val="20"/>
                <w:szCs w:val="20"/>
              </w:rPr>
              <w:t>478,72</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B042CF1" w14:textId="6110F3D5" w:rsidR="00C62828" w:rsidRDefault="00C62828" w:rsidP="00C62828">
            <w:pPr>
              <w:jc w:val="right"/>
              <w:rPr>
                <w:rFonts w:eastAsia="Times New Roman" w:cstheme="minorHAnsi"/>
              </w:rPr>
            </w:pPr>
            <w:r w:rsidRPr="00121894">
              <w:rPr>
                <w:rFonts w:ascii="Calibri" w:eastAsia="Times New Roman" w:hAnsi="Calibri" w:cs="Calibri"/>
                <w:sz w:val="20"/>
                <w:szCs w:val="20"/>
              </w:rPr>
              <w:t>841 200,00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A3CECA6" w14:textId="2B65974E" w:rsidR="00C62828" w:rsidRDefault="00C62828" w:rsidP="00C62828">
            <w:pPr>
              <w:jc w:val="right"/>
              <w:rPr>
                <w:rFonts w:eastAsia="Times New Roman" w:cstheme="minorHAnsi"/>
              </w:rPr>
            </w:pPr>
            <w:r w:rsidRPr="00121894">
              <w:rPr>
                <w:rFonts w:ascii="Calibri" w:eastAsia="Times New Roman" w:hAnsi="Calibri" w:cs="Calibri"/>
                <w:sz w:val="20"/>
                <w:szCs w:val="20"/>
              </w:rPr>
              <w:t>280,40</w:t>
            </w:r>
            <w:r w:rsidRPr="00121894">
              <w:rPr>
                <w:rFonts w:ascii="Calibri" w:eastAsia="Times New Roman" w:hAnsi="Calibri" w:cs="Calibri"/>
              </w:rPr>
              <w:t xml:space="preserve"> </w:t>
            </w:r>
          </w:p>
        </w:tc>
      </w:tr>
    </w:tbl>
    <w:p w14:paraId="17E2404F" w14:textId="77777777" w:rsidR="004847AE" w:rsidRDefault="00521A08" w:rsidP="004847AE">
      <w:pPr>
        <w:pStyle w:val="Normlnywebov"/>
        <w:jc w:val="both"/>
        <w:rPr>
          <w:rFonts w:asciiTheme="minorHAnsi" w:hAnsiTheme="minorHAnsi" w:cstheme="minorHAnsi"/>
        </w:rPr>
      </w:pPr>
      <w:r>
        <w:rPr>
          <w:rFonts w:asciiTheme="minorHAnsi" w:hAnsiTheme="minorHAnsi" w:cstheme="minorHAnsi"/>
          <w:b/>
          <w:bCs/>
        </w:rPr>
        <w:t xml:space="preserve">Komentár: </w:t>
      </w:r>
      <w:r>
        <w:rPr>
          <w:rFonts w:asciiTheme="minorHAnsi" w:hAnsiTheme="minorHAnsi" w:cstheme="minorHAnsi"/>
        </w:rPr>
        <w:t>Program zahŕňa výkon funkcií manažmentu Bratislavského samosprávneho kraja na čele s predsedom samosprávneho kraja, podpredsedami a poslancami zastupiteľstva BSK. Súčasťou programu sú aktivity a činnosti samosprávneho kraja súvisiace so zahraničnou, koncepčnou a plánovacou politikou, ako aj ekonomickou a kontrolnou činnosťou.</w:t>
      </w:r>
    </w:p>
    <w:p w14:paraId="268F3191" w14:textId="77777777" w:rsidR="00624027" w:rsidRDefault="00521A08" w:rsidP="00624027">
      <w:pPr>
        <w:pStyle w:val="Normlnywebov"/>
        <w:jc w:val="both"/>
        <w:rPr>
          <w:rFonts w:asciiTheme="minorHAnsi" w:hAnsiTheme="minorHAnsi" w:cstheme="minorHAnsi"/>
        </w:rPr>
      </w:pPr>
      <w:r>
        <w:rPr>
          <w:rFonts w:asciiTheme="minorHAnsi" w:hAnsiTheme="minorHAnsi" w:cstheme="minorHAnsi"/>
        </w:rPr>
        <w:t>Na zabezpečenie všetkých aktivít a činností v rámci programu BSK financuje nasledovné podprogramy: Výkon funkcie predsedu, podpredsedov a poslancov zastupiteľstva BSK, Zahraničné vzťahy a Európske záležitosti, Územné plánovanie, GIS, ŽP, stratégia a riadenie projektov, Kontrola, Daňová a rozpočtová politika, Právne služby, INTERACT, Implementácia projektov Operačného programu Bratislavský kraj a Starostlivosť o krajinu, prírodné zdroje, územné plánovanie a prevenciu obyvateľstva.</w:t>
      </w:r>
    </w:p>
    <w:p w14:paraId="48D0C8A8" w14:textId="35C01FC2" w:rsidR="00357DE9" w:rsidRPr="00624027" w:rsidRDefault="00357DE9" w:rsidP="00624027">
      <w:pPr>
        <w:pStyle w:val="Nadpis3"/>
        <w:rPr>
          <w:rFonts w:asciiTheme="minorHAnsi" w:hAnsiTheme="minorHAnsi" w:cstheme="minorHAnsi"/>
          <w:color w:val="0000FF"/>
          <w:sz w:val="28"/>
          <w:szCs w:val="28"/>
        </w:rPr>
      </w:pPr>
      <w:r w:rsidRPr="008E1E6E">
        <w:rPr>
          <w:rFonts w:asciiTheme="minorHAnsi" w:hAnsiTheme="minorHAnsi" w:cstheme="minorHAnsi"/>
          <w:color w:val="0000FF"/>
          <w:sz w:val="28"/>
          <w:szCs w:val="28"/>
        </w:rPr>
        <w:t>Podprogram 1.1: Výkon funkcie predsedu, podpredsedov a poslancov zastupiteľstva BSK</w:t>
      </w:r>
      <w:r w:rsidRPr="00624027">
        <w:rPr>
          <w:rFonts w:asciiTheme="minorHAnsi" w:hAnsiTheme="minorHAnsi" w:cstheme="minorHAnsi"/>
          <w:color w:val="0000FF"/>
          <w:sz w:val="28"/>
          <w:szCs w:val="28"/>
        </w:rPr>
        <w:t xml:space="preserve"> </w:t>
      </w:r>
    </w:p>
    <w:p w14:paraId="0CAEBD7C" w14:textId="77777777" w:rsidR="00357DE9" w:rsidRPr="0079170D" w:rsidRDefault="00357DE9" w:rsidP="00357DE9">
      <w:pPr>
        <w:pStyle w:val="Normlnywebov"/>
        <w:rPr>
          <w:rFonts w:asciiTheme="minorHAnsi" w:hAnsiTheme="minorHAnsi" w:cstheme="minorHAnsi"/>
        </w:rPr>
      </w:pPr>
      <w:r w:rsidRPr="0079170D">
        <w:rPr>
          <w:rFonts w:asciiTheme="minorHAnsi" w:hAnsiTheme="minorHAnsi" w:cstheme="minorHAnsi"/>
          <w:b/>
          <w:bCs/>
        </w:rPr>
        <w:t xml:space="preserve">Zámer: </w:t>
      </w:r>
      <w:r w:rsidRPr="0079170D">
        <w:rPr>
          <w:rFonts w:asciiTheme="minorHAnsi" w:hAnsiTheme="minorHAnsi" w:cstheme="minorHAnsi"/>
        </w:rPr>
        <w:t>Efektívne a transparentne fungujúci územný celok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19"/>
        <w:gridCol w:w="2053"/>
        <w:gridCol w:w="1479"/>
        <w:gridCol w:w="1479"/>
        <w:gridCol w:w="649"/>
        <w:gridCol w:w="1479"/>
        <w:gridCol w:w="649"/>
        <w:gridCol w:w="1479"/>
        <w:gridCol w:w="664"/>
      </w:tblGrid>
      <w:tr w:rsidR="00357DE9" w:rsidRPr="00603E9F" w14:paraId="151A25A5" w14:textId="77777777" w:rsidTr="00AD25B5">
        <w:trPr>
          <w:trHeight w:hRule="exact" w:val="284"/>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A7F978" w14:textId="77777777" w:rsidR="00357DE9" w:rsidRPr="00B1350F" w:rsidRDefault="00357DE9" w:rsidP="00AD25B5">
            <w:pPr>
              <w:jc w:val="center"/>
              <w:rPr>
                <w:rFonts w:eastAsia="Times New Roman" w:cstheme="minorHAnsi"/>
                <w:sz w:val="20"/>
                <w:szCs w:val="20"/>
              </w:rPr>
            </w:pPr>
            <w:r w:rsidRPr="00B1350F">
              <w:rPr>
                <w:rFonts w:eastAsia="Times New Roman" w:cstheme="minorHAnsi"/>
                <w:b/>
                <w:bCs/>
                <w:i/>
                <w:iCs/>
                <w:sz w:val="20"/>
                <w:szCs w:val="20"/>
              </w:rPr>
              <w:t>Rozpočet v EUR</w:t>
            </w:r>
          </w:p>
        </w:tc>
      </w:tr>
      <w:tr w:rsidR="00687AF7" w:rsidRPr="00603E9F" w14:paraId="5EE7983F" w14:textId="77777777" w:rsidTr="00874BC4">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722F57F" w14:textId="77777777" w:rsidR="003466F6" w:rsidRPr="00B1350F" w:rsidRDefault="003466F6" w:rsidP="003466F6">
            <w:pPr>
              <w:rPr>
                <w:rFonts w:eastAsia="Times New Roman" w:cstheme="minorHAnsi"/>
                <w:sz w:val="20"/>
                <w:szCs w:val="20"/>
              </w:rPr>
            </w:pPr>
            <w:r w:rsidRPr="00B1350F">
              <w:rPr>
                <w:rFonts w:eastAsia="Times New Roman" w:cstheme="minorHAnsi"/>
                <w:b/>
                <w:bCs/>
                <w:sz w:val="20"/>
                <w:szCs w:val="20"/>
              </w:rPr>
              <w:t>EK</w:t>
            </w:r>
          </w:p>
        </w:tc>
        <w:tc>
          <w:tcPr>
            <w:tcW w:w="96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330D8B7" w14:textId="77777777" w:rsidR="003466F6" w:rsidRPr="00B1350F" w:rsidRDefault="003466F6" w:rsidP="003466F6">
            <w:pPr>
              <w:rPr>
                <w:rFonts w:eastAsia="Times New Roman" w:cstheme="minorHAnsi"/>
                <w:sz w:val="20"/>
                <w:szCs w:val="20"/>
              </w:rPr>
            </w:pPr>
            <w:r w:rsidRPr="00B1350F">
              <w:rPr>
                <w:rFonts w:eastAsia="Times New Roman" w:cstheme="minorHAnsi"/>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3F69437" w14:textId="6E0D1406" w:rsidR="003466F6" w:rsidRPr="00B1350F" w:rsidRDefault="003466F6" w:rsidP="003466F6">
            <w:pPr>
              <w:jc w:val="center"/>
              <w:rPr>
                <w:rFonts w:eastAsia="Times New Roman" w:cstheme="minorHAnsi"/>
                <w:sz w:val="20"/>
                <w:szCs w:val="20"/>
              </w:rPr>
            </w:pPr>
            <w:r w:rsidRPr="00B1350F">
              <w:rPr>
                <w:rFonts w:eastAsia="Times New Roman" w:cstheme="minorHAnsi"/>
                <w:b/>
                <w:bCs/>
                <w:sz w:val="20"/>
                <w:szCs w:val="20"/>
              </w:rPr>
              <w:t>202</w:t>
            </w:r>
            <w:r>
              <w:rPr>
                <w:rFonts w:eastAsia="Times New Roman" w:cstheme="minorHAnsi"/>
                <w:b/>
                <w:bCs/>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A0AA25" w14:textId="2456D834" w:rsidR="003466F6" w:rsidRPr="00B1350F" w:rsidRDefault="003466F6" w:rsidP="003466F6">
            <w:pPr>
              <w:jc w:val="center"/>
              <w:rPr>
                <w:rFonts w:eastAsia="Times New Roman" w:cstheme="minorHAnsi"/>
                <w:sz w:val="20"/>
                <w:szCs w:val="20"/>
              </w:rPr>
            </w:pPr>
            <w:r w:rsidRPr="00121894">
              <w:rPr>
                <w:rFonts w:ascii="Calibri" w:eastAsia="Times New Roman" w:hAnsi="Calibri" w:cs="Calibri"/>
                <w:b/>
                <w:bCs/>
                <w:sz w:val="20"/>
                <w:szCs w:val="20"/>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FAC25B3" w14:textId="77777777" w:rsidR="003466F6" w:rsidRPr="00B1350F" w:rsidRDefault="003466F6" w:rsidP="003466F6">
            <w:pPr>
              <w:jc w:val="center"/>
              <w:rPr>
                <w:rFonts w:eastAsia="Times New Roman" w:cstheme="minorHAnsi"/>
                <w:sz w:val="20"/>
                <w:szCs w:val="20"/>
              </w:rPr>
            </w:pPr>
            <w:r w:rsidRPr="00B1350F">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A2F0D92" w14:textId="387BC631" w:rsidR="003466F6" w:rsidRPr="00B1350F" w:rsidRDefault="003466F6" w:rsidP="003466F6">
            <w:pPr>
              <w:jc w:val="center"/>
              <w:rPr>
                <w:rFonts w:eastAsia="Times New Roman" w:cstheme="minorHAnsi"/>
                <w:sz w:val="20"/>
                <w:szCs w:val="20"/>
              </w:rPr>
            </w:pPr>
            <w:r w:rsidRPr="00B1350F">
              <w:rPr>
                <w:rFonts w:eastAsia="Times New Roman" w:cstheme="minorHAnsi"/>
                <w:b/>
                <w:bCs/>
                <w:sz w:val="20"/>
                <w:szCs w:val="20"/>
              </w:rPr>
              <w:t>202</w:t>
            </w:r>
            <w:r>
              <w:rPr>
                <w:rFonts w:eastAsia="Times New Roman" w:cstheme="minorHAnsi"/>
                <w:b/>
                <w:bCs/>
                <w:sz w:val="20"/>
                <w:szCs w:val="20"/>
              </w:rPr>
              <w:t>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A286B72" w14:textId="77777777" w:rsidR="003466F6" w:rsidRPr="00B1350F" w:rsidRDefault="003466F6" w:rsidP="003466F6">
            <w:pPr>
              <w:jc w:val="center"/>
              <w:rPr>
                <w:rFonts w:eastAsia="Times New Roman" w:cstheme="minorHAnsi"/>
                <w:sz w:val="20"/>
                <w:szCs w:val="20"/>
              </w:rPr>
            </w:pPr>
            <w:r w:rsidRPr="00B1350F">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AEEEF6" w14:textId="629F84F5" w:rsidR="003466F6" w:rsidRPr="00B1350F" w:rsidRDefault="003466F6" w:rsidP="003466F6">
            <w:pPr>
              <w:jc w:val="center"/>
              <w:rPr>
                <w:rFonts w:eastAsia="Times New Roman" w:cstheme="minorHAnsi"/>
                <w:sz w:val="20"/>
                <w:szCs w:val="20"/>
              </w:rPr>
            </w:pPr>
            <w:r w:rsidRPr="00B1350F">
              <w:rPr>
                <w:rFonts w:eastAsia="Times New Roman" w:cstheme="minorHAnsi"/>
                <w:b/>
                <w:bCs/>
                <w:sz w:val="20"/>
                <w:szCs w:val="20"/>
              </w:rPr>
              <w:t>202</w:t>
            </w:r>
            <w:r>
              <w:rPr>
                <w:rFonts w:eastAsia="Times New Roman" w:cstheme="minorHAnsi"/>
                <w:b/>
                <w:bCs/>
                <w:sz w:val="20"/>
                <w:szCs w:val="20"/>
              </w:rPr>
              <w:t>6</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1121CCB" w14:textId="77777777" w:rsidR="003466F6" w:rsidRPr="00B1350F" w:rsidRDefault="003466F6" w:rsidP="003466F6">
            <w:pPr>
              <w:jc w:val="center"/>
              <w:rPr>
                <w:rFonts w:eastAsia="Times New Roman" w:cstheme="minorHAnsi"/>
                <w:sz w:val="20"/>
                <w:szCs w:val="20"/>
              </w:rPr>
            </w:pPr>
            <w:r w:rsidRPr="00B1350F">
              <w:rPr>
                <w:rFonts w:eastAsia="Times New Roman" w:cstheme="minorHAnsi"/>
                <w:b/>
                <w:bCs/>
                <w:sz w:val="20"/>
                <w:szCs w:val="20"/>
              </w:rPr>
              <w:t>%</w:t>
            </w:r>
          </w:p>
        </w:tc>
      </w:tr>
      <w:tr w:rsidR="00687AF7" w:rsidRPr="00603E9F" w14:paraId="51333ABE" w14:textId="77777777" w:rsidTr="000F0218">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C89681" w14:textId="77777777" w:rsidR="004A4657" w:rsidRPr="00B1350F" w:rsidRDefault="004A4657" w:rsidP="004A4657">
            <w:pPr>
              <w:jc w:val="center"/>
              <w:rPr>
                <w:rFonts w:eastAsia="Times New Roman" w:cstheme="minorHAnsi"/>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42C91A" w14:textId="77777777" w:rsidR="004A4657" w:rsidRPr="00B1350F" w:rsidRDefault="004A4657" w:rsidP="004A4657">
            <w:pPr>
              <w:rPr>
                <w:rFonts w:eastAsia="Times New Roman" w:cstheme="minorHAnsi"/>
                <w:sz w:val="20"/>
                <w:szCs w:val="20"/>
              </w:rPr>
            </w:pPr>
            <w:r w:rsidRPr="00B1350F">
              <w:rPr>
                <w:rFonts w:eastAsia="Times New Roman" w:cstheme="minorHAnsi"/>
                <w:b/>
                <w:bCs/>
                <w:sz w:val="20"/>
                <w:szCs w:val="20"/>
              </w:rPr>
              <w:t>Výdavky celkom</w:t>
            </w:r>
            <w:r w:rsidRPr="00B1350F">
              <w:rPr>
                <w:rFonts w:eastAsia="Times New Roman" w:cstheme="minorHAnsi"/>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bottom"/>
            <w:hideMark/>
          </w:tcPr>
          <w:p w14:paraId="3C29B633" w14:textId="79A876B1" w:rsidR="004A4657" w:rsidRPr="00B1350F" w:rsidRDefault="004A4657" w:rsidP="004A4657">
            <w:pPr>
              <w:jc w:val="right"/>
              <w:rPr>
                <w:rFonts w:eastAsia="Times New Roman" w:cstheme="minorHAnsi"/>
                <w:sz w:val="20"/>
                <w:szCs w:val="20"/>
              </w:rPr>
            </w:pPr>
            <w:r w:rsidRPr="00142534">
              <w:rPr>
                <w:rFonts w:ascii="Calibri" w:hAnsi="Calibri" w:cs="Calibri"/>
                <w:b/>
                <w:bCs/>
                <w:color w:val="000000"/>
                <w:sz w:val="20"/>
                <w:szCs w:val="20"/>
              </w:rPr>
              <w:t>1 501</w:t>
            </w:r>
            <w:r>
              <w:rPr>
                <w:rFonts w:ascii="Calibri" w:hAnsi="Calibri" w:cs="Calibri"/>
                <w:b/>
                <w:bCs/>
                <w:color w:val="000000"/>
                <w:sz w:val="20"/>
                <w:szCs w:val="20"/>
              </w:rPr>
              <w:t> </w:t>
            </w:r>
            <w:r w:rsidRPr="00142534">
              <w:rPr>
                <w:rFonts w:ascii="Calibri" w:hAnsi="Calibri" w:cs="Calibri"/>
                <w:b/>
                <w:bCs/>
                <w:color w:val="000000"/>
                <w:sz w:val="20"/>
                <w:szCs w:val="20"/>
              </w:rPr>
              <w:t>463</w:t>
            </w:r>
            <w:r>
              <w:rPr>
                <w:rFonts w:ascii="Calibri" w:hAnsi="Calibri" w:cs="Calibri"/>
                <w:b/>
                <w:bCs/>
                <w:color w:val="000000"/>
                <w:sz w:val="20"/>
                <w:szCs w:val="20"/>
              </w:rPr>
              <w:t>,00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3F8E82" w14:textId="4A94BE0F" w:rsidR="004A4657" w:rsidRPr="00142534" w:rsidRDefault="004A4657" w:rsidP="004A4657">
            <w:pPr>
              <w:jc w:val="right"/>
              <w:rPr>
                <w:rFonts w:eastAsia="Times New Roman" w:cstheme="minorHAnsi"/>
                <w:b/>
                <w:bCs/>
                <w:sz w:val="20"/>
                <w:szCs w:val="20"/>
              </w:rPr>
            </w:pPr>
            <w:r w:rsidRPr="00121894">
              <w:rPr>
                <w:rFonts w:ascii="Calibri" w:eastAsia="Times New Roman" w:hAnsi="Calibri" w:cs="Calibri"/>
                <w:b/>
                <w:bCs/>
                <w:sz w:val="20"/>
                <w:szCs w:val="20"/>
              </w:rPr>
              <w:t>1 405 000,00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4ACBBF" w14:textId="521CC290" w:rsidR="004A4657" w:rsidRPr="00B1350F" w:rsidRDefault="004A4657" w:rsidP="004A4657">
            <w:pPr>
              <w:jc w:val="right"/>
              <w:rPr>
                <w:rFonts w:eastAsia="Times New Roman" w:cstheme="minorHAnsi"/>
                <w:sz w:val="20"/>
                <w:szCs w:val="20"/>
              </w:rPr>
            </w:pPr>
            <w:r w:rsidRPr="00121894">
              <w:rPr>
                <w:rFonts w:ascii="Calibri" w:eastAsia="Times New Roman" w:hAnsi="Calibri" w:cs="Calibri"/>
                <w:b/>
                <w:bCs/>
                <w:sz w:val="20"/>
                <w:szCs w:val="20"/>
              </w:rPr>
              <w:t>93,58</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7732E7" w14:textId="6389154F" w:rsidR="004A4657" w:rsidRPr="00B1350F" w:rsidRDefault="004A4657" w:rsidP="004A4657">
            <w:pPr>
              <w:jc w:val="right"/>
              <w:rPr>
                <w:rFonts w:eastAsia="Times New Roman" w:cstheme="minorHAnsi"/>
                <w:sz w:val="20"/>
                <w:szCs w:val="20"/>
              </w:rPr>
            </w:pPr>
            <w:r w:rsidRPr="00121894">
              <w:rPr>
                <w:rFonts w:ascii="Calibri" w:eastAsia="Times New Roman" w:hAnsi="Calibri" w:cs="Calibri"/>
                <w:b/>
                <w:bCs/>
                <w:sz w:val="20"/>
                <w:szCs w:val="20"/>
              </w:rPr>
              <w:t>1 405 000,00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3E8C3ED" w14:textId="27C599FB" w:rsidR="004A4657" w:rsidRPr="00B1350F" w:rsidRDefault="004A4657" w:rsidP="004A4657">
            <w:pPr>
              <w:jc w:val="right"/>
              <w:rPr>
                <w:rFonts w:eastAsia="Times New Roman" w:cstheme="minorHAnsi"/>
                <w:sz w:val="20"/>
                <w:szCs w:val="20"/>
              </w:rPr>
            </w:pPr>
            <w:r w:rsidRPr="00121894">
              <w:rPr>
                <w:rFonts w:ascii="Calibri" w:eastAsia="Times New Roman" w:hAnsi="Calibri" w:cs="Calibri"/>
                <w:b/>
                <w:bCs/>
                <w:sz w:val="20"/>
                <w:szCs w:val="20"/>
              </w:rPr>
              <w:t>100,00</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B12641" w14:textId="3BD6C2FC" w:rsidR="004A4657" w:rsidRPr="00B1350F" w:rsidRDefault="004A4657" w:rsidP="004A4657">
            <w:pPr>
              <w:jc w:val="right"/>
              <w:rPr>
                <w:rFonts w:eastAsia="Times New Roman" w:cstheme="minorHAnsi"/>
                <w:sz w:val="20"/>
                <w:szCs w:val="20"/>
              </w:rPr>
            </w:pPr>
            <w:r w:rsidRPr="00121894">
              <w:rPr>
                <w:rFonts w:ascii="Calibri" w:eastAsia="Times New Roman" w:hAnsi="Calibri" w:cs="Calibri"/>
                <w:b/>
                <w:bCs/>
                <w:sz w:val="20"/>
                <w:szCs w:val="20"/>
              </w:rPr>
              <w:t>1 405 000,00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154635" w14:textId="44187FFE" w:rsidR="004A4657" w:rsidRPr="00B1350F" w:rsidRDefault="004A4657" w:rsidP="004A4657">
            <w:pPr>
              <w:jc w:val="right"/>
              <w:rPr>
                <w:rFonts w:eastAsia="Times New Roman" w:cstheme="minorHAnsi"/>
                <w:sz w:val="20"/>
                <w:szCs w:val="20"/>
              </w:rPr>
            </w:pPr>
            <w:r w:rsidRPr="00121894">
              <w:rPr>
                <w:rFonts w:ascii="Calibri" w:eastAsia="Times New Roman" w:hAnsi="Calibri" w:cs="Calibri"/>
                <w:b/>
                <w:bCs/>
                <w:sz w:val="20"/>
                <w:szCs w:val="20"/>
              </w:rPr>
              <w:t>100,00</w:t>
            </w:r>
            <w:r w:rsidRPr="00121894">
              <w:rPr>
                <w:rFonts w:ascii="Calibri" w:eastAsia="Times New Roman" w:hAnsi="Calibri" w:cs="Calibri"/>
              </w:rPr>
              <w:t xml:space="preserve"> </w:t>
            </w:r>
          </w:p>
        </w:tc>
      </w:tr>
      <w:tr w:rsidR="00687AF7" w:rsidRPr="00603E9F" w14:paraId="2CAAA420" w14:textId="77777777" w:rsidTr="000F0218">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615C8C" w14:textId="77777777" w:rsidR="004A4657" w:rsidRPr="00B1350F" w:rsidRDefault="004A4657" w:rsidP="004A4657">
            <w:pPr>
              <w:rPr>
                <w:rFonts w:eastAsia="Times New Roman" w:cstheme="minorHAnsi"/>
                <w:sz w:val="20"/>
                <w:szCs w:val="20"/>
              </w:rPr>
            </w:pPr>
            <w:r w:rsidRPr="00B1350F">
              <w:rPr>
                <w:rFonts w:eastAsia="Times New Roman" w:cstheme="minorHAnsi"/>
                <w:b/>
                <w:bCs/>
                <w:sz w:val="20"/>
                <w:szCs w:val="20"/>
              </w:rPr>
              <w:t>600</w:t>
            </w:r>
            <w:r w:rsidRPr="00B1350F">
              <w:rPr>
                <w:rFonts w:eastAsia="Times New Roman" w:cstheme="minorHAnsi"/>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28324F" w14:textId="77777777" w:rsidR="004A4657" w:rsidRPr="00B1350F" w:rsidRDefault="004A4657" w:rsidP="004A4657">
            <w:pPr>
              <w:rPr>
                <w:rFonts w:eastAsia="Times New Roman" w:cstheme="minorHAnsi"/>
                <w:sz w:val="20"/>
                <w:szCs w:val="20"/>
              </w:rPr>
            </w:pPr>
            <w:r w:rsidRPr="00B1350F">
              <w:rPr>
                <w:rFonts w:eastAsia="Times New Roman" w:cstheme="minorHAnsi"/>
                <w:b/>
                <w:bCs/>
                <w:sz w:val="20"/>
                <w:szCs w:val="20"/>
              </w:rPr>
              <w:t>Bežné výdavky</w:t>
            </w:r>
            <w:r w:rsidRPr="00B1350F">
              <w:rPr>
                <w:rFonts w:eastAsia="Times New Roman" w:cstheme="minorHAnsi"/>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bottom"/>
            <w:hideMark/>
          </w:tcPr>
          <w:p w14:paraId="681EFD87" w14:textId="4110C53C" w:rsidR="004A4657" w:rsidRPr="00B1350F" w:rsidRDefault="004A4657" w:rsidP="004A4657">
            <w:pPr>
              <w:jc w:val="right"/>
              <w:rPr>
                <w:rFonts w:eastAsia="Times New Roman" w:cstheme="minorHAnsi"/>
                <w:sz w:val="20"/>
                <w:szCs w:val="20"/>
              </w:rPr>
            </w:pPr>
            <w:r w:rsidRPr="00142534">
              <w:rPr>
                <w:rFonts w:ascii="Calibri" w:hAnsi="Calibri" w:cs="Calibri"/>
                <w:b/>
                <w:bCs/>
                <w:color w:val="000000"/>
                <w:sz w:val="20"/>
                <w:szCs w:val="20"/>
              </w:rPr>
              <w:t>1 501</w:t>
            </w:r>
            <w:r>
              <w:rPr>
                <w:rFonts w:ascii="Calibri" w:hAnsi="Calibri" w:cs="Calibri"/>
                <w:b/>
                <w:bCs/>
                <w:color w:val="000000"/>
                <w:sz w:val="20"/>
                <w:szCs w:val="20"/>
              </w:rPr>
              <w:t> </w:t>
            </w:r>
            <w:r w:rsidRPr="00142534">
              <w:rPr>
                <w:rFonts w:ascii="Calibri" w:hAnsi="Calibri" w:cs="Calibri"/>
                <w:b/>
                <w:bCs/>
                <w:color w:val="000000"/>
                <w:sz w:val="20"/>
                <w:szCs w:val="20"/>
              </w:rPr>
              <w:t>463</w:t>
            </w:r>
            <w:r>
              <w:rPr>
                <w:rFonts w:ascii="Calibri" w:hAnsi="Calibri" w:cs="Calibri"/>
                <w:b/>
                <w:bCs/>
                <w:color w:val="000000"/>
                <w:sz w:val="20"/>
                <w:szCs w:val="20"/>
              </w:rPr>
              <w:t>,00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F11590" w14:textId="5178479A" w:rsidR="004A4657" w:rsidRPr="00142534" w:rsidRDefault="004A4657" w:rsidP="004A4657">
            <w:pPr>
              <w:jc w:val="right"/>
              <w:rPr>
                <w:rFonts w:eastAsia="Times New Roman" w:cstheme="minorHAnsi"/>
                <w:b/>
                <w:bCs/>
                <w:sz w:val="20"/>
                <w:szCs w:val="20"/>
              </w:rPr>
            </w:pPr>
            <w:r w:rsidRPr="00121894">
              <w:rPr>
                <w:rFonts w:ascii="Calibri" w:eastAsia="Times New Roman" w:hAnsi="Calibri" w:cs="Calibri"/>
                <w:b/>
                <w:bCs/>
                <w:sz w:val="20"/>
                <w:szCs w:val="20"/>
              </w:rPr>
              <w:t>1 405 000,00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D4EFE8" w14:textId="0782B1A4" w:rsidR="004A4657" w:rsidRPr="00B1350F" w:rsidRDefault="004A4657" w:rsidP="004A4657">
            <w:pPr>
              <w:jc w:val="right"/>
              <w:rPr>
                <w:rFonts w:eastAsia="Times New Roman" w:cstheme="minorHAnsi"/>
                <w:sz w:val="20"/>
                <w:szCs w:val="20"/>
              </w:rPr>
            </w:pPr>
            <w:r w:rsidRPr="00121894">
              <w:rPr>
                <w:rFonts w:ascii="Calibri" w:eastAsia="Times New Roman" w:hAnsi="Calibri" w:cs="Calibri"/>
                <w:b/>
                <w:bCs/>
                <w:sz w:val="20"/>
                <w:szCs w:val="20"/>
              </w:rPr>
              <w:t>93,58</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0472C4" w14:textId="5B6FEA81" w:rsidR="004A4657" w:rsidRPr="00B1350F" w:rsidRDefault="004A4657" w:rsidP="004A4657">
            <w:pPr>
              <w:jc w:val="right"/>
              <w:rPr>
                <w:rFonts w:eastAsia="Times New Roman" w:cstheme="minorHAnsi"/>
                <w:sz w:val="20"/>
                <w:szCs w:val="20"/>
              </w:rPr>
            </w:pPr>
            <w:r w:rsidRPr="00121894">
              <w:rPr>
                <w:rFonts w:ascii="Calibri" w:eastAsia="Times New Roman" w:hAnsi="Calibri" w:cs="Calibri"/>
                <w:b/>
                <w:bCs/>
                <w:sz w:val="20"/>
                <w:szCs w:val="20"/>
              </w:rPr>
              <w:t>1 405 000,00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B3C117" w14:textId="4004DBC4" w:rsidR="004A4657" w:rsidRPr="00B1350F" w:rsidRDefault="004A4657" w:rsidP="004A4657">
            <w:pPr>
              <w:jc w:val="right"/>
              <w:rPr>
                <w:rFonts w:eastAsia="Times New Roman" w:cstheme="minorHAnsi"/>
                <w:sz w:val="20"/>
                <w:szCs w:val="20"/>
              </w:rPr>
            </w:pPr>
            <w:r w:rsidRPr="00121894">
              <w:rPr>
                <w:rFonts w:ascii="Calibri" w:eastAsia="Times New Roman" w:hAnsi="Calibri" w:cs="Calibri"/>
                <w:b/>
                <w:bCs/>
                <w:sz w:val="20"/>
                <w:szCs w:val="20"/>
              </w:rPr>
              <w:t>100,00</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035AD0" w14:textId="7C4EA02F" w:rsidR="004A4657" w:rsidRPr="00B1350F" w:rsidRDefault="004A4657" w:rsidP="004A4657">
            <w:pPr>
              <w:jc w:val="right"/>
              <w:rPr>
                <w:rFonts w:eastAsia="Times New Roman" w:cstheme="minorHAnsi"/>
                <w:sz w:val="20"/>
                <w:szCs w:val="20"/>
              </w:rPr>
            </w:pPr>
            <w:r w:rsidRPr="00121894">
              <w:rPr>
                <w:rFonts w:ascii="Calibri" w:eastAsia="Times New Roman" w:hAnsi="Calibri" w:cs="Calibri"/>
                <w:b/>
                <w:bCs/>
                <w:sz w:val="20"/>
                <w:szCs w:val="20"/>
              </w:rPr>
              <w:t>1 405 000,00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BF8DAC" w14:textId="6D847B14" w:rsidR="004A4657" w:rsidRPr="00B1350F" w:rsidRDefault="004A4657" w:rsidP="004A4657">
            <w:pPr>
              <w:jc w:val="right"/>
              <w:rPr>
                <w:rFonts w:eastAsia="Times New Roman" w:cstheme="minorHAnsi"/>
                <w:sz w:val="20"/>
                <w:szCs w:val="20"/>
              </w:rPr>
            </w:pPr>
            <w:r w:rsidRPr="00121894">
              <w:rPr>
                <w:rFonts w:ascii="Calibri" w:eastAsia="Times New Roman" w:hAnsi="Calibri" w:cs="Calibri"/>
                <w:b/>
                <w:bCs/>
                <w:sz w:val="20"/>
                <w:szCs w:val="20"/>
              </w:rPr>
              <w:t>100,00</w:t>
            </w:r>
            <w:r w:rsidRPr="00121894">
              <w:rPr>
                <w:rFonts w:ascii="Calibri" w:eastAsia="Times New Roman" w:hAnsi="Calibri" w:cs="Calibri"/>
              </w:rPr>
              <w:t xml:space="preserve"> </w:t>
            </w:r>
          </w:p>
        </w:tc>
      </w:tr>
      <w:tr w:rsidR="004A4657" w:rsidRPr="00603E9F" w14:paraId="0FE88464" w14:textId="77777777" w:rsidTr="000F0218">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96732A6" w14:textId="77777777" w:rsidR="004A4657" w:rsidRPr="00B1350F" w:rsidRDefault="004A4657" w:rsidP="004A4657">
            <w:pPr>
              <w:rPr>
                <w:rFonts w:eastAsia="Times New Roman" w:cstheme="minorHAnsi"/>
                <w:sz w:val="20"/>
                <w:szCs w:val="20"/>
              </w:rPr>
            </w:pPr>
            <w:r w:rsidRPr="00B1350F">
              <w:rPr>
                <w:rFonts w:eastAsia="Times New Roman" w:cstheme="minorHAnsi"/>
                <w:sz w:val="20"/>
                <w:szCs w:val="20"/>
              </w:rPr>
              <w:t xml:space="preserve">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0EDEAC" w14:textId="77777777" w:rsidR="004A4657" w:rsidRPr="00B1350F" w:rsidRDefault="004A4657" w:rsidP="004A4657">
            <w:pPr>
              <w:rPr>
                <w:rFonts w:eastAsia="Times New Roman" w:cstheme="minorHAnsi"/>
                <w:sz w:val="20"/>
                <w:szCs w:val="20"/>
              </w:rPr>
            </w:pPr>
            <w:r w:rsidRPr="00B1350F">
              <w:rPr>
                <w:rFonts w:eastAsia="Times New Roman" w:cstheme="minorHAnsi"/>
                <w:sz w:val="20"/>
                <w:szCs w:val="20"/>
              </w:rPr>
              <w:t xml:space="preserve">Mzdy, platy, ... </w:t>
            </w:r>
          </w:p>
        </w:tc>
        <w:tc>
          <w:tcPr>
            <w:tcW w:w="0" w:type="auto"/>
            <w:tcBorders>
              <w:top w:val="outset" w:sz="6" w:space="0" w:color="000000"/>
              <w:left w:val="outset" w:sz="6" w:space="0" w:color="000000"/>
              <w:bottom w:val="outset" w:sz="6" w:space="0" w:color="000000"/>
              <w:right w:val="outset" w:sz="6" w:space="0" w:color="000000"/>
            </w:tcBorders>
            <w:noWrap/>
            <w:vAlign w:val="bottom"/>
            <w:hideMark/>
          </w:tcPr>
          <w:p w14:paraId="10815A8F" w14:textId="20D6BB31" w:rsidR="004A4657" w:rsidRPr="00C04704" w:rsidRDefault="004A4657" w:rsidP="004A4657">
            <w:pPr>
              <w:jc w:val="right"/>
              <w:rPr>
                <w:rFonts w:eastAsia="Times New Roman" w:cstheme="minorHAnsi"/>
                <w:sz w:val="20"/>
                <w:szCs w:val="20"/>
              </w:rPr>
            </w:pPr>
            <w:r w:rsidRPr="00890752">
              <w:rPr>
                <w:rFonts w:ascii="Calibri" w:hAnsi="Calibri" w:cs="Calibri"/>
                <w:color w:val="000000"/>
                <w:sz w:val="20"/>
                <w:szCs w:val="20"/>
              </w:rPr>
              <w:t>422</w:t>
            </w:r>
            <w:r>
              <w:rPr>
                <w:rFonts w:ascii="Calibri" w:hAnsi="Calibri" w:cs="Calibri"/>
                <w:color w:val="000000"/>
                <w:sz w:val="20"/>
                <w:szCs w:val="20"/>
              </w:rPr>
              <w:t> </w:t>
            </w:r>
            <w:r w:rsidRPr="00890752">
              <w:rPr>
                <w:rFonts w:ascii="Calibri" w:hAnsi="Calibri" w:cs="Calibri"/>
                <w:color w:val="000000"/>
                <w:sz w:val="20"/>
                <w:szCs w:val="20"/>
              </w:rPr>
              <w:t>000</w:t>
            </w:r>
            <w:r>
              <w:rPr>
                <w:rFonts w:ascii="Calibri" w:hAnsi="Calibri" w:cs="Calibri"/>
                <w:color w:val="000000"/>
                <w:sz w:val="20"/>
                <w:szCs w:val="20"/>
              </w:rPr>
              <w:t>,00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D7BCCFB" w14:textId="09F8C06B" w:rsidR="004A4657" w:rsidRPr="00890752" w:rsidRDefault="004A4657" w:rsidP="004A4657">
            <w:pPr>
              <w:jc w:val="right"/>
              <w:rPr>
                <w:rFonts w:eastAsia="Times New Roman" w:cstheme="minorHAnsi"/>
                <w:sz w:val="20"/>
                <w:szCs w:val="20"/>
              </w:rPr>
            </w:pPr>
            <w:r w:rsidRPr="00121894">
              <w:rPr>
                <w:rFonts w:ascii="Calibri" w:eastAsia="Times New Roman" w:hAnsi="Calibri" w:cs="Calibri"/>
                <w:sz w:val="20"/>
                <w:szCs w:val="20"/>
              </w:rPr>
              <w:t>320 000,00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21739965" w14:textId="72CF3ED9" w:rsidR="004A4657" w:rsidRPr="00B1350F" w:rsidRDefault="004A4657" w:rsidP="004A4657">
            <w:pPr>
              <w:jc w:val="right"/>
              <w:rPr>
                <w:rFonts w:eastAsia="Times New Roman" w:cstheme="minorHAnsi"/>
                <w:sz w:val="20"/>
                <w:szCs w:val="20"/>
              </w:rPr>
            </w:pPr>
            <w:r w:rsidRPr="00121894">
              <w:rPr>
                <w:rFonts w:ascii="Calibri" w:eastAsia="Times New Roman" w:hAnsi="Calibri" w:cs="Calibri"/>
                <w:sz w:val="20"/>
                <w:szCs w:val="20"/>
              </w:rPr>
              <w:t>75,83</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D073DB" w14:textId="5BEA7966" w:rsidR="004A4657" w:rsidRPr="00890752" w:rsidRDefault="004A4657" w:rsidP="004A4657">
            <w:pPr>
              <w:jc w:val="right"/>
              <w:rPr>
                <w:rFonts w:eastAsia="Times New Roman" w:cstheme="minorHAnsi"/>
                <w:sz w:val="20"/>
                <w:szCs w:val="20"/>
              </w:rPr>
            </w:pPr>
            <w:r w:rsidRPr="00121894">
              <w:rPr>
                <w:rFonts w:ascii="Calibri" w:eastAsia="Times New Roman" w:hAnsi="Calibri" w:cs="Calibri"/>
                <w:sz w:val="20"/>
                <w:szCs w:val="20"/>
              </w:rPr>
              <w:t>320 000,00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9F9934A" w14:textId="2F4BD914" w:rsidR="004A4657" w:rsidRPr="00B1350F" w:rsidRDefault="004A4657" w:rsidP="004A4657">
            <w:pPr>
              <w:jc w:val="right"/>
              <w:rPr>
                <w:rFonts w:eastAsia="Times New Roman" w:cstheme="minorHAnsi"/>
                <w:sz w:val="20"/>
                <w:szCs w:val="20"/>
              </w:rPr>
            </w:pPr>
            <w:r w:rsidRPr="00121894">
              <w:rPr>
                <w:rFonts w:ascii="Calibri" w:eastAsia="Times New Roman" w:hAnsi="Calibri" w:cs="Calibri"/>
                <w:sz w:val="20"/>
                <w:szCs w:val="20"/>
              </w:rPr>
              <w:t>100,00</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946C1A" w14:textId="52DF3293" w:rsidR="004A4657" w:rsidRPr="00890752" w:rsidRDefault="004A4657" w:rsidP="004A4657">
            <w:pPr>
              <w:jc w:val="right"/>
              <w:rPr>
                <w:rFonts w:eastAsia="Times New Roman" w:cstheme="minorHAnsi"/>
                <w:sz w:val="20"/>
                <w:szCs w:val="20"/>
              </w:rPr>
            </w:pPr>
            <w:r w:rsidRPr="00121894">
              <w:rPr>
                <w:rFonts w:ascii="Calibri" w:eastAsia="Times New Roman" w:hAnsi="Calibri" w:cs="Calibri"/>
                <w:sz w:val="20"/>
                <w:szCs w:val="20"/>
              </w:rPr>
              <w:t>320 000,00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70402B4" w14:textId="4CABEB8C" w:rsidR="004A4657" w:rsidRPr="00B1350F" w:rsidRDefault="004A4657" w:rsidP="004A4657">
            <w:pPr>
              <w:jc w:val="right"/>
              <w:rPr>
                <w:rFonts w:eastAsia="Times New Roman" w:cstheme="minorHAnsi"/>
                <w:sz w:val="20"/>
                <w:szCs w:val="20"/>
              </w:rPr>
            </w:pPr>
            <w:r w:rsidRPr="00121894">
              <w:rPr>
                <w:rFonts w:ascii="Calibri" w:eastAsia="Times New Roman" w:hAnsi="Calibri" w:cs="Calibri"/>
                <w:sz w:val="20"/>
                <w:szCs w:val="20"/>
              </w:rPr>
              <w:t>100,00</w:t>
            </w:r>
            <w:r w:rsidRPr="00121894">
              <w:rPr>
                <w:rFonts w:ascii="Calibri" w:eastAsia="Times New Roman" w:hAnsi="Calibri" w:cs="Calibri"/>
              </w:rPr>
              <w:t xml:space="preserve"> </w:t>
            </w:r>
          </w:p>
        </w:tc>
      </w:tr>
      <w:tr w:rsidR="00F852B9" w:rsidRPr="00603E9F" w14:paraId="69C49CC9" w14:textId="77777777" w:rsidTr="000F0218">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2BB15D" w14:textId="77777777" w:rsidR="00F852B9" w:rsidRPr="00B1350F" w:rsidRDefault="00F852B9" w:rsidP="00F852B9">
            <w:pPr>
              <w:rPr>
                <w:rFonts w:eastAsia="Times New Roman" w:cstheme="minorHAnsi"/>
                <w:sz w:val="20"/>
                <w:szCs w:val="20"/>
              </w:rPr>
            </w:pPr>
            <w:r w:rsidRPr="00B1350F">
              <w:rPr>
                <w:rFonts w:eastAsia="Times New Roman" w:cstheme="minorHAnsi"/>
                <w:sz w:val="20"/>
                <w:szCs w:val="20"/>
              </w:rPr>
              <w:t xml:space="preserve">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40301A" w14:textId="77777777" w:rsidR="00F852B9" w:rsidRPr="00B1350F" w:rsidRDefault="00F852B9" w:rsidP="00F852B9">
            <w:pPr>
              <w:rPr>
                <w:rFonts w:eastAsia="Times New Roman" w:cstheme="minorHAnsi"/>
                <w:sz w:val="20"/>
                <w:szCs w:val="20"/>
              </w:rPr>
            </w:pPr>
            <w:r w:rsidRPr="00B1350F">
              <w:rPr>
                <w:rFonts w:eastAsia="Times New Roman" w:cstheme="minorHAnsi"/>
                <w:sz w:val="20"/>
                <w:szCs w:val="20"/>
              </w:rPr>
              <w:t xml:space="preserve">Poistné do poisťovní </w:t>
            </w:r>
          </w:p>
        </w:tc>
        <w:tc>
          <w:tcPr>
            <w:tcW w:w="0" w:type="auto"/>
            <w:tcBorders>
              <w:top w:val="outset" w:sz="6" w:space="0" w:color="000000"/>
              <w:left w:val="outset" w:sz="6" w:space="0" w:color="000000"/>
              <w:bottom w:val="outset" w:sz="6" w:space="0" w:color="000000"/>
              <w:right w:val="outset" w:sz="6" w:space="0" w:color="000000"/>
            </w:tcBorders>
            <w:noWrap/>
            <w:vAlign w:val="bottom"/>
            <w:hideMark/>
          </w:tcPr>
          <w:p w14:paraId="7A821DD3" w14:textId="45916EF3" w:rsidR="00F852B9" w:rsidRPr="00C04704" w:rsidRDefault="00F852B9" w:rsidP="00F852B9">
            <w:pPr>
              <w:jc w:val="right"/>
              <w:rPr>
                <w:rFonts w:eastAsia="Times New Roman" w:cstheme="minorHAnsi"/>
                <w:sz w:val="20"/>
                <w:szCs w:val="20"/>
              </w:rPr>
            </w:pPr>
            <w:r w:rsidRPr="00890752">
              <w:rPr>
                <w:rFonts w:ascii="Calibri" w:hAnsi="Calibri" w:cs="Calibri"/>
                <w:color w:val="000000"/>
                <w:sz w:val="20"/>
                <w:szCs w:val="20"/>
              </w:rPr>
              <w:t>343</w:t>
            </w:r>
            <w:r>
              <w:rPr>
                <w:rFonts w:ascii="Calibri" w:hAnsi="Calibri" w:cs="Calibri"/>
                <w:color w:val="000000"/>
                <w:sz w:val="20"/>
                <w:szCs w:val="20"/>
              </w:rPr>
              <w:t> </w:t>
            </w:r>
            <w:r w:rsidRPr="00890752">
              <w:rPr>
                <w:rFonts w:ascii="Calibri" w:hAnsi="Calibri" w:cs="Calibri"/>
                <w:color w:val="000000"/>
                <w:sz w:val="20"/>
                <w:szCs w:val="20"/>
              </w:rPr>
              <w:t>663</w:t>
            </w:r>
            <w:r>
              <w:rPr>
                <w:rFonts w:ascii="Calibri" w:hAnsi="Calibri" w:cs="Calibri"/>
                <w:color w:val="000000"/>
                <w:sz w:val="20"/>
                <w:szCs w:val="20"/>
              </w:rPr>
              <w:t>,00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CBF1352" w14:textId="7327EC80" w:rsidR="00F852B9" w:rsidRPr="00890752" w:rsidRDefault="00F852B9" w:rsidP="00F852B9">
            <w:pPr>
              <w:jc w:val="right"/>
              <w:rPr>
                <w:rFonts w:eastAsia="Times New Roman" w:cstheme="minorHAnsi"/>
                <w:sz w:val="20"/>
                <w:szCs w:val="20"/>
              </w:rPr>
            </w:pPr>
            <w:r w:rsidRPr="00121894">
              <w:rPr>
                <w:rFonts w:ascii="Calibri" w:eastAsia="Times New Roman" w:hAnsi="Calibri" w:cs="Calibri"/>
                <w:sz w:val="20"/>
                <w:szCs w:val="20"/>
              </w:rPr>
              <w:t>353 000,00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95531BD" w14:textId="0F79732D" w:rsidR="00F852B9" w:rsidRPr="00B1350F" w:rsidRDefault="00F852B9" w:rsidP="00F852B9">
            <w:pPr>
              <w:jc w:val="right"/>
              <w:rPr>
                <w:rFonts w:eastAsia="Times New Roman" w:cstheme="minorHAnsi"/>
                <w:sz w:val="20"/>
                <w:szCs w:val="20"/>
              </w:rPr>
            </w:pPr>
            <w:r>
              <w:rPr>
                <w:rFonts w:eastAsia="Times New Roman" w:cstheme="minorHAnsi"/>
                <w:sz w:val="20"/>
                <w:szCs w:val="20"/>
              </w:rPr>
              <w:t>10</w:t>
            </w:r>
            <w:r w:rsidR="00687AF7">
              <w:rPr>
                <w:rFonts w:eastAsia="Times New Roman" w:cstheme="minorHAnsi"/>
                <w:sz w:val="20"/>
                <w:szCs w:val="20"/>
              </w:rPr>
              <w:t>2,72</w:t>
            </w:r>
            <w:r w:rsidRPr="00B1350F">
              <w:rPr>
                <w:rFonts w:eastAsia="Times New Roman" w:cstheme="minorHAnsi"/>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6210BA" w14:textId="7055CC58" w:rsidR="00F852B9" w:rsidRPr="00890752" w:rsidRDefault="00F852B9" w:rsidP="00F852B9">
            <w:pPr>
              <w:jc w:val="right"/>
              <w:rPr>
                <w:rFonts w:eastAsia="Times New Roman" w:cstheme="minorHAnsi"/>
                <w:sz w:val="20"/>
                <w:szCs w:val="20"/>
              </w:rPr>
            </w:pPr>
            <w:r w:rsidRPr="00121894">
              <w:rPr>
                <w:rFonts w:ascii="Calibri" w:eastAsia="Times New Roman" w:hAnsi="Calibri" w:cs="Calibri"/>
                <w:sz w:val="20"/>
                <w:szCs w:val="20"/>
              </w:rPr>
              <w:t>353 000,00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1288D28" w14:textId="12F86508" w:rsidR="00F852B9" w:rsidRPr="00B1350F" w:rsidRDefault="00F852B9" w:rsidP="00F852B9">
            <w:pPr>
              <w:jc w:val="right"/>
              <w:rPr>
                <w:rFonts w:eastAsia="Times New Roman" w:cstheme="minorHAnsi"/>
                <w:sz w:val="20"/>
                <w:szCs w:val="20"/>
              </w:rPr>
            </w:pPr>
            <w:r w:rsidRPr="00121894">
              <w:rPr>
                <w:rFonts w:ascii="Calibri" w:eastAsia="Times New Roman" w:hAnsi="Calibri" w:cs="Calibri"/>
                <w:sz w:val="20"/>
                <w:szCs w:val="20"/>
              </w:rPr>
              <w:t>100,00</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BC0C5A" w14:textId="22D8B148" w:rsidR="00F852B9" w:rsidRPr="00890752" w:rsidRDefault="00F852B9" w:rsidP="00F852B9">
            <w:pPr>
              <w:jc w:val="right"/>
              <w:rPr>
                <w:rFonts w:eastAsia="Times New Roman" w:cstheme="minorHAnsi"/>
                <w:sz w:val="20"/>
                <w:szCs w:val="20"/>
              </w:rPr>
            </w:pPr>
            <w:r w:rsidRPr="00121894">
              <w:rPr>
                <w:rFonts w:ascii="Calibri" w:eastAsia="Times New Roman" w:hAnsi="Calibri" w:cs="Calibri"/>
                <w:sz w:val="20"/>
                <w:szCs w:val="20"/>
              </w:rPr>
              <w:t>353 000,00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832A3DA" w14:textId="59F961C0" w:rsidR="00F852B9" w:rsidRPr="00B1350F" w:rsidRDefault="00F852B9" w:rsidP="00F852B9">
            <w:pPr>
              <w:jc w:val="right"/>
              <w:rPr>
                <w:rFonts w:eastAsia="Times New Roman" w:cstheme="minorHAnsi"/>
                <w:sz w:val="20"/>
                <w:szCs w:val="20"/>
              </w:rPr>
            </w:pPr>
            <w:r w:rsidRPr="00121894">
              <w:rPr>
                <w:rFonts w:ascii="Calibri" w:eastAsia="Times New Roman" w:hAnsi="Calibri" w:cs="Calibri"/>
                <w:sz w:val="20"/>
                <w:szCs w:val="20"/>
              </w:rPr>
              <w:t>100,00</w:t>
            </w:r>
            <w:r w:rsidRPr="00121894">
              <w:rPr>
                <w:rFonts w:ascii="Calibri" w:eastAsia="Times New Roman" w:hAnsi="Calibri" w:cs="Calibri"/>
              </w:rPr>
              <w:t xml:space="preserve"> </w:t>
            </w:r>
          </w:p>
        </w:tc>
      </w:tr>
      <w:tr w:rsidR="00F852B9" w:rsidRPr="00603E9F" w14:paraId="34E60A53" w14:textId="77777777" w:rsidTr="000F0218">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BFCCDF" w14:textId="77777777" w:rsidR="00F852B9" w:rsidRPr="00B1350F" w:rsidRDefault="00F852B9" w:rsidP="00F852B9">
            <w:pPr>
              <w:rPr>
                <w:rFonts w:eastAsia="Times New Roman" w:cstheme="minorHAnsi"/>
                <w:sz w:val="20"/>
                <w:szCs w:val="20"/>
              </w:rPr>
            </w:pPr>
            <w:r w:rsidRPr="00B1350F">
              <w:rPr>
                <w:rFonts w:eastAsia="Times New Roman" w:cstheme="minorHAnsi"/>
                <w:sz w:val="20"/>
                <w:szCs w:val="20"/>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235888" w14:textId="77777777" w:rsidR="00F852B9" w:rsidRPr="00B1350F" w:rsidRDefault="00F852B9" w:rsidP="00F852B9">
            <w:pPr>
              <w:rPr>
                <w:rFonts w:eastAsia="Times New Roman" w:cstheme="minorHAnsi"/>
                <w:sz w:val="20"/>
                <w:szCs w:val="20"/>
              </w:rPr>
            </w:pPr>
            <w:r w:rsidRPr="00B1350F">
              <w:rPr>
                <w:rFonts w:eastAsia="Times New Roman" w:cstheme="minorHAnsi"/>
                <w:sz w:val="20"/>
                <w:szCs w:val="20"/>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bottom"/>
            <w:hideMark/>
          </w:tcPr>
          <w:p w14:paraId="22084B39" w14:textId="41444CE8" w:rsidR="00F852B9" w:rsidRPr="00C04704" w:rsidRDefault="00F852B9" w:rsidP="00F852B9">
            <w:pPr>
              <w:jc w:val="right"/>
              <w:rPr>
                <w:rFonts w:eastAsia="Times New Roman" w:cstheme="minorHAnsi"/>
                <w:sz w:val="20"/>
                <w:szCs w:val="20"/>
              </w:rPr>
            </w:pPr>
            <w:r w:rsidRPr="00890752">
              <w:rPr>
                <w:rFonts w:ascii="Calibri" w:hAnsi="Calibri" w:cs="Calibri"/>
                <w:color w:val="000000"/>
                <w:sz w:val="20"/>
                <w:szCs w:val="20"/>
              </w:rPr>
              <w:t>733 80</w:t>
            </w:r>
            <w:r w:rsidR="00687AF7">
              <w:rPr>
                <w:rFonts w:ascii="Calibri" w:hAnsi="Calibri" w:cs="Calibri"/>
                <w:color w:val="000000"/>
                <w:sz w:val="20"/>
                <w:szCs w:val="20"/>
              </w:rPr>
              <w:t>0</w:t>
            </w:r>
            <w:r>
              <w:rPr>
                <w:rFonts w:ascii="Calibri" w:hAnsi="Calibri" w:cs="Calibri"/>
                <w:color w:val="000000"/>
                <w:sz w:val="20"/>
                <w:szCs w:val="20"/>
              </w:rPr>
              <w:t>,00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3AA040" w14:textId="32DC5D2D" w:rsidR="00F852B9" w:rsidRPr="00890752" w:rsidRDefault="00F852B9" w:rsidP="00F852B9">
            <w:pPr>
              <w:jc w:val="right"/>
              <w:rPr>
                <w:rFonts w:eastAsia="Times New Roman" w:cstheme="minorHAnsi"/>
                <w:sz w:val="20"/>
                <w:szCs w:val="20"/>
              </w:rPr>
            </w:pPr>
            <w:r w:rsidRPr="00121894">
              <w:rPr>
                <w:rFonts w:ascii="Calibri" w:eastAsia="Times New Roman" w:hAnsi="Calibri" w:cs="Calibri"/>
                <w:sz w:val="20"/>
                <w:szCs w:val="20"/>
              </w:rPr>
              <w:t>729 200,00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B228938" w14:textId="71289CE8" w:rsidR="00F852B9" w:rsidRPr="00B1350F" w:rsidRDefault="00B973C4" w:rsidP="00F852B9">
            <w:pPr>
              <w:jc w:val="right"/>
              <w:rPr>
                <w:rFonts w:eastAsia="Times New Roman" w:cstheme="minorHAnsi"/>
                <w:sz w:val="20"/>
                <w:szCs w:val="20"/>
              </w:rPr>
            </w:pPr>
            <w:r>
              <w:rPr>
                <w:rFonts w:eastAsia="Times New Roman" w:cstheme="minorHAnsi"/>
                <w:sz w:val="20"/>
                <w:szCs w:val="20"/>
              </w:rPr>
              <w:t>99,37</w:t>
            </w:r>
            <w:r w:rsidR="00F852B9" w:rsidRPr="00B1350F">
              <w:rPr>
                <w:rFonts w:eastAsia="Times New Roman" w:cstheme="minorHAnsi"/>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F71E9C" w14:textId="464F29A6" w:rsidR="00F852B9" w:rsidRPr="00890752" w:rsidRDefault="00F852B9" w:rsidP="00F852B9">
            <w:pPr>
              <w:jc w:val="right"/>
              <w:rPr>
                <w:rFonts w:eastAsia="Times New Roman" w:cstheme="minorHAnsi"/>
                <w:sz w:val="20"/>
                <w:szCs w:val="20"/>
              </w:rPr>
            </w:pPr>
            <w:r w:rsidRPr="00121894">
              <w:rPr>
                <w:rFonts w:ascii="Calibri" w:eastAsia="Times New Roman" w:hAnsi="Calibri" w:cs="Calibri"/>
                <w:sz w:val="20"/>
                <w:szCs w:val="20"/>
              </w:rPr>
              <w:t>729 200,00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15E047C" w14:textId="4F1C911C" w:rsidR="00F852B9" w:rsidRPr="00B1350F" w:rsidRDefault="00F852B9" w:rsidP="00F852B9">
            <w:pPr>
              <w:jc w:val="right"/>
              <w:rPr>
                <w:rFonts w:eastAsia="Times New Roman" w:cstheme="minorHAnsi"/>
                <w:sz w:val="20"/>
                <w:szCs w:val="20"/>
              </w:rPr>
            </w:pPr>
            <w:r w:rsidRPr="00121894">
              <w:rPr>
                <w:rFonts w:ascii="Calibri" w:eastAsia="Times New Roman" w:hAnsi="Calibri" w:cs="Calibri"/>
                <w:sz w:val="20"/>
                <w:szCs w:val="20"/>
              </w:rPr>
              <w:t>100,00</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DF03A1" w14:textId="5E8996D8" w:rsidR="00F852B9" w:rsidRPr="00890752" w:rsidRDefault="00F852B9" w:rsidP="00F852B9">
            <w:pPr>
              <w:jc w:val="right"/>
              <w:rPr>
                <w:rFonts w:eastAsia="Times New Roman" w:cstheme="minorHAnsi"/>
                <w:sz w:val="20"/>
                <w:szCs w:val="20"/>
              </w:rPr>
            </w:pPr>
            <w:r w:rsidRPr="00121894">
              <w:rPr>
                <w:rFonts w:ascii="Calibri" w:eastAsia="Times New Roman" w:hAnsi="Calibri" w:cs="Calibri"/>
                <w:sz w:val="20"/>
                <w:szCs w:val="20"/>
              </w:rPr>
              <w:t>729 200,00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0C9B17A0" w14:textId="6883C767" w:rsidR="00F852B9" w:rsidRPr="00B1350F" w:rsidRDefault="00F852B9" w:rsidP="00F852B9">
            <w:pPr>
              <w:jc w:val="right"/>
              <w:rPr>
                <w:rFonts w:eastAsia="Times New Roman" w:cstheme="minorHAnsi"/>
                <w:sz w:val="20"/>
                <w:szCs w:val="20"/>
              </w:rPr>
            </w:pPr>
            <w:r w:rsidRPr="00121894">
              <w:rPr>
                <w:rFonts w:ascii="Calibri" w:eastAsia="Times New Roman" w:hAnsi="Calibri" w:cs="Calibri"/>
                <w:sz w:val="20"/>
                <w:szCs w:val="20"/>
              </w:rPr>
              <w:t>100,00</w:t>
            </w:r>
            <w:r w:rsidRPr="00121894">
              <w:rPr>
                <w:rFonts w:ascii="Calibri" w:eastAsia="Times New Roman" w:hAnsi="Calibri" w:cs="Calibri"/>
              </w:rPr>
              <w:t xml:space="preserve"> </w:t>
            </w:r>
          </w:p>
        </w:tc>
      </w:tr>
      <w:tr w:rsidR="00F852B9" w:rsidRPr="00603E9F" w14:paraId="0E7A6909" w14:textId="77777777" w:rsidTr="000F0218">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26EAA4" w14:textId="77777777" w:rsidR="00F852B9" w:rsidRPr="00B1350F" w:rsidRDefault="00F852B9" w:rsidP="00F852B9">
            <w:pPr>
              <w:rPr>
                <w:rFonts w:eastAsia="Times New Roman" w:cstheme="minorHAnsi"/>
                <w:sz w:val="20"/>
                <w:szCs w:val="20"/>
              </w:rPr>
            </w:pPr>
            <w:r w:rsidRPr="00B1350F">
              <w:rPr>
                <w:rFonts w:eastAsia="Times New Roman" w:cstheme="minorHAnsi"/>
                <w:sz w:val="20"/>
                <w:szCs w:val="20"/>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048347" w14:textId="77777777" w:rsidR="00F852B9" w:rsidRPr="00B1350F" w:rsidRDefault="00F852B9" w:rsidP="00F852B9">
            <w:pPr>
              <w:rPr>
                <w:rFonts w:eastAsia="Times New Roman" w:cstheme="minorHAnsi"/>
                <w:sz w:val="20"/>
                <w:szCs w:val="20"/>
              </w:rPr>
            </w:pPr>
            <w:r w:rsidRPr="00B1350F">
              <w:rPr>
                <w:rFonts w:eastAsia="Times New Roman" w:cstheme="minorHAnsi"/>
                <w:sz w:val="20"/>
                <w:szCs w:val="20"/>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bottom"/>
            <w:hideMark/>
          </w:tcPr>
          <w:p w14:paraId="302CEB46" w14:textId="42EFE2B8" w:rsidR="00F852B9" w:rsidRPr="00C04704" w:rsidRDefault="00F852B9" w:rsidP="00F852B9">
            <w:pPr>
              <w:jc w:val="right"/>
              <w:rPr>
                <w:rFonts w:eastAsia="Times New Roman" w:cstheme="minorHAnsi"/>
                <w:sz w:val="20"/>
                <w:szCs w:val="20"/>
              </w:rPr>
            </w:pPr>
            <w:r w:rsidRPr="00890752">
              <w:rPr>
                <w:rFonts w:ascii="Calibri" w:hAnsi="Calibri" w:cs="Calibri"/>
                <w:color w:val="000000"/>
                <w:sz w:val="20"/>
                <w:szCs w:val="20"/>
              </w:rPr>
              <w:t>2</w:t>
            </w:r>
            <w:r>
              <w:rPr>
                <w:rFonts w:ascii="Calibri" w:hAnsi="Calibri" w:cs="Calibri"/>
                <w:color w:val="000000"/>
                <w:sz w:val="20"/>
                <w:szCs w:val="20"/>
              </w:rPr>
              <w:t> </w:t>
            </w:r>
            <w:r w:rsidRPr="00890752">
              <w:rPr>
                <w:rFonts w:ascii="Calibri" w:hAnsi="Calibri" w:cs="Calibri"/>
                <w:color w:val="000000"/>
                <w:sz w:val="20"/>
                <w:szCs w:val="20"/>
              </w:rPr>
              <w:t>000</w:t>
            </w:r>
            <w:r>
              <w:rPr>
                <w:rFonts w:ascii="Calibri" w:hAnsi="Calibri" w:cs="Calibri"/>
                <w:color w:val="000000"/>
                <w:sz w:val="20"/>
                <w:szCs w:val="20"/>
              </w:rPr>
              <w:t>,00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4AA3E9" w14:textId="598201DD" w:rsidR="00F852B9" w:rsidRPr="00890752" w:rsidRDefault="00F852B9" w:rsidP="00F852B9">
            <w:pPr>
              <w:jc w:val="right"/>
              <w:rPr>
                <w:rFonts w:eastAsia="Times New Roman" w:cstheme="minorHAnsi"/>
                <w:sz w:val="20"/>
                <w:szCs w:val="20"/>
              </w:rPr>
            </w:pPr>
            <w:r w:rsidRPr="00121894">
              <w:rPr>
                <w:rFonts w:ascii="Calibri" w:eastAsia="Times New Roman" w:hAnsi="Calibri" w:cs="Calibri"/>
                <w:sz w:val="20"/>
                <w:szCs w:val="20"/>
              </w:rPr>
              <w:t>2 800,00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87F066D" w14:textId="38C1D4D8" w:rsidR="00F852B9" w:rsidRPr="00B1350F" w:rsidRDefault="00B973C4" w:rsidP="00F852B9">
            <w:pPr>
              <w:jc w:val="right"/>
              <w:rPr>
                <w:rFonts w:eastAsia="Times New Roman" w:cstheme="minorHAnsi"/>
                <w:sz w:val="20"/>
                <w:szCs w:val="20"/>
              </w:rPr>
            </w:pPr>
            <w:r>
              <w:rPr>
                <w:rFonts w:eastAsia="Times New Roman" w:cstheme="minorHAnsi"/>
                <w:sz w:val="20"/>
                <w:szCs w:val="20"/>
              </w:rPr>
              <w:t>140</w:t>
            </w:r>
            <w:r w:rsidR="00F852B9" w:rsidRPr="00B1350F">
              <w:rPr>
                <w:rFonts w:eastAsia="Times New Roman" w:cstheme="minorHAnsi"/>
                <w:sz w:val="20"/>
                <w:szCs w:val="20"/>
              </w:rPr>
              <w:t xml:space="preserve">,00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2642D5" w14:textId="7E750184" w:rsidR="00F852B9" w:rsidRPr="00890752" w:rsidRDefault="00F852B9" w:rsidP="00F852B9">
            <w:pPr>
              <w:jc w:val="right"/>
              <w:rPr>
                <w:rFonts w:eastAsia="Times New Roman" w:cstheme="minorHAnsi"/>
                <w:sz w:val="20"/>
                <w:szCs w:val="20"/>
              </w:rPr>
            </w:pPr>
            <w:r w:rsidRPr="00121894">
              <w:rPr>
                <w:rFonts w:ascii="Calibri" w:eastAsia="Times New Roman" w:hAnsi="Calibri" w:cs="Calibri"/>
                <w:sz w:val="20"/>
                <w:szCs w:val="20"/>
              </w:rPr>
              <w:t>2 800,00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2DEF145" w14:textId="4062A8F7" w:rsidR="00F852B9" w:rsidRPr="00B1350F" w:rsidRDefault="00F852B9" w:rsidP="00F852B9">
            <w:pPr>
              <w:jc w:val="right"/>
              <w:rPr>
                <w:rFonts w:eastAsia="Times New Roman" w:cstheme="minorHAnsi"/>
                <w:sz w:val="20"/>
                <w:szCs w:val="20"/>
              </w:rPr>
            </w:pPr>
            <w:r w:rsidRPr="00121894">
              <w:rPr>
                <w:rFonts w:ascii="Calibri" w:eastAsia="Times New Roman" w:hAnsi="Calibri" w:cs="Calibri"/>
                <w:sz w:val="20"/>
                <w:szCs w:val="20"/>
              </w:rPr>
              <w:t>100,00</w:t>
            </w:r>
            <w:r w:rsidRPr="00121894">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DAC2B4" w14:textId="1E668565" w:rsidR="00F852B9" w:rsidRPr="00890752" w:rsidRDefault="00F852B9" w:rsidP="00F852B9">
            <w:pPr>
              <w:jc w:val="right"/>
              <w:rPr>
                <w:rFonts w:eastAsia="Times New Roman" w:cstheme="minorHAnsi"/>
                <w:sz w:val="20"/>
                <w:szCs w:val="20"/>
              </w:rPr>
            </w:pPr>
            <w:r w:rsidRPr="00121894">
              <w:rPr>
                <w:rFonts w:ascii="Calibri" w:eastAsia="Times New Roman" w:hAnsi="Calibri" w:cs="Calibri"/>
                <w:sz w:val="20"/>
                <w:szCs w:val="20"/>
              </w:rPr>
              <w:t>2 800,00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C6C36AD" w14:textId="61D9B4D0" w:rsidR="00F852B9" w:rsidRPr="00B1350F" w:rsidRDefault="00F852B9" w:rsidP="00F852B9">
            <w:pPr>
              <w:jc w:val="right"/>
              <w:rPr>
                <w:rFonts w:eastAsia="Times New Roman" w:cstheme="minorHAnsi"/>
                <w:sz w:val="20"/>
                <w:szCs w:val="20"/>
              </w:rPr>
            </w:pPr>
            <w:r w:rsidRPr="00121894">
              <w:rPr>
                <w:rFonts w:ascii="Calibri" w:eastAsia="Times New Roman" w:hAnsi="Calibri" w:cs="Calibri"/>
                <w:sz w:val="20"/>
                <w:szCs w:val="20"/>
              </w:rPr>
              <w:t>100,00</w:t>
            </w:r>
            <w:r w:rsidRPr="00121894">
              <w:rPr>
                <w:rFonts w:ascii="Calibri" w:eastAsia="Times New Roman" w:hAnsi="Calibri" w:cs="Calibri"/>
              </w:rPr>
              <w:t xml:space="preserve"> </w:t>
            </w:r>
          </w:p>
        </w:tc>
      </w:tr>
    </w:tbl>
    <w:p w14:paraId="091C3E30" w14:textId="77777777" w:rsidR="00357DE9" w:rsidRPr="00603E9F" w:rsidRDefault="00357DE9" w:rsidP="00357DE9">
      <w:pPr>
        <w:pStyle w:val="Normlnywebov"/>
        <w:spacing w:before="0" w:beforeAutospacing="0" w:after="0" w:afterAutospacing="0"/>
        <w:rPr>
          <w:rFonts w:asciiTheme="minorHAnsi" w:hAnsiTheme="minorHAnsi" w:cstheme="minorHAnsi"/>
          <w:vanish/>
          <w:sz w:val="22"/>
          <w:szCs w:val="22"/>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580"/>
        <w:gridCol w:w="1963"/>
        <w:gridCol w:w="1964"/>
        <w:gridCol w:w="1964"/>
        <w:gridCol w:w="1979"/>
      </w:tblGrid>
      <w:tr w:rsidR="00357DE9" w:rsidRPr="00603E9F" w14:paraId="22806DFE" w14:textId="77777777" w:rsidTr="00522CD0">
        <w:trPr>
          <w:trHeight w:hRule="exact" w:val="340"/>
          <w:tblHeade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8A6898" w14:textId="77777777" w:rsidR="00357DE9" w:rsidRPr="00522CD0" w:rsidRDefault="00357DE9" w:rsidP="00AD25B5">
            <w:pPr>
              <w:rPr>
                <w:rFonts w:eastAsia="Times New Roman" w:cstheme="minorHAnsi"/>
                <w:sz w:val="24"/>
                <w:szCs w:val="24"/>
              </w:rPr>
            </w:pPr>
            <w:r w:rsidRPr="00522CD0">
              <w:rPr>
                <w:rFonts w:eastAsia="Times New Roman" w:cstheme="minorHAnsi"/>
                <w:b/>
                <w:bCs/>
                <w:sz w:val="24"/>
                <w:szCs w:val="24"/>
              </w:rPr>
              <w:lastRenderedPageBreak/>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DB48B1" w14:textId="77777777" w:rsidR="00357DE9" w:rsidRPr="00522CD0" w:rsidRDefault="00357DE9" w:rsidP="00AD25B5">
            <w:pPr>
              <w:rPr>
                <w:rFonts w:eastAsia="Times New Roman" w:cstheme="minorHAnsi"/>
                <w:sz w:val="24"/>
                <w:szCs w:val="24"/>
              </w:rPr>
            </w:pPr>
            <w:r w:rsidRPr="00522CD0">
              <w:rPr>
                <w:rFonts w:eastAsia="Times New Roman" w:cstheme="minorHAnsi"/>
                <w:sz w:val="24"/>
                <w:szCs w:val="24"/>
              </w:rPr>
              <w:t>Kancelária predsedu</w:t>
            </w:r>
            <w:r w:rsidRPr="00522CD0">
              <w:rPr>
                <w:rFonts w:eastAsia="Times New Roman" w:cstheme="minorHAnsi"/>
                <w:sz w:val="24"/>
                <w:szCs w:val="24"/>
              </w:rPr>
              <w:br/>
            </w:r>
          </w:p>
        </w:tc>
      </w:tr>
      <w:tr w:rsidR="00357DE9" w:rsidRPr="00603E9F" w14:paraId="53AEAD89" w14:textId="77777777" w:rsidTr="00522CD0">
        <w:trPr>
          <w:trHeight w:hRule="exact" w:val="340"/>
          <w:tblHeade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086BE3" w14:textId="77777777" w:rsidR="00357DE9" w:rsidRPr="00522CD0" w:rsidRDefault="00357DE9" w:rsidP="00AD25B5">
            <w:pPr>
              <w:rPr>
                <w:rFonts w:eastAsia="Times New Roman" w:cstheme="minorHAnsi"/>
                <w:sz w:val="24"/>
                <w:szCs w:val="24"/>
              </w:rPr>
            </w:pPr>
            <w:r w:rsidRPr="00522CD0">
              <w:rPr>
                <w:rFonts w:eastAsia="Times New Roman" w:cstheme="minorHAnsi"/>
                <w:b/>
                <w:bCs/>
                <w:sz w:val="24"/>
                <w:szCs w:val="24"/>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1FA94C" w14:textId="77777777" w:rsidR="00357DE9" w:rsidRPr="00522CD0" w:rsidRDefault="00357DE9" w:rsidP="00AD25B5">
            <w:pPr>
              <w:rPr>
                <w:rFonts w:eastAsia="Times New Roman" w:cstheme="minorHAnsi"/>
                <w:sz w:val="24"/>
                <w:szCs w:val="24"/>
              </w:rPr>
            </w:pPr>
            <w:r w:rsidRPr="00522CD0">
              <w:rPr>
                <w:rFonts w:eastAsia="Times New Roman" w:cstheme="minorHAnsi"/>
                <w:b/>
                <w:bCs/>
                <w:sz w:val="24"/>
                <w:szCs w:val="24"/>
              </w:rPr>
              <w:t xml:space="preserve">Zabezpečiť účinné riadenie BSK </w:t>
            </w:r>
          </w:p>
        </w:tc>
      </w:tr>
      <w:tr w:rsidR="00357DE9" w:rsidRPr="00603E9F" w14:paraId="18679DEF" w14:textId="77777777" w:rsidTr="00522CD0">
        <w:trPr>
          <w:trHeight w:hRule="exact" w:val="340"/>
          <w:tblHeade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44544E" w14:textId="77777777" w:rsidR="00357DE9" w:rsidRPr="00522CD0" w:rsidRDefault="00357DE9" w:rsidP="00AD25B5">
            <w:pPr>
              <w:rPr>
                <w:rFonts w:eastAsia="Times New Roman" w:cstheme="minorHAnsi"/>
                <w:sz w:val="24"/>
                <w:szCs w:val="24"/>
              </w:rPr>
            </w:pPr>
            <w:r w:rsidRPr="00522CD0">
              <w:rPr>
                <w:rFonts w:eastAsia="Times New Roman" w:cstheme="minorHAnsi"/>
                <w:b/>
                <w:bCs/>
                <w:sz w:val="24"/>
                <w:szCs w:val="24"/>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6337FD" w14:textId="77777777" w:rsidR="00357DE9" w:rsidRPr="00522CD0" w:rsidRDefault="00357DE9" w:rsidP="00AD25B5">
            <w:pPr>
              <w:rPr>
                <w:rFonts w:eastAsia="Times New Roman" w:cstheme="minorHAnsi"/>
                <w:sz w:val="24"/>
                <w:szCs w:val="24"/>
              </w:rPr>
            </w:pPr>
            <w:r w:rsidRPr="00522CD0">
              <w:rPr>
                <w:rFonts w:eastAsia="Times New Roman" w:cstheme="minorHAnsi"/>
                <w:sz w:val="24"/>
                <w:szCs w:val="24"/>
              </w:rPr>
              <w:t>Počet zrealizovaných priamych prenosov rokovaní zastupiteľstva v roku</w:t>
            </w:r>
          </w:p>
        </w:tc>
      </w:tr>
      <w:tr w:rsidR="008E3EEB" w:rsidRPr="00603E9F" w14:paraId="39BF98FF" w14:textId="77777777" w:rsidTr="00522CD0">
        <w:trPr>
          <w:trHeight w:hRule="exact" w:val="340"/>
          <w:tblHeade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229611" w14:textId="77777777" w:rsidR="008E3EEB" w:rsidRPr="00522CD0" w:rsidRDefault="008E3EEB" w:rsidP="008E3EEB">
            <w:pPr>
              <w:rPr>
                <w:rFonts w:eastAsia="Times New Roman" w:cstheme="minorHAnsi"/>
                <w:sz w:val="24"/>
                <w:szCs w:val="24"/>
              </w:rPr>
            </w:pPr>
            <w:r w:rsidRPr="00522CD0">
              <w:rPr>
                <w:rFonts w:eastAsia="Times New Roman" w:cstheme="minorHAnsi"/>
                <w:b/>
                <w:bCs/>
                <w:sz w:val="24"/>
                <w:szCs w:val="24"/>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E3E583" w14:textId="5C9B56DD" w:rsidR="008E3EEB" w:rsidRPr="00522CD0" w:rsidRDefault="008E3EEB" w:rsidP="008E3EEB">
            <w:pPr>
              <w:jc w:val="center"/>
              <w:rPr>
                <w:rFonts w:eastAsia="Times New Roman" w:cstheme="minorHAnsi"/>
                <w:sz w:val="24"/>
                <w:szCs w:val="24"/>
              </w:rPr>
            </w:pPr>
            <w:r w:rsidRPr="00121894">
              <w:rPr>
                <w:rFonts w:ascii="Calibri" w:eastAsia="Times New Roman" w:hAnsi="Calibri" w:cs="Calibr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E8BC89" w14:textId="605EC960" w:rsidR="008E3EEB" w:rsidRPr="00522CD0" w:rsidRDefault="008E3EEB" w:rsidP="008E3EEB">
            <w:pPr>
              <w:jc w:val="center"/>
              <w:rPr>
                <w:rFonts w:eastAsia="Times New Roman" w:cstheme="minorHAnsi"/>
                <w:sz w:val="24"/>
                <w:szCs w:val="24"/>
              </w:rPr>
            </w:pPr>
            <w:r w:rsidRPr="00121894">
              <w:rPr>
                <w:rFonts w:ascii="Calibri" w:eastAsia="Times New Roman" w:hAnsi="Calibri" w:cs="Calibr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95CDFB" w14:textId="1DC8387F" w:rsidR="008E3EEB" w:rsidRPr="00522CD0" w:rsidRDefault="008E3EEB" w:rsidP="008E3EEB">
            <w:pPr>
              <w:jc w:val="center"/>
              <w:rPr>
                <w:rFonts w:eastAsia="Times New Roman" w:cstheme="minorHAnsi"/>
                <w:sz w:val="24"/>
                <w:szCs w:val="24"/>
              </w:rPr>
            </w:pPr>
            <w:r w:rsidRPr="00121894">
              <w:rPr>
                <w:rFonts w:ascii="Calibri" w:eastAsia="Times New Roman" w:hAnsi="Calibri" w:cs="Calibr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0BD38D" w14:textId="281E7284" w:rsidR="008E3EEB" w:rsidRPr="00522CD0" w:rsidRDefault="008E3EEB" w:rsidP="008E3EEB">
            <w:pPr>
              <w:jc w:val="center"/>
              <w:rPr>
                <w:rFonts w:eastAsia="Times New Roman" w:cstheme="minorHAnsi"/>
                <w:sz w:val="24"/>
                <w:szCs w:val="24"/>
              </w:rPr>
            </w:pPr>
            <w:r w:rsidRPr="00121894">
              <w:rPr>
                <w:rFonts w:ascii="Calibri" w:eastAsia="Times New Roman" w:hAnsi="Calibri" w:cs="Calibri"/>
              </w:rPr>
              <w:t>2027</w:t>
            </w:r>
          </w:p>
        </w:tc>
      </w:tr>
      <w:tr w:rsidR="008E3EEB" w:rsidRPr="00603E9F" w14:paraId="48BDC8DC" w14:textId="77777777" w:rsidTr="00522CD0">
        <w:trPr>
          <w:trHeight w:hRule="exact" w:val="340"/>
          <w:tblHeade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5D4123" w14:textId="77777777" w:rsidR="008E3EEB" w:rsidRPr="00522CD0" w:rsidRDefault="008E3EEB" w:rsidP="008E3EEB">
            <w:pPr>
              <w:rPr>
                <w:rFonts w:eastAsia="Times New Roman" w:cstheme="minorHAnsi"/>
                <w:sz w:val="24"/>
                <w:szCs w:val="24"/>
              </w:rPr>
            </w:pPr>
            <w:r w:rsidRPr="00522CD0">
              <w:rPr>
                <w:rFonts w:eastAsia="Times New Roman" w:cstheme="minorHAnsi"/>
                <w:b/>
                <w:bCs/>
                <w:sz w:val="24"/>
                <w:szCs w:val="24"/>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988EAB" w14:textId="562B3A59" w:rsidR="008E3EEB" w:rsidRPr="00522CD0" w:rsidRDefault="008E3EEB" w:rsidP="008E3EEB">
            <w:pPr>
              <w:jc w:val="center"/>
              <w:rPr>
                <w:rFonts w:eastAsia="Times New Roman" w:cstheme="minorHAnsi"/>
                <w:sz w:val="24"/>
                <w:szCs w:val="24"/>
              </w:rPr>
            </w:pPr>
            <w:r w:rsidRPr="00121894">
              <w:rPr>
                <w:rFonts w:ascii="Calibri" w:eastAsia="Times New Roman" w:hAnsi="Calibri" w:cs="Calibri"/>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A5FD60" w14:textId="300611CF" w:rsidR="008E3EEB" w:rsidRPr="00522CD0" w:rsidRDefault="008E3EEB" w:rsidP="008E3EEB">
            <w:pPr>
              <w:jc w:val="center"/>
              <w:rPr>
                <w:rFonts w:eastAsia="Times New Roman" w:cstheme="minorHAnsi"/>
                <w:sz w:val="24"/>
                <w:szCs w:val="24"/>
              </w:rPr>
            </w:pPr>
            <w:r w:rsidRPr="00121894">
              <w:rPr>
                <w:rFonts w:ascii="Calibri" w:eastAsia="Times New Roman" w:hAnsi="Calibri" w:cs="Calibri"/>
                <w:b/>
                <w:bCs/>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F6421E" w14:textId="5C5A2271" w:rsidR="008E3EEB" w:rsidRPr="00522CD0" w:rsidRDefault="008E3EEB" w:rsidP="008E3EEB">
            <w:pPr>
              <w:jc w:val="center"/>
              <w:rPr>
                <w:rFonts w:eastAsia="Times New Roman" w:cstheme="minorHAnsi"/>
                <w:sz w:val="24"/>
                <w:szCs w:val="24"/>
              </w:rPr>
            </w:pPr>
            <w:r w:rsidRPr="00121894">
              <w:rPr>
                <w:rFonts w:ascii="Calibri" w:eastAsia="Times New Roman" w:hAnsi="Calibri" w:cs="Calibri"/>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531E4B" w14:textId="4C615892" w:rsidR="008E3EEB" w:rsidRPr="00522CD0" w:rsidRDefault="008E3EEB" w:rsidP="008E3EEB">
            <w:pPr>
              <w:jc w:val="center"/>
              <w:rPr>
                <w:rFonts w:eastAsia="Times New Roman" w:cstheme="minorHAnsi"/>
                <w:sz w:val="24"/>
                <w:szCs w:val="24"/>
              </w:rPr>
            </w:pPr>
            <w:r w:rsidRPr="00121894">
              <w:rPr>
                <w:rFonts w:ascii="Calibri" w:eastAsia="Times New Roman" w:hAnsi="Calibri" w:cs="Calibri"/>
              </w:rPr>
              <w:t> 6</w:t>
            </w:r>
          </w:p>
        </w:tc>
      </w:tr>
    </w:tbl>
    <w:p w14:paraId="33CF80CE" w14:textId="6ACB519A" w:rsidR="00357DE9" w:rsidRDefault="00357DE9" w:rsidP="00357DE9">
      <w:pPr>
        <w:spacing w:before="100" w:beforeAutospacing="1" w:after="100" w:afterAutospacing="1"/>
        <w:jc w:val="both"/>
        <w:rPr>
          <w:rFonts w:eastAsia="Times New Roman" w:cstheme="minorHAnsi"/>
        </w:rPr>
      </w:pPr>
      <w:r w:rsidRPr="00603E9F">
        <w:rPr>
          <w:rFonts w:cstheme="minorHAnsi"/>
          <w:b/>
          <w:bCs/>
        </w:rPr>
        <w:t xml:space="preserve">Komentár: </w:t>
      </w:r>
      <w:r w:rsidRPr="0080590D">
        <w:rPr>
          <w:rFonts w:eastAsia="Times New Roman" w:cstheme="minorHAnsi"/>
        </w:rPr>
        <w:t>Zastupiteľstvo BSK tvorí vo volebnom období 2022 – 2026 zbor zvolených zástupcov zložených z 53 poslancov. Zastupiteľstvo BSK sa schádza podľa potreby, najmenej však raz za dva mesiace, spravidla podľa harmonogramu zasadnutí Zastupiteľstva schváleného na príslušný kalendárny rok.</w:t>
      </w:r>
      <w:r w:rsidR="00D709C8">
        <w:rPr>
          <w:rFonts w:eastAsia="Times New Roman" w:cstheme="minorHAnsi"/>
        </w:rPr>
        <w:t xml:space="preserve"> Plánovaný </w:t>
      </w:r>
      <w:r w:rsidR="002D485D">
        <w:rPr>
          <w:rFonts w:eastAsia="Times New Roman" w:cstheme="minorHAnsi"/>
        </w:rPr>
        <w:t xml:space="preserve">počet zasadnutí Zastupiteľstva BSK </w:t>
      </w:r>
      <w:r w:rsidR="0057501C">
        <w:rPr>
          <w:rFonts w:eastAsia="Times New Roman" w:cstheme="minorHAnsi"/>
        </w:rPr>
        <w:t>v</w:t>
      </w:r>
      <w:r w:rsidR="002D485D">
        <w:rPr>
          <w:rFonts w:eastAsia="Times New Roman" w:cstheme="minorHAnsi"/>
        </w:rPr>
        <w:t> roku 2024 bolo 6</w:t>
      </w:r>
      <w:r w:rsidR="0057501C">
        <w:rPr>
          <w:rFonts w:eastAsia="Times New Roman" w:cstheme="minorHAnsi"/>
        </w:rPr>
        <w:t>, zrealizovaných bolo 7.</w:t>
      </w:r>
    </w:p>
    <w:p w14:paraId="3A8D335B" w14:textId="77777777" w:rsidR="00357DE9" w:rsidRPr="00603BDE" w:rsidRDefault="00357DE9" w:rsidP="00357DE9">
      <w:pPr>
        <w:pStyle w:val="Nadpis3"/>
        <w:rPr>
          <w:rFonts w:asciiTheme="minorHAnsi" w:hAnsiTheme="minorHAnsi" w:cstheme="minorHAnsi"/>
          <w:sz w:val="28"/>
          <w:szCs w:val="28"/>
        </w:rPr>
      </w:pPr>
      <w:r w:rsidRPr="00540169">
        <w:rPr>
          <w:rFonts w:asciiTheme="minorHAnsi" w:hAnsiTheme="minorHAnsi" w:cstheme="minorHAnsi"/>
          <w:color w:val="0000FF"/>
          <w:sz w:val="28"/>
          <w:szCs w:val="28"/>
        </w:rPr>
        <w:t>Podprogram 1.2: Zahraničné vzťahy a Európske záležitosti</w:t>
      </w:r>
      <w:r w:rsidRPr="00603BDE">
        <w:rPr>
          <w:rFonts w:asciiTheme="minorHAnsi" w:hAnsiTheme="minorHAnsi" w:cstheme="minorHAnsi"/>
          <w:sz w:val="28"/>
          <w:szCs w:val="28"/>
        </w:rPr>
        <w:t xml:space="preserve"> </w:t>
      </w:r>
    </w:p>
    <w:p w14:paraId="55F7FFB3" w14:textId="77777777" w:rsidR="00357DE9" w:rsidRPr="0079170D" w:rsidRDefault="00357DE9" w:rsidP="00357DE9">
      <w:pPr>
        <w:pStyle w:val="Normlnywebov"/>
        <w:rPr>
          <w:rFonts w:asciiTheme="minorHAnsi" w:hAnsiTheme="minorHAnsi" w:cstheme="minorHAnsi"/>
        </w:rPr>
      </w:pPr>
      <w:r w:rsidRPr="0079170D">
        <w:rPr>
          <w:rFonts w:asciiTheme="minorHAnsi" w:hAnsiTheme="minorHAnsi" w:cstheme="minorHAnsi"/>
          <w:b/>
          <w:bCs/>
        </w:rPr>
        <w:t xml:space="preserve">Zámer: </w:t>
      </w:r>
      <w:r w:rsidRPr="0079170D">
        <w:rPr>
          <w:rFonts w:asciiTheme="minorHAnsi" w:hAnsiTheme="minorHAnsi" w:cstheme="minorHAnsi"/>
        </w:rPr>
        <w:t>Realizované záujmy BSK na európskej úrovni</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9"/>
        <w:gridCol w:w="2081"/>
        <w:gridCol w:w="1420"/>
        <w:gridCol w:w="1420"/>
        <w:gridCol w:w="705"/>
        <w:gridCol w:w="1420"/>
        <w:gridCol w:w="705"/>
        <w:gridCol w:w="1420"/>
        <w:gridCol w:w="720"/>
      </w:tblGrid>
      <w:tr w:rsidR="00357DE9" w:rsidRPr="00603E9F" w14:paraId="37A34095" w14:textId="77777777" w:rsidTr="00AD25B5">
        <w:trPr>
          <w:trHeight w:hRule="exact" w:val="284"/>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196778" w14:textId="77777777" w:rsidR="00357DE9" w:rsidRPr="00B1350F" w:rsidRDefault="00357DE9" w:rsidP="00AD25B5">
            <w:pPr>
              <w:jc w:val="center"/>
              <w:rPr>
                <w:rFonts w:eastAsia="Times New Roman" w:cstheme="minorHAnsi"/>
                <w:sz w:val="20"/>
                <w:szCs w:val="20"/>
              </w:rPr>
            </w:pPr>
            <w:r w:rsidRPr="00B1350F">
              <w:rPr>
                <w:rFonts w:eastAsia="Times New Roman" w:cstheme="minorHAnsi"/>
                <w:b/>
                <w:bCs/>
                <w:i/>
                <w:iCs/>
                <w:sz w:val="20"/>
                <w:szCs w:val="20"/>
              </w:rPr>
              <w:t>Rozpočet v EUR</w:t>
            </w:r>
          </w:p>
        </w:tc>
      </w:tr>
      <w:tr w:rsidR="00710DCC" w:rsidRPr="00603E9F" w14:paraId="0E10C761" w14:textId="77777777" w:rsidTr="0048149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CF173BE" w14:textId="77777777" w:rsidR="00710DCC" w:rsidRPr="00603E9F" w:rsidRDefault="00710DCC" w:rsidP="00710DCC">
            <w:pPr>
              <w:rPr>
                <w:rFonts w:eastAsia="Times New Roman" w:cstheme="minorHAnsi"/>
              </w:rPr>
            </w:pPr>
            <w:r w:rsidRPr="00603E9F">
              <w:rPr>
                <w:rFonts w:eastAsia="Times New Roman" w:cstheme="minorHAnsi"/>
                <w:b/>
                <w:bCs/>
              </w:rPr>
              <w:t>EK</w:t>
            </w:r>
          </w:p>
        </w:tc>
        <w:tc>
          <w:tcPr>
            <w:tcW w:w="99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F1EACF" w14:textId="77777777" w:rsidR="00710DCC" w:rsidRPr="00B1350F" w:rsidRDefault="00710DCC" w:rsidP="00710DCC">
            <w:pPr>
              <w:rPr>
                <w:rFonts w:eastAsia="Times New Roman" w:cstheme="minorHAnsi"/>
                <w:sz w:val="20"/>
                <w:szCs w:val="20"/>
              </w:rPr>
            </w:pPr>
            <w:r w:rsidRPr="00B1350F">
              <w:rPr>
                <w:rFonts w:eastAsia="Times New Roman" w:cstheme="minorHAnsi"/>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CC9D62C" w14:textId="1BED174A" w:rsidR="00710DCC" w:rsidRPr="00B1350F" w:rsidRDefault="00710DCC" w:rsidP="00710DCC">
            <w:pPr>
              <w:jc w:val="center"/>
              <w:rPr>
                <w:rFonts w:eastAsia="Times New Roman" w:cstheme="minorHAnsi"/>
                <w:sz w:val="20"/>
                <w:szCs w:val="20"/>
              </w:rPr>
            </w:pPr>
            <w:r w:rsidRPr="00603E9F">
              <w:rPr>
                <w:rFonts w:eastAsia="Times New Roman" w:cstheme="minorHAnsi"/>
                <w:b/>
                <w:bCs/>
              </w:rPr>
              <w:t>202</w:t>
            </w:r>
            <w:r>
              <w:rPr>
                <w:rFonts w:eastAsia="Times New Roman" w:cstheme="minorHAnsi"/>
                <w:b/>
                <w:bCs/>
              </w:rPr>
              <w:t>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62A410E" w14:textId="62D8A416" w:rsidR="00710DCC" w:rsidRPr="00B1350F" w:rsidRDefault="00710DCC" w:rsidP="00710DCC">
            <w:pPr>
              <w:jc w:val="center"/>
              <w:rPr>
                <w:rFonts w:eastAsia="Times New Roman" w:cstheme="minorHAnsi"/>
                <w:sz w:val="20"/>
                <w:szCs w:val="20"/>
              </w:rPr>
            </w:pPr>
            <w:r w:rsidRPr="00603E9F">
              <w:rPr>
                <w:rFonts w:eastAsia="Times New Roman" w:cstheme="minorHAnsi"/>
                <w:b/>
                <w:bCs/>
              </w:rPr>
              <w:t>202</w:t>
            </w:r>
            <w:r w:rsidR="008A7FCF">
              <w:rPr>
                <w:rFonts w:eastAsia="Times New Roman" w:cstheme="minorHAnsi"/>
                <w:b/>
                <w:bCs/>
              </w:rPr>
              <w:t>5</w:t>
            </w:r>
          </w:p>
        </w:tc>
        <w:tc>
          <w:tcPr>
            <w:tcW w:w="32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E0EA594" w14:textId="3B62A964" w:rsidR="00710DCC" w:rsidRPr="00B1350F" w:rsidRDefault="00710DCC" w:rsidP="00710DCC">
            <w:pPr>
              <w:jc w:val="center"/>
              <w:rPr>
                <w:rFonts w:eastAsia="Times New Roman" w:cstheme="minorHAnsi"/>
                <w:sz w:val="20"/>
                <w:szCs w:val="20"/>
              </w:rPr>
            </w:pPr>
            <w:r w:rsidRPr="00603E9F">
              <w:rPr>
                <w:rFonts w:eastAsia="Times New Roman" w:cstheme="minorHAnsi"/>
                <w:b/>
                <w:bCs/>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F30365" w14:textId="431BBF5B" w:rsidR="00710DCC" w:rsidRPr="00B1350F" w:rsidRDefault="00710DCC" w:rsidP="00710DCC">
            <w:pPr>
              <w:jc w:val="center"/>
              <w:rPr>
                <w:rFonts w:eastAsia="Times New Roman" w:cstheme="minorHAnsi"/>
                <w:sz w:val="20"/>
                <w:szCs w:val="20"/>
              </w:rPr>
            </w:pPr>
            <w:r w:rsidRPr="00603E9F">
              <w:rPr>
                <w:rFonts w:eastAsia="Times New Roman" w:cstheme="minorHAnsi"/>
                <w:b/>
                <w:bCs/>
              </w:rPr>
              <w:t>202</w:t>
            </w:r>
            <w:r w:rsidR="008A7FCF">
              <w:rPr>
                <w:rFonts w:eastAsia="Times New Roman" w:cstheme="minorHAnsi"/>
                <w:b/>
                <w:bCs/>
              </w:rPr>
              <w:t>6</w:t>
            </w:r>
          </w:p>
        </w:tc>
        <w:tc>
          <w:tcPr>
            <w:tcW w:w="32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FD6115B" w14:textId="7A299C99" w:rsidR="00710DCC" w:rsidRPr="00B1350F" w:rsidRDefault="00710DCC" w:rsidP="00710DCC">
            <w:pPr>
              <w:jc w:val="center"/>
              <w:rPr>
                <w:rFonts w:eastAsia="Times New Roman" w:cstheme="minorHAnsi"/>
                <w:sz w:val="20"/>
                <w:szCs w:val="20"/>
              </w:rPr>
            </w:pPr>
            <w:r w:rsidRPr="00603E9F">
              <w:rPr>
                <w:rFonts w:eastAsia="Times New Roman" w:cstheme="minorHAnsi"/>
                <w:b/>
                <w:bCs/>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264BDD4" w14:textId="0F50143F" w:rsidR="00710DCC" w:rsidRPr="00B1350F" w:rsidRDefault="00710DCC" w:rsidP="00710DCC">
            <w:pPr>
              <w:jc w:val="center"/>
              <w:rPr>
                <w:rFonts w:eastAsia="Times New Roman" w:cstheme="minorHAnsi"/>
                <w:sz w:val="20"/>
                <w:szCs w:val="20"/>
              </w:rPr>
            </w:pPr>
            <w:r w:rsidRPr="00603E9F">
              <w:rPr>
                <w:rFonts w:eastAsia="Times New Roman" w:cstheme="minorHAnsi"/>
                <w:b/>
                <w:bCs/>
              </w:rPr>
              <w:t>202</w:t>
            </w:r>
            <w:r w:rsidR="008A7FCF">
              <w:rPr>
                <w:rFonts w:eastAsia="Times New Roman" w:cstheme="minorHAnsi"/>
                <w:b/>
                <w:bCs/>
              </w:rPr>
              <w:t>7</w:t>
            </w:r>
          </w:p>
        </w:tc>
        <w:tc>
          <w:tcPr>
            <w:tcW w:w="32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DD34BD3" w14:textId="404F43B2" w:rsidR="00710DCC" w:rsidRPr="00B1350F" w:rsidRDefault="00710DCC" w:rsidP="00710DCC">
            <w:pPr>
              <w:jc w:val="center"/>
              <w:rPr>
                <w:rFonts w:eastAsia="Times New Roman" w:cstheme="minorHAnsi"/>
                <w:sz w:val="20"/>
                <w:szCs w:val="20"/>
              </w:rPr>
            </w:pPr>
            <w:r w:rsidRPr="00603E9F">
              <w:rPr>
                <w:rFonts w:eastAsia="Times New Roman" w:cstheme="minorHAnsi"/>
                <w:b/>
                <w:bCs/>
              </w:rPr>
              <w:t>%</w:t>
            </w:r>
          </w:p>
        </w:tc>
      </w:tr>
      <w:tr w:rsidR="00481499" w:rsidRPr="00603E9F" w14:paraId="7B00DCD1" w14:textId="77777777" w:rsidTr="00710DCC">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4BD9307" w14:textId="77777777" w:rsidR="00481499" w:rsidRPr="00603E9F" w:rsidRDefault="00481499" w:rsidP="00481499">
            <w:pPr>
              <w:jc w:val="center"/>
              <w:rPr>
                <w:rFonts w:eastAsia="Times New Roman" w:cstheme="minorHAnsi"/>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BE559F" w14:textId="77777777" w:rsidR="00481499" w:rsidRPr="00B1350F" w:rsidRDefault="00481499" w:rsidP="00481499">
            <w:pPr>
              <w:rPr>
                <w:rFonts w:eastAsia="Times New Roman" w:cstheme="minorHAnsi"/>
                <w:sz w:val="20"/>
                <w:szCs w:val="20"/>
              </w:rPr>
            </w:pPr>
            <w:r w:rsidRPr="00B1350F">
              <w:rPr>
                <w:rFonts w:eastAsia="Times New Roman" w:cstheme="minorHAnsi"/>
                <w:b/>
                <w:bCs/>
                <w:sz w:val="20"/>
                <w:szCs w:val="20"/>
              </w:rPr>
              <w:t>Výdavky celkom</w:t>
            </w:r>
            <w:r w:rsidRPr="00B1350F">
              <w:rPr>
                <w:rFonts w:eastAsia="Times New Roman" w:cstheme="minorHAnsi"/>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E7AC0D" w14:textId="1D1BF23B" w:rsidR="00481499" w:rsidRPr="00B1350F" w:rsidRDefault="00481499" w:rsidP="00481499">
            <w:pPr>
              <w:jc w:val="right"/>
              <w:rPr>
                <w:rFonts w:eastAsia="Times New Roman" w:cstheme="minorHAnsi"/>
                <w:sz w:val="20"/>
                <w:szCs w:val="20"/>
              </w:rPr>
            </w:pPr>
            <w:r>
              <w:rPr>
                <w:rFonts w:eastAsia="Times New Roman" w:cstheme="minorHAnsi"/>
                <w:b/>
                <w:bCs/>
              </w:rPr>
              <w:t>172 000,00</w:t>
            </w:r>
            <w:r w:rsidRPr="00603E9F">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C028CB" w14:textId="28B54C7B" w:rsidR="00481499" w:rsidRPr="00481499" w:rsidRDefault="00481499" w:rsidP="00481499">
            <w:pPr>
              <w:jc w:val="right"/>
              <w:rPr>
                <w:rFonts w:eastAsia="Times New Roman" w:cstheme="minorHAnsi"/>
                <w:b/>
                <w:bCs/>
              </w:rPr>
            </w:pPr>
            <w:r w:rsidRPr="00481499">
              <w:rPr>
                <w:rFonts w:eastAsia="Times New Roman" w:cstheme="minorHAnsi"/>
                <w:b/>
                <w:bCs/>
              </w:rPr>
              <w:t xml:space="preserve">177 000,00 </w:t>
            </w:r>
          </w:p>
        </w:tc>
        <w:tc>
          <w:tcPr>
            <w:tcW w:w="323"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E9C4D1" w14:textId="1BF94D7F" w:rsidR="00481499" w:rsidRPr="00481499" w:rsidRDefault="00481499" w:rsidP="00481499">
            <w:pPr>
              <w:jc w:val="right"/>
              <w:rPr>
                <w:rFonts w:eastAsia="Times New Roman" w:cstheme="minorHAnsi"/>
                <w:b/>
                <w:bCs/>
              </w:rPr>
            </w:pPr>
            <w:r w:rsidRPr="00481499">
              <w:rPr>
                <w:rFonts w:eastAsia="Times New Roman" w:cstheme="minorHAnsi"/>
                <w:b/>
                <w:bCs/>
              </w:rPr>
              <w:t xml:space="preserve">102,91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30744B" w14:textId="225D0436" w:rsidR="00481499" w:rsidRPr="00481499" w:rsidRDefault="00481499" w:rsidP="00481499">
            <w:pPr>
              <w:jc w:val="right"/>
              <w:rPr>
                <w:rFonts w:eastAsia="Times New Roman" w:cstheme="minorHAnsi"/>
                <w:b/>
                <w:bCs/>
              </w:rPr>
            </w:pPr>
            <w:r w:rsidRPr="00481499">
              <w:rPr>
                <w:rFonts w:eastAsia="Times New Roman" w:cstheme="minorHAnsi"/>
                <w:b/>
                <w:bCs/>
              </w:rPr>
              <w:t xml:space="preserve">177 000,00 </w:t>
            </w:r>
          </w:p>
        </w:tc>
        <w:tc>
          <w:tcPr>
            <w:tcW w:w="32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EA5071" w14:textId="2BFE3EE8" w:rsidR="00481499" w:rsidRPr="00481499" w:rsidRDefault="00481499" w:rsidP="00481499">
            <w:pPr>
              <w:jc w:val="right"/>
              <w:rPr>
                <w:rFonts w:eastAsia="Times New Roman" w:cstheme="minorHAnsi"/>
                <w:b/>
                <w:bCs/>
              </w:rPr>
            </w:pPr>
            <w:r w:rsidRPr="00481499">
              <w:rPr>
                <w:rFonts w:eastAsia="Times New Roman" w:cstheme="minorHAnsi"/>
                <w:b/>
                <w:bCs/>
              </w:rPr>
              <w:t xml:space="preserve">100,00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1CC7CF" w14:textId="0CF74DC8" w:rsidR="00481499" w:rsidRPr="00481499" w:rsidRDefault="00481499" w:rsidP="00481499">
            <w:pPr>
              <w:jc w:val="right"/>
              <w:rPr>
                <w:rFonts w:eastAsia="Times New Roman" w:cstheme="minorHAnsi"/>
                <w:b/>
                <w:bCs/>
              </w:rPr>
            </w:pPr>
            <w:r w:rsidRPr="00481499">
              <w:rPr>
                <w:rFonts w:eastAsia="Times New Roman" w:cstheme="minorHAnsi"/>
                <w:b/>
                <w:bCs/>
              </w:rPr>
              <w:t xml:space="preserve">177 000,00 </w:t>
            </w:r>
          </w:p>
        </w:tc>
        <w:tc>
          <w:tcPr>
            <w:tcW w:w="323"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2A11FD" w14:textId="062443C0" w:rsidR="00481499" w:rsidRPr="00481499" w:rsidRDefault="00481499" w:rsidP="00481499">
            <w:pPr>
              <w:jc w:val="right"/>
              <w:rPr>
                <w:rFonts w:eastAsia="Times New Roman" w:cstheme="minorHAnsi"/>
                <w:b/>
                <w:bCs/>
              </w:rPr>
            </w:pPr>
            <w:r w:rsidRPr="00481499">
              <w:rPr>
                <w:rFonts w:eastAsia="Times New Roman" w:cstheme="minorHAnsi"/>
                <w:b/>
                <w:bCs/>
              </w:rPr>
              <w:t xml:space="preserve">100,00 </w:t>
            </w:r>
          </w:p>
        </w:tc>
      </w:tr>
      <w:tr w:rsidR="00481499" w:rsidRPr="00603E9F" w14:paraId="38F00237" w14:textId="77777777" w:rsidTr="00710DCC">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2429D2" w14:textId="77777777" w:rsidR="00481499" w:rsidRPr="00603E9F" w:rsidRDefault="00481499" w:rsidP="00481499">
            <w:pPr>
              <w:rPr>
                <w:rFonts w:eastAsia="Times New Roman" w:cstheme="minorHAnsi"/>
              </w:rPr>
            </w:pPr>
            <w:r w:rsidRPr="00603E9F">
              <w:rPr>
                <w:rFonts w:eastAsia="Times New Roman" w:cstheme="minorHAnsi"/>
                <w:b/>
                <w:bCs/>
              </w:rPr>
              <w:t>600</w:t>
            </w:r>
            <w:r w:rsidRPr="00603E9F">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654CB5" w14:textId="77777777" w:rsidR="00481499" w:rsidRPr="00B1350F" w:rsidRDefault="00481499" w:rsidP="00481499">
            <w:pPr>
              <w:rPr>
                <w:rFonts w:eastAsia="Times New Roman" w:cstheme="minorHAnsi"/>
                <w:sz w:val="20"/>
                <w:szCs w:val="20"/>
              </w:rPr>
            </w:pPr>
            <w:r w:rsidRPr="00B1350F">
              <w:rPr>
                <w:rFonts w:eastAsia="Times New Roman" w:cstheme="minorHAnsi"/>
                <w:b/>
                <w:bCs/>
                <w:sz w:val="20"/>
                <w:szCs w:val="20"/>
              </w:rPr>
              <w:t>Bežné výdavky</w:t>
            </w:r>
            <w:r w:rsidRPr="00B1350F">
              <w:rPr>
                <w:rFonts w:eastAsia="Times New Roman" w:cstheme="minorHAnsi"/>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3C997C" w14:textId="32053EB1" w:rsidR="00481499" w:rsidRPr="00B1350F" w:rsidRDefault="00481499" w:rsidP="00481499">
            <w:pPr>
              <w:jc w:val="right"/>
              <w:rPr>
                <w:rFonts w:eastAsia="Times New Roman" w:cstheme="minorHAnsi"/>
                <w:sz w:val="20"/>
                <w:szCs w:val="20"/>
              </w:rPr>
            </w:pPr>
            <w:r>
              <w:rPr>
                <w:rFonts w:eastAsia="Times New Roman" w:cstheme="minorHAnsi"/>
                <w:b/>
                <w:bCs/>
              </w:rPr>
              <w:t>172</w:t>
            </w:r>
            <w:r w:rsidRPr="00603E9F">
              <w:rPr>
                <w:rFonts w:eastAsia="Times New Roman" w:cstheme="minorHAnsi"/>
                <w:b/>
                <w:bCs/>
              </w:rPr>
              <w:t xml:space="preserve"> 000,00</w:t>
            </w:r>
            <w:r w:rsidRPr="00603E9F">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D9332B" w14:textId="340C69C3" w:rsidR="00481499" w:rsidRPr="00481499" w:rsidRDefault="00481499" w:rsidP="00481499">
            <w:pPr>
              <w:jc w:val="right"/>
              <w:rPr>
                <w:rFonts w:eastAsia="Times New Roman" w:cstheme="minorHAnsi"/>
                <w:b/>
                <w:bCs/>
              </w:rPr>
            </w:pPr>
            <w:r w:rsidRPr="00481499">
              <w:rPr>
                <w:rFonts w:eastAsia="Times New Roman" w:cstheme="minorHAnsi"/>
                <w:b/>
                <w:bCs/>
              </w:rPr>
              <w:t xml:space="preserve">177 000,00 </w:t>
            </w:r>
          </w:p>
        </w:tc>
        <w:tc>
          <w:tcPr>
            <w:tcW w:w="323"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8CBBB0" w14:textId="16FFD8A5" w:rsidR="00481499" w:rsidRPr="00481499" w:rsidRDefault="00481499" w:rsidP="00481499">
            <w:pPr>
              <w:jc w:val="right"/>
              <w:rPr>
                <w:rFonts w:eastAsia="Times New Roman" w:cstheme="minorHAnsi"/>
                <w:b/>
                <w:bCs/>
              </w:rPr>
            </w:pPr>
            <w:r w:rsidRPr="00481499">
              <w:rPr>
                <w:rFonts w:eastAsia="Times New Roman" w:cstheme="minorHAnsi"/>
                <w:b/>
                <w:bCs/>
              </w:rPr>
              <w:t xml:space="preserve">102,91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608F1DC" w14:textId="1F13CD5B" w:rsidR="00481499" w:rsidRPr="00481499" w:rsidRDefault="00481499" w:rsidP="00481499">
            <w:pPr>
              <w:jc w:val="right"/>
              <w:rPr>
                <w:rFonts w:eastAsia="Times New Roman" w:cstheme="minorHAnsi"/>
                <w:b/>
                <w:bCs/>
              </w:rPr>
            </w:pPr>
            <w:r w:rsidRPr="00481499">
              <w:rPr>
                <w:rFonts w:eastAsia="Times New Roman" w:cstheme="minorHAnsi"/>
                <w:b/>
                <w:bCs/>
              </w:rPr>
              <w:t xml:space="preserve">177 000,00 </w:t>
            </w:r>
          </w:p>
        </w:tc>
        <w:tc>
          <w:tcPr>
            <w:tcW w:w="32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3341C1" w14:textId="572FEBDA" w:rsidR="00481499" w:rsidRPr="00481499" w:rsidRDefault="00481499" w:rsidP="00481499">
            <w:pPr>
              <w:jc w:val="right"/>
              <w:rPr>
                <w:rFonts w:eastAsia="Times New Roman" w:cstheme="minorHAnsi"/>
                <w:b/>
                <w:bCs/>
              </w:rPr>
            </w:pPr>
            <w:r w:rsidRPr="00481499">
              <w:rPr>
                <w:rFonts w:eastAsia="Times New Roman" w:cstheme="minorHAnsi"/>
                <w:b/>
                <w:bCs/>
              </w:rPr>
              <w:t xml:space="preserve">100,00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6E6697" w14:textId="65FB445F" w:rsidR="00481499" w:rsidRPr="00481499" w:rsidRDefault="00481499" w:rsidP="00481499">
            <w:pPr>
              <w:jc w:val="right"/>
              <w:rPr>
                <w:rFonts w:eastAsia="Times New Roman" w:cstheme="minorHAnsi"/>
                <w:b/>
                <w:bCs/>
              </w:rPr>
            </w:pPr>
            <w:r w:rsidRPr="00481499">
              <w:rPr>
                <w:rFonts w:eastAsia="Times New Roman" w:cstheme="minorHAnsi"/>
                <w:b/>
                <w:bCs/>
              </w:rPr>
              <w:t xml:space="preserve">177 000,00 </w:t>
            </w:r>
          </w:p>
        </w:tc>
        <w:tc>
          <w:tcPr>
            <w:tcW w:w="323"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626600" w14:textId="4B918F42" w:rsidR="00481499" w:rsidRPr="00481499" w:rsidRDefault="00481499" w:rsidP="00481499">
            <w:pPr>
              <w:jc w:val="right"/>
              <w:rPr>
                <w:rFonts w:eastAsia="Times New Roman" w:cstheme="minorHAnsi"/>
                <w:b/>
                <w:bCs/>
              </w:rPr>
            </w:pPr>
            <w:r w:rsidRPr="00481499">
              <w:rPr>
                <w:rFonts w:eastAsia="Times New Roman" w:cstheme="minorHAnsi"/>
                <w:b/>
                <w:bCs/>
              </w:rPr>
              <w:t xml:space="preserve">100,00 </w:t>
            </w:r>
          </w:p>
        </w:tc>
      </w:tr>
      <w:tr w:rsidR="00481499" w:rsidRPr="00603E9F" w14:paraId="2A7D655F" w14:textId="77777777" w:rsidTr="00710DCC">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91C754" w14:textId="77777777" w:rsidR="00481499" w:rsidRPr="00603E9F" w:rsidRDefault="00481499" w:rsidP="00481499">
            <w:pPr>
              <w:rPr>
                <w:rFonts w:eastAsia="Times New Roman" w:cstheme="minorHAnsi"/>
              </w:rPr>
            </w:pPr>
            <w:r w:rsidRPr="00603E9F">
              <w:rPr>
                <w:rFonts w:eastAsia="Times New Roman" w:cstheme="minorHAnsi"/>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98C910" w14:textId="77777777" w:rsidR="00481499" w:rsidRPr="00B1350F" w:rsidRDefault="00481499" w:rsidP="00481499">
            <w:pPr>
              <w:rPr>
                <w:rFonts w:eastAsia="Times New Roman" w:cstheme="minorHAnsi"/>
                <w:sz w:val="20"/>
                <w:szCs w:val="20"/>
              </w:rPr>
            </w:pPr>
            <w:r w:rsidRPr="00B1350F">
              <w:rPr>
                <w:rFonts w:eastAsia="Times New Roman" w:cstheme="minorHAnsi"/>
                <w:sz w:val="20"/>
                <w:szCs w:val="20"/>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1666C11" w14:textId="37DA00DF" w:rsidR="00481499" w:rsidRPr="00B1350F" w:rsidRDefault="00481499" w:rsidP="00481499">
            <w:pPr>
              <w:jc w:val="right"/>
              <w:rPr>
                <w:rFonts w:eastAsia="Times New Roman" w:cstheme="minorHAnsi"/>
                <w:sz w:val="20"/>
                <w:szCs w:val="20"/>
              </w:rPr>
            </w:pPr>
            <w:r>
              <w:rPr>
                <w:rFonts w:eastAsia="Times New Roman" w:cstheme="minorHAnsi"/>
              </w:rPr>
              <w:t>147 0</w:t>
            </w:r>
            <w:r w:rsidRPr="00603E9F">
              <w:rPr>
                <w:rFonts w:eastAsia="Times New Roman" w:cstheme="minorHAnsi"/>
              </w:rPr>
              <w:t xml:space="preserve">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4C8863" w14:textId="522D7302" w:rsidR="00481499" w:rsidRPr="00481499" w:rsidRDefault="00481499" w:rsidP="00481499">
            <w:pPr>
              <w:jc w:val="right"/>
              <w:rPr>
                <w:rFonts w:eastAsia="Times New Roman" w:cstheme="minorHAnsi"/>
              </w:rPr>
            </w:pPr>
            <w:r w:rsidRPr="00481499">
              <w:rPr>
                <w:rFonts w:eastAsia="Times New Roman" w:cstheme="minorHAnsi"/>
              </w:rPr>
              <w:t xml:space="preserve">177 000,00 </w:t>
            </w:r>
          </w:p>
        </w:tc>
        <w:tc>
          <w:tcPr>
            <w:tcW w:w="323" w:type="pct"/>
            <w:tcBorders>
              <w:top w:val="outset" w:sz="6" w:space="0" w:color="000000"/>
              <w:left w:val="outset" w:sz="6" w:space="0" w:color="000000"/>
              <w:bottom w:val="outset" w:sz="6" w:space="0" w:color="000000"/>
              <w:right w:val="outset" w:sz="6" w:space="0" w:color="000000"/>
            </w:tcBorders>
            <w:noWrap/>
            <w:vAlign w:val="center"/>
            <w:hideMark/>
          </w:tcPr>
          <w:p w14:paraId="0019315C" w14:textId="42AAEAC8" w:rsidR="00481499" w:rsidRPr="00481499" w:rsidRDefault="00481499" w:rsidP="00481499">
            <w:pPr>
              <w:jc w:val="right"/>
              <w:rPr>
                <w:rFonts w:eastAsia="Times New Roman" w:cstheme="minorHAnsi"/>
              </w:rPr>
            </w:pPr>
            <w:r w:rsidRPr="00481499">
              <w:rPr>
                <w:rFonts w:eastAsia="Times New Roman" w:cstheme="minorHAnsi"/>
              </w:rPr>
              <w:t xml:space="preserve">120,41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874ADF" w14:textId="6EEDFEEA" w:rsidR="00481499" w:rsidRPr="00481499" w:rsidRDefault="00481499" w:rsidP="00481499">
            <w:pPr>
              <w:jc w:val="right"/>
              <w:rPr>
                <w:rFonts w:eastAsia="Times New Roman" w:cstheme="minorHAnsi"/>
              </w:rPr>
            </w:pPr>
            <w:r w:rsidRPr="00481499">
              <w:rPr>
                <w:rFonts w:eastAsia="Times New Roman" w:cstheme="minorHAnsi"/>
              </w:rPr>
              <w:t xml:space="preserve">177 000,00 </w:t>
            </w:r>
          </w:p>
        </w:tc>
        <w:tc>
          <w:tcPr>
            <w:tcW w:w="322" w:type="pct"/>
            <w:tcBorders>
              <w:top w:val="outset" w:sz="6" w:space="0" w:color="000000"/>
              <w:left w:val="outset" w:sz="6" w:space="0" w:color="000000"/>
              <w:bottom w:val="outset" w:sz="6" w:space="0" w:color="000000"/>
              <w:right w:val="outset" w:sz="6" w:space="0" w:color="000000"/>
            </w:tcBorders>
            <w:noWrap/>
            <w:vAlign w:val="center"/>
            <w:hideMark/>
          </w:tcPr>
          <w:p w14:paraId="1E502C8D" w14:textId="6A82663F" w:rsidR="00481499" w:rsidRPr="00481499" w:rsidRDefault="00481499" w:rsidP="00481499">
            <w:pPr>
              <w:jc w:val="right"/>
              <w:rPr>
                <w:rFonts w:eastAsia="Times New Roman" w:cstheme="minorHAnsi"/>
              </w:rPr>
            </w:pPr>
            <w:r w:rsidRPr="00481499">
              <w:rPr>
                <w:rFonts w:eastAsia="Times New Roman" w:cstheme="minorHAnsi"/>
              </w:rPr>
              <w:t xml:space="preserve">100,00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C9CEAE" w14:textId="42BC746C" w:rsidR="00481499" w:rsidRPr="00481499" w:rsidRDefault="00481499" w:rsidP="00481499">
            <w:pPr>
              <w:jc w:val="right"/>
              <w:rPr>
                <w:rFonts w:eastAsia="Times New Roman" w:cstheme="minorHAnsi"/>
              </w:rPr>
            </w:pPr>
            <w:r w:rsidRPr="00481499">
              <w:rPr>
                <w:rFonts w:eastAsia="Times New Roman" w:cstheme="minorHAnsi"/>
              </w:rPr>
              <w:t xml:space="preserve">177 000,00 </w:t>
            </w:r>
          </w:p>
        </w:tc>
        <w:tc>
          <w:tcPr>
            <w:tcW w:w="323" w:type="pct"/>
            <w:tcBorders>
              <w:top w:val="outset" w:sz="6" w:space="0" w:color="000000"/>
              <w:left w:val="outset" w:sz="6" w:space="0" w:color="000000"/>
              <w:bottom w:val="outset" w:sz="6" w:space="0" w:color="000000"/>
              <w:right w:val="outset" w:sz="6" w:space="0" w:color="000000"/>
            </w:tcBorders>
            <w:noWrap/>
            <w:vAlign w:val="center"/>
            <w:hideMark/>
          </w:tcPr>
          <w:p w14:paraId="4D0A9831" w14:textId="55C9B7E1" w:rsidR="00481499" w:rsidRPr="00481499" w:rsidRDefault="00481499" w:rsidP="00481499">
            <w:pPr>
              <w:jc w:val="right"/>
              <w:rPr>
                <w:rFonts w:eastAsia="Times New Roman" w:cstheme="minorHAnsi"/>
              </w:rPr>
            </w:pPr>
            <w:r w:rsidRPr="00481499">
              <w:rPr>
                <w:rFonts w:eastAsia="Times New Roman" w:cstheme="minorHAnsi"/>
              </w:rPr>
              <w:t xml:space="preserve">100,00 </w:t>
            </w:r>
          </w:p>
        </w:tc>
      </w:tr>
      <w:tr w:rsidR="00481499" w:rsidRPr="00603E9F" w14:paraId="104B79C1" w14:textId="77777777" w:rsidTr="00710DCC">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A6B1A0" w14:textId="77777777" w:rsidR="00481499" w:rsidRPr="00603E9F" w:rsidRDefault="00481499" w:rsidP="00481499">
            <w:pPr>
              <w:rPr>
                <w:rFonts w:eastAsia="Times New Roman" w:cstheme="minorHAnsi"/>
              </w:rPr>
            </w:pPr>
            <w:r w:rsidRPr="00603E9F">
              <w:rPr>
                <w:rFonts w:eastAsia="Times New Roman" w:cstheme="minorHAnsi"/>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F8FEDF" w14:textId="77777777" w:rsidR="00481499" w:rsidRPr="00B1350F" w:rsidRDefault="00481499" w:rsidP="00481499">
            <w:pPr>
              <w:rPr>
                <w:rFonts w:eastAsia="Times New Roman" w:cstheme="minorHAnsi"/>
                <w:sz w:val="20"/>
                <w:szCs w:val="20"/>
              </w:rPr>
            </w:pPr>
            <w:r w:rsidRPr="00B1350F">
              <w:rPr>
                <w:rFonts w:eastAsia="Times New Roman" w:cstheme="minorHAnsi"/>
                <w:sz w:val="20"/>
                <w:szCs w:val="20"/>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56903F" w14:textId="23E54063" w:rsidR="00481499" w:rsidRPr="00B1350F" w:rsidRDefault="00481499" w:rsidP="00481499">
            <w:pPr>
              <w:jc w:val="right"/>
              <w:rPr>
                <w:rFonts w:eastAsia="Times New Roman" w:cstheme="minorHAnsi"/>
                <w:sz w:val="20"/>
                <w:szCs w:val="20"/>
              </w:rPr>
            </w:pPr>
            <w:r>
              <w:rPr>
                <w:rFonts w:eastAsia="Times New Roman" w:cstheme="minorHAnsi"/>
              </w:rPr>
              <w:t>25 0</w:t>
            </w:r>
            <w:r w:rsidRPr="00603E9F">
              <w:rPr>
                <w:rFonts w:eastAsia="Times New Roman" w:cstheme="minorHAnsi"/>
              </w:rPr>
              <w:t xml:space="preserve">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E8958F" w14:textId="1AC99C9D" w:rsidR="00481499" w:rsidRPr="00481499" w:rsidRDefault="00481499" w:rsidP="00481499">
            <w:pPr>
              <w:jc w:val="right"/>
              <w:rPr>
                <w:rFonts w:eastAsia="Times New Roman" w:cstheme="minorHAnsi"/>
              </w:rPr>
            </w:pPr>
            <w:r w:rsidRPr="00481499">
              <w:rPr>
                <w:rFonts w:eastAsia="Times New Roman" w:cstheme="minorHAnsi"/>
              </w:rPr>
              <w:t xml:space="preserve">0,00 </w:t>
            </w:r>
          </w:p>
        </w:tc>
        <w:tc>
          <w:tcPr>
            <w:tcW w:w="323" w:type="pct"/>
            <w:tcBorders>
              <w:top w:val="outset" w:sz="6" w:space="0" w:color="000000"/>
              <w:left w:val="outset" w:sz="6" w:space="0" w:color="000000"/>
              <w:bottom w:val="outset" w:sz="6" w:space="0" w:color="000000"/>
              <w:right w:val="outset" w:sz="6" w:space="0" w:color="000000"/>
            </w:tcBorders>
            <w:noWrap/>
            <w:vAlign w:val="center"/>
            <w:hideMark/>
          </w:tcPr>
          <w:p w14:paraId="1FBE4C2B" w14:textId="1A667D33" w:rsidR="00481499" w:rsidRPr="00481499" w:rsidRDefault="00481499" w:rsidP="00481499">
            <w:pPr>
              <w:jc w:val="right"/>
              <w:rPr>
                <w:rFonts w:eastAsia="Times New Roman" w:cstheme="minorHAnsi"/>
              </w:rPr>
            </w:pPr>
            <w:r w:rsidRPr="0048149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7CD075" w14:textId="1DEF6F29" w:rsidR="00481499" w:rsidRPr="00481499" w:rsidRDefault="00481499" w:rsidP="00481499">
            <w:pPr>
              <w:jc w:val="right"/>
              <w:rPr>
                <w:rFonts w:eastAsia="Times New Roman" w:cstheme="minorHAnsi"/>
              </w:rPr>
            </w:pPr>
            <w:r w:rsidRPr="00481499">
              <w:rPr>
                <w:rFonts w:eastAsia="Times New Roman" w:cstheme="minorHAnsi"/>
              </w:rPr>
              <w:t xml:space="preserve">0,00 </w:t>
            </w:r>
          </w:p>
        </w:tc>
        <w:tc>
          <w:tcPr>
            <w:tcW w:w="322" w:type="pct"/>
            <w:tcBorders>
              <w:top w:val="outset" w:sz="6" w:space="0" w:color="000000"/>
              <w:left w:val="outset" w:sz="6" w:space="0" w:color="000000"/>
              <w:bottom w:val="outset" w:sz="6" w:space="0" w:color="000000"/>
              <w:right w:val="outset" w:sz="6" w:space="0" w:color="000000"/>
            </w:tcBorders>
            <w:noWrap/>
            <w:vAlign w:val="center"/>
            <w:hideMark/>
          </w:tcPr>
          <w:p w14:paraId="6955F33D" w14:textId="289A3092" w:rsidR="00481499" w:rsidRPr="00481499" w:rsidRDefault="00481499" w:rsidP="00481499">
            <w:pPr>
              <w:jc w:val="right"/>
              <w:rPr>
                <w:rFonts w:eastAsia="Times New Roman" w:cstheme="minorHAnsi"/>
              </w:rPr>
            </w:pPr>
            <w:r w:rsidRPr="0048149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616A17" w14:textId="3B751463" w:rsidR="00481499" w:rsidRPr="00481499" w:rsidRDefault="00481499" w:rsidP="00481499">
            <w:pPr>
              <w:jc w:val="right"/>
              <w:rPr>
                <w:rFonts w:eastAsia="Times New Roman" w:cstheme="minorHAnsi"/>
              </w:rPr>
            </w:pPr>
            <w:r w:rsidRPr="00481499">
              <w:rPr>
                <w:rFonts w:eastAsia="Times New Roman" w:cstheme="minorHAnsi"/>
              </w:rPr>
              <w:t xml:space="preserve">0,00 </w:t>
            </w:r>
          </w:p>
        </w:tc>
        <w:tc>
          <w:tcPr>
            <w:tcW w:w="323" w:type="pct"/>
            <w:tcBorders>
              <w:top w:val="outset" w:sz="6" w:space="0" w:color="000000"/>
              <w:left w:val="outset" w:sz="6" w:space="0" w:color="000000"/>
              <w:bottom w:val="outset" w:sz="6" w:space="0" w:color="000000"/>
              <w:right w:val="outset" w:sz="6" w:space="0" w:color="000000"/>
            </w:tcBorders>
            <w:noWrap/>
            <w:vAlign w:val="center"/>
            <w:hideMark/>
          </w:tcPr>
          <w:p w14:paraId="312FC2A8" w14:textId="3E4606C3" w:rsidR="00481499" w:rsidRPr="00481499" w:rsidRDefault="00481499" w:rsidP="00481499">
            <w:pPr>
              <w:jc w:val="right"/>
              <w:rPr>
                <w:rFonts w:eastAsia="Times New Roman" w:cstheme="minorHAnsi"/>
              </w:rPr>
            </w:pPr>
          </w:p>
        </w:tc>
      </w:tr>
    </w:tbl>
    <w:p w14:paraId="3A8AA8F8" w14:textId="77777777" w:rsidR="00357DE9" w:rsidRPr="00603E9F" w:rsidRDefault="00357DE9" w:rsidP="00357DE9">
      <w:pPr>
        <w:pStyle w:val="Normlnywebov"/>
        <w:spacing w:before="0" w:beforeAutospacing="0" w:after="0" w:afterAutospacing="0"/>
        <w:rPr>
          <w:rFonts w:asciiTheme="minorHAnsi" w:hAnsiTheme="minorHAnsi" w:cstheme="minorHAnsi"/>
          <w:vanish/>
          <w:sz w:val="22"/>
          <w:szCs w:val="22"/>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74"/>
        <w:gridCol w:w="1891"/>
        <w:gridCol w:w="1890"/>
        <w:gridCol w:w="1890"/>
        <w:gridCol w:w="1905"/>
      </w:tblGrid>
      <w:tr w:rsidR="00357DE9" w:rsidRPr="00603E9F" w14:paraId="4C8251C7" w14:textId="77777777" w:rsidTr="00522CD0">
        <w:trPr>
          <w:trHeight w:hRule="exact" w:val="3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811359" w14:textId="77777777" w:rsidR="00357DE9" w:rsidRPr="00522CD0" w:rsidRDefault="00357DE9" w:rsidP="00AD25B5">
            <w:pPr>
              <w:rPr>
                <w:rFonts w:eastAsia="Times New Roman" w:cstheme="minorHAnsi"/>
                <w:sz w:val="24"/>
                <w:szCs w:val="24"/>
              </w:rPr>
            </w:pPr>
            <w:r w:rsidRPr="00522CD0">
              <w:rPr>
                <w:rFonts w:eastAsia="Times New Roman" w:cstheme="minorHAnsi"/>
                <w:b/>
                <w:bCs/>
                <w:sz w:val="24"/>
                <w:szCs w:val="24"/>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D034B2" w14:textId="77777777" w:rsidR="00357DE9" w:rsidRPr="00522CD0" w:rsidRDefault="00357DE9" w:rsidP="00AD25B5">
            <w:pPr>
              <w:rPr>
                <w:rFonts w:eastAsia="Times New Roman" w:cstheme="minorHAnsi"/>
                <w:sz w:val="24"/>
                <w:szCs w:val="24"/>
              </w:rPr>
            </w:pPr>
            <w:r w:rsidRPr="00522CD0">
              <w:rPr>
                <w:rFonts w:eastAsia="Times New Roman" w:cstheme="minorHAnsi"/>
                <w:sz w:val="24"/>
                <w:szCs w:val="24"/>
              </w:rPr>
              <w:t>Oddelenie zahraničných vzťahov, protokolu a EÚ záležitostí</w:t>
            </w:r>
            <w:r w:rsidRPr="00522CD0">
              <w:rPr>
                <w:rFonts w:eastAsia="Times New Roman" w:cstheme="minorHAnsi"/>
                <w:sz w:val="24"/>
                <w:szCs w:val="24"/>
              </w:rPr>
              <w:br/>
            </w:r>
          </w:p>
        </w:tc>
      </w:tr>
      <w:tr w:rsidR="00357DE9" w:rsidRPr="00603E9F" w14:paraId="4BE1B535" w14:textId="77777777" w:rsidTr="00522CD0">
        <w:trPr>
          <w:trHeight w:hRule="exact" w:val="3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881337" w14:textId="77777777" w:rsidR="00357DE9" w:rsidRPr="00522CD0" w:rsidRDefault="00357DE9" w:rsidP="00AD25B5">
            <w:pPr>
              <w:rPr>
                <w:rFonts w:eastAsia="Times New Roman" w:cstheme="minorHAnsi"/>
                <w:sz w:val="24"/>
                <w:szCs w:val="24"/>
              </w:rPr>
            </w:pPr>
            <w:r w:rsidRPr="00522CD0">
              <w:rPr>
                <w:rFonts w:eastAsia="Times New Roman" w:cstheme="minorHAnsi"/>
                <w:b/>
                <w:bCs/>
                <w:sz w:val="24"/>
                <w:szCs w:val="24"/>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55E93E" w14:textId="77777777" w:rsidR="00357DE9" w:rsidRPr="00522CD0" w:rsidRDefault="00357DE9" w:rsidP="00AD25B5">
            <w:pPr>
              <w:rPr>
                <w:rFonts w:eastAsia="Times New Roman" w:cstheme="minorHAnsi"/>
                <w:sz w:val="24"/>
                <w:szCs w:val="24"/>
              </w:rPr>
            </w:pPr>
            <w:r w:rsidRPr="00522CD0">
              <w:rPr>
                <w:rFonts w:eastAsia="Times New Roman" w:cstheme="minorHAnsi"/>
                <w:b/>
                <w:bCs/>
                <w:sz w:val="24"/>
                <w:szCs w:val="24"/>
              </w:rPr>
              <w:t>Zabezpečiť partnerskú spoluprácu so zahraničnými regiónmi</w:t>
            </w:r>
          </w:p>
        </w:tc>
      </w:tr>
      <w:tr w:rsidR="00357DE9" w:rsidRPr="00603E9F" w14:paraId="135D8BE0" w14:textId="77777777" w:rsidTr="00522CD0">
        <w:trPr>
          <w:trHeight w:hRule="exact" w:val="3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F1893F" w14:textId="77777777" w:rsidR="00357DE9" w:rsidRPr="00522CD0" w:rsidRDefault="00357DE9" w:rsidP="00AD25B5">
            <w:pPr>
              <w:rPr>
                <w:rFonts w:eastAsia="Times New Roman" w:cstheme="minorHAnsi"/>
                <w:sz w:val="24"/>
                <w:szCs w:val="24"/>
              </w:rPr>
            </w:pPr>
            <w:r w:rsidRPr="00522CD0">
              <w:rPr>
                <w:rFonts w:eastAsia="Times New Roman" w:cstheme="minorHAnsi"/>
                <w:b/>
                <w:bCs/>
                <w:sz w:val="24"/>
                <w:szCs w:val="24"/>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2B0B4E" w14:textId="77777777" w:rsidR="00357DE9" w:rsidRPr="00522CD0" w:rsidRDefault="00357DE9" w:rsidP="00AD25B5">
            <w:pPr>
              <w:rPr>
                <w:rFonts w:eastAsia="Times New Roman" w:cstheme="minorHAnsi"/>
                <w:sz w:val="24"/>
                <w:szCs w:val="24"/>
              </w:rPr>
            </w:pPr>
            <w:r w:rsidRPr="00522CD0">
              <w:rPr>
                <w:rFonts w:eastAsia="Times New Roman" w:cstheme="minorHAnsi"/>
                <w:sz w:val="24"/>
                <w:szCs w:val="24"/>
              </w:rPr>
              <w:t>Počet partnerských regiónov za rok</w:t>
            </w:r>
          </w:p>
        </w:tc>
      </w:tr>
      <w:tr w:rsidR="006A35BB" w:rsidRPr="00603E9F" w14:paraId="7EB8E325" w14:textId="77777777" w:rsidTr="00522CD0">
        <w:trPr>
          <w:trHeight w:hRule="exact" w:val="3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CBD05E" w14:textId="77777777" w:rsidR="006A35BB" w:rsidRPr="00522CD0" w:rsidRDefault="006A35BB" w:rsidP="006A35BB">
            <w:pPr>
              <w:rPr>
                <w:rFonts w:eastAsia="Times New Roman" w:cstheme="minorHAnsi"/>
                <w:sz w:val="24"/>
                <w:szCs w:val="24"/>
              </w:rPr>
            </w:pPr>
            <w:r w:rsidRPr="00522CD0">
              <w:rPr>
                <w:rFonts w:eastAsia="Times New Roman" w:cstheme="minorHAnsi"/>
                <w:b/>
                <w:bCs/>
                <w:sz w:val="24"/>
                <w:szCs w:val="24"/>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055E45" w14:textId="4FDBDE85" w:rsidR="006A35BB" w:rsidRPr="00522CD0" w:rsidRDefault="006A35BB" w:rsidP="006A35BB">
            <w:pPr>
              <w:jc w:val="center"/>
              <w:rPr>
                <w:rFonts w:eastAsia="Times New Roman" w:cstheme="minorHAnsi"/>
                <w:sz w:val="24"/>
                <w:szCs w:val="24"/>
              </w:rPr>
            </w:pPr>
            <w:r w:rsidRPr="00603E9F">
              <w:rPr>
                <w:rFonts w:eastAsia="Times New Roman" w:cstheme="minorHAnsi"/>
              </w:rPr>
              <w:t>202</w:t>
            </w:r>
            <w:r w:rsidR="008A7FCF">
              <w:rPr>
                <w:rFonts w:eastAsia="Times New Roman" w:cstheme="minorHAnsi"/>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FE58C7" w14:textId="7E0FF0BB" w:rsidR="006A35BB" w:rsidRPr="00522CD0" w:rsidRDefault="006A35BB" w:rsidP="006A35BB">
            <w:pPr>
              <w:jc w:val="center"/>
              <w:rPr>
                <w:rFonts w:eastAsia="Times New Roman" w:cstheme="minorHAnsi"/>
                <w:sz w:val="24"/>
                <w:szCs w:val="24"/>
              </w:rPr>
            </w:pPr>
            <w:r w:rsidRPr="00603E9F">
              <w:rPr>
                <w:rFonts w:eastAsia="Times New Roman" w:cstheme="minorHAnsi"/>
                <w:b/>
                <w:bCs/>
              </w:rPr>
              <w:t>202</w:t>
            </w:r>
            <w:r w:rsidR="008A7FCF">
              <w:rPr>
                <w:rFonts w:eastAsia="Times New Roman" w:cstheme="minorHAnsi"/>
                <w:b/>
                <w:bCs/>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A0B0B8" w14:textId="5F76A41D" w:rsidR="006A35BB" w:rsidRPr="00522CD0" w:rsidRDefault="006A35BB" w:rsidP="006A35BB">
            <w:pPr>
              <w:jc w:val="center"/>
              <w:rPr>
                <w:rFonts w:eastAsia="Times New Roman" w:cstheme="minorHAnsi"/>
                <w:sz w:val="24"/>
                <w:szCs w:val="24"/>
              </w:rPr>
            </w:pPr>
            <w:r w:rsidRPr="00603E9F">
              <w:rPr>
                <w:rFonts w:eastAsia="Times New Roman" w:cstheme="minorHAnsi"/>
              </w:rPr>
              <w:t>202</w:t>
            </w:r>
            <w:r w:rsidR="008A7FCF">
              <w:rPr>
                <w:rFonts w:eastAsia="Times New Roman" w:cstheme="minorHAnsi"/>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A8685F" w14:textId="68511C65" w:rsidR="006A35BB" w:rsidRPr="00522CD0" w:rsidRDefault="006A35BB" w:rsidP="006A35BB">
            <w:pPr>
              <w:jc w:val="center"/>
              <w:rPr>
                <w:rFonts w:eastAsia="Times New Roman" w:cstheme="minorHAnsi"/>
                <w:sz w:val="24"/>
                <w:szCs w:val="24"/>
              </w:rPr>
            </w:pPr>
            <w:r w:rsidRPr="00603E9F">
              <w:rPr>
                <w:rFonts w:eastAsia="Times New Roman" w:cstheme="minorHAnsi"/>
              </w:rPr>
              <w:t>20</w:t>
            </w:r>
            <w:r>
              <w:rPr>
                <w:rFonts w:eastAsia="Times New Roman" w:cstheme="minorHAnsi"/>
              </w:rPr>
              <w:t>2</w:t>
            </w:r>
            <w:r w:rsidR="008A7FCF">
              <w:rPr>
                <w:rFonts w:eastAsia="Times New Roman" w:cstheme="minorHAnsi"/>
              </w:rPr>
              <w:t>7</w:t>
            </w:r>
          </w:p>
        </w:tc>
      </w:tr>
      <w:tr w:rsidR="006A35BB" w:rsidRPr="00603E9F" w14:paraId="4FBD97A8" w14:textId="77777777" w:rsidTr="00522CD0">
        <w:trPr>
          <w:trHeight w:hRule="exact" w:val="340"/>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EEEC18" w14:textId="77777777" w:rsidR="006A35BB" w:rsidRPr="00522CD0" w:rsidRDefault="006A35BB" w:rsidP="006A35BB">
            <w:pPr>
              <w:rPr>
                <w:rFonts w:eastAsia="Times New Roman" w:cstheme="minorHAnsi"/>
                <w:sz w:val="24"/>
                <w:szCs w:val="24"/>
              </w:rPr>
            </w:pPr>
            <w:r w:rsidRPr="00522CD0">
              <w:rPr>
                <w:rFonts w:eastAsia="Times New Roman" w:cstheme="minorHAnsi"/>
                <w:b/>
                <w:bCs/>
                <w:sz w:val="24"/>
                <w:szCs w:val="24"/>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E40CB2" w14:textId="09F214DE" w:rsidR="006A35BB" w:rsidRPr="00522CD0" w:rsidRDefault="006A35BB" w:rsidP="006A35BB">
            <w:pPr>
              <w:jc w:val="center"/>
              <w:rPr>
                <w:rFonts w:eastAsia="Times New Roman" w:cstheme="minorHAnsi"/>
                <w:sz w:val="24"/>
                <w:szCs w:val="24"/>
              </w:rPr>
            </w:pPr>
            <w:r w:rsidRPr="00603E9F">
              <w:rPr>
                <w:rFonts w:eastAsia="Times New Roman" w:cstheme="minorHAnsi"/>
              </w:rPr>
              <w:t> 1</w:t>
            </w:r>
            <w:r>
              <w:rPr>
                <w:rFonts w:eastAsia="Times New Roman" w:cstheme="minorHAnsi"/>
              </w:rPr>
              <w:t>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C7B014" w14:textId="448C6537" w:rsidR="006A35BB" w:rsidRPr="00522CD0" w:rsidRDefault="006A35BB" w:rsidP="006A35BB">
            <w:pPr>
              <w:jc w:val="center"/>
              <w:rPr>
                <w:rFonts w:eastAsia="Times New Roman" w:cstheme="minorHAnsi"/>
                <w:sz w:val="24"/>
                <w:szCs w:val="24"/>
              </w:rPr>
            </w:pPr>
            <w:r w:rsidRPr="00603E9F">
              <w:rPr>
                <w:rFonts w:eastAsia="Times New Roman" w:cstheme="minorHAnsi"/>
                <w:b/>
                <w:bCs/>
              </w:rPr>
              <w:t> 1</w:t>
            </w:r>
            <w:r>
              <w:rPr>
                <w:rFonts w:eastAsia="Times New Roman" w:cstheme="minorHAnsi"/>
                <w:b/>
                <w:bCs/>
              </w:rPr>
              <w:t>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BAB792" w14:textId="6725D0CB" w:rsidR="006A35BB" w:rsidRPr="00522CD0" w:rsidRDefault="006A35BB" w:rsidP="006A35BB">
            <w:pPr>
              <w:jc w:val="center"/>
              <w:rPr>
                <w:rFonts w:eastAsia="Times New Roman" w:cstheme="minorHAnsi"/>
                <w:sz w:val="24"/>
                <w:szCs w:val="24"/>
              </w:rPr>
            </w:pPr>
            <w:r w:rsidRPr="00603E9F">
              <w:rPr>
                <w:rFonts w:eastAsia="Times New Roman" w:cstheme="minorHAnsi"/>
              </w:rPr>
              <w:t> 1</w:t>
            </w:r>
            <w:r>
              <w:rPr>
                <w:rFonts w:eastAsia="Times New Roman" w:cstheme="minorHAnsi"/>
              </w:rPr>
              <w:t>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2140BF" w14:textId="03390988" w:rsidR="006A35BB" w:rsidRPr="00522CD0" w:rsidRDefault="006A35BB" w:rsidP="006A35BB">
            <w:pPr>
              <w:jc w:val="center"/>
              <w:rPr>
                <w:rFonts w:eastAsia="Times New Roman" w:cstheme="minorHAnsi"/>
                <w:sz w:val="24"/>
                <w:szCs w:val="24"/>
              </w:rPr>
            </w:pPr>
            <w:r w:rsidRPr="00603E9F">
              <w:rPr>
                <w:rFonts w:eastAsia="Times New Roman" w:cstheme="minorHAnsi"/>
              </w:rPr>
              <w:t> 1</w:t>
            </w:r>
            <w:r>
              <w:rPr>
                <w:rFonts w:eastAsia="Times New Roman" w:cstheme="minorHAnsi"/>
              </w:rPr>
              <w:t>8</w:t>
            </w:r>
          </w:p>
        </w:tc>
      </w:tr>
    </w:tbl>
    <w:p w14:paraId="67B169C0" w14:textId="77777777" w:rsidR="00570A89" w:rsidRDefault="00570A89" w:rsidP="00570A89">
      <w:pPr>
        <w:rPr>
          <w:rFonts w:cstheme="minorHAnsi"/>
          <w:b/>
          <w:bCs/>
          <w:sz w:val="24"/>
          <w:szCs w:val="24"/>
        </w:rPr>
      </w:pPr>
    </w:p>
    <w:p w14:paraId="6C34EEF2" w14:textId="71F9F300" w:rsidR="00570A89" w:rsidRPr="004D52AF" w:rsidRDefault="00357DE9" w:rsidP="00570A89">
      <w:pPr>
        <w:jc w:val="both"/>
        <w:rPr>
          <w:rFonts w:eastAsia="Times New Roman" w:cstheme="minorHAnsi"/>
          <w:sz w:val="24"/>
          <w:szCs w:val="24"/>
        </w:rPr>
      </w:pPr>
      <w:r w:rsidRPr="004D52AF">
        <w:rPr>
          <w:rFonts w:cstheme="minorHAnsi"/>
          <w:b/>
          <w:bCs/>
          <w:sz w:val="24"/>
          <w:szCs w:val="24"/>
        </w:rPr>
        <w:t xml:space="preserve">Komentár: </w:t>
      </w:r>
      <w:r w:rsidR="00570A89" w:rsidRPr="004D52AF">
        <w:rPr>
          <w:rFonts w:eastAsia="Times New Roman" w:cstheme="minorHAnsi"/>
          <w:sz w:val="24"/>
          <w:szCs w:val="24"/>
        </w:rPr>
        <w:t>V rámci podprogramu sa zabezpečujú úlohy na úseku zahraničných vzťahov Bratislavského samosprávneho kraja a jeho orgánov, úlohy v rámci spolupráce medzi regiónmi členských štátov Európskej únie i ostatných regiónov, ako aj na úseku protokolárnych záležitostí.</w:t>
      </w:r>
      <w:r w:rsidR="00E777BE" w:rsidRPr="004D52AF">
        <w:rPr>
          <w:rFonts w:eastAsia="Times New Roman" w:cstheme="minorHAnsi"/>
          <w:sz w:val="24"/>
          <w:szCs w:val="24"/>
        </w:rPr>
        <w:t xml:space="preserve"> </w:t>
      </w:r>
      <w:r w:rsidR="00570A89" w:rsidRPr="004D52AF">
        <w:rPr>
          <w:rFonts w:eastAsia="Times New Roman" w:cstheme="minorHAnsi"/>
          <w:sz w:val="24"/>
          <w:szCs w:val="24"/>
        </w:rPr>
        <w:t>Podprogram tiež zabezpečuje vytváranie podmienok smerujúcich k udržiavaniu a nadväzovaniu dobrých a korektných medzinárodných vzťahov na regionálnej úrovni, predovšetkým s našimi susedmi. V spolupráci s právnym oddelením a odbornými útvarmi úradu zabezpečuje </w:t>
      </w:r>
      <w:proofErr w:type="spellStart"/>
      <w:r w:rsidR="00570A89" w:rsidRPr="004D52AF">
        <w:rPr>
          <w:rFonts w:eastAsia="Times New Roman" w:cstheme="minorHAnsi"/>
          <w:sz w:val="24"/>
          <w:szCs w:val="24"/>
        </w:rPr>
        <w:t>OZVPaEZ</w:t>
      </w:r>
      <w:proofErr w:type="spellEnd"/>
      <w:r w:rsidR="00570A89" w:rsidRPr="004D52AF">
        <w:rPr>
          <w:rFonts w:eastAsia="Times New Roman" w:cstheme="minorHAnsi"/>
          <w:sz w:val="24"/>
          <w:szCs w:val="24"/>
        </w:rPr>
        <w:t> prípravu návrhov zmluvných dokumentov so zahraničnými partnermi do Zastupiteľstva BSK a pripravuje a koordinuje realizáciu ustanovení týchto zmluvných dokumentov. Oddelenie zabezpečuje a koordinuje spoluprácu v rámci zmluvných partnerstiev so zahraničnými regiónmi v spolupráci s ostatnými odbornými útvarmi úradu.</w:t>
      </w:r>
      <w:r w:rsidR="00F80AA7" w:rsidRPr="004D52AF">
        <w:rPr>
          <w:rFonts w:eastAsia="Times New Roman" w:cstheme="minorHAnsi"/>
          <w:sz w:val="24"/>
          <w:szCs w:val="24"/>
        </w:rPr>
        <w:t xml:space="preserve"> Úsilie </w:t>
      </w:r>
      <w:r w:rsidR="00570A89" w:rsidRPr="004D52AF">
        <w:rPr>
          <w:rFonts w:eastAsia="Times New Roman" w:cstheme="minorHAnsi"/>
          <w:sz w:val="24"/>
          <w:szCs w:val="24"/>
        </w:rPr>
        <w:t>smerujeme k plneniu pracovných úloh a výkonu pracovných povinností vedúcich k splneniu cieľa, ktorým je posilnenie postavenia Bratislavského regiónu v európskom priestore. Zároveň sa snažíme o rozvíjanie dobrých vzťahov s regiónmi z celého sveta, a v tomto zmysle sme pripravení reagovať na prípadný záujem o spoluprácu zo strany ďalších potencionálnych partnerských regiónov.</w:t>
      </w:r>
    </w:p>
    <w:p w14:paraId="728867EF" w14:textId="45BFA3DD" w:rsidR="00DE2E42" w:rsidRDefault="00DE2E42" w:rsidP="00570A89">
      <w:pPr>
        <w:spacing w:before="100" w:beforeAutospacing="1" w:after="100" w:afterAutospacing="1" w:line="240" w:lineRule="auto"/>
        <w:jc w:val="both"/>
        <w:rPr>
          <w:rFonts w:eastAsia="Times New Roman" w:cstheme="minorHAnsi"/>
          <w:b/>
          <w:bCs/>
          <w:color w:val="0000FF"/>
          <w:sz w:val="27"/>
          <w:szCs w:val="27"/>
          <w:lang w:eastAsia="sk-SK"/>
        </w:rPr>
      </w:pPr>
    </w:p>
    <w:p w14:paraId="23591292" w14:textId="77777777" w:rsidR="00D52C77" w:rsidRDefault="00D52C77" w:rsidP="00570A89">
      <w:pPr>
        <w:spacing w:before="100" w:beforeAutospacing="1" w:after="100" w:afterAutospacing="1" w:line="240" w:lineRule="auto"/>
        <w:jc w:val="both"/>
        <w:rPr>
          <w:rFonts w:eastAsia="Times New Roman" w:cstheme="minorHAnsi"/>
          <w:b/>
          <w:bCs/>
          <w:color w:val="0000FF"/>
          <w:sz w:val="27"/>
          <w:szCs w:val="27"/>
          <w:lang w:eastAsia="sk-SK"/>
        </w:rPr>
      </w:pPr>
    </w:p>
    <w:p w14:paraId="41063393" w14:textId="77777777" w:rsidR="00F229D7" w:rsidRPr="00FF39FF" w:rsidRDefault="00F229D7" w:rsidP="00F229D7">
      <w:pPr>
        <w:pStyle w:val="Nadpis3"/>
        <w:rPr>
          <w:rFonts w:asciiTheme="minorHAnsi" w:hAnsiTheme="minorHAnsi" w:cstheme="minorHAnsi"/>
          <w:color w:val="0000FF"/>
        </w:rPr>
      </w:pPr>
      <w:r w:rsidRPr="00FF39FF">
        <w:rPr>
          <w:rFonts w:asciiTheme="minorHAnsi" w:hAnsiTheme="minorHAnsi" w:cstheme="minorHAnsi"/>
          <w:color w:val="0000FF"/>
        </w:rPr>
        <w:lastRenderedPageBreak/>
        <w:t xml:space="preserve">Podprogram 1.3: Stratégia, územný rozvoj a riadenie projektov </w:t>
      </w:r>
    </w:p>
    <w:p w14:paraId="25F555E3" w14:textId="77777777" w:rsidR="00F229D7" w:rsidRDefault="00F229D7" w:rsidP="00F229D7">
      <w:pPr>
        <w:pStyle w:val="Normlnywebov"/>
        <w:rPr>
          <w:rFonts w:asciiTheme="minorHAnsi" w:hAnsiTheme="minorHAnsi" w:cstheme="minorHAnsi"/>
        </w:rPr>
      </w:pPr>
      <w:r w:rsidRPr="0028173B">
        <w:rPr>
          <w:rFonts w:asciiTheme="minorHAnsi" w:hAnsiTheme="minorHAnsi" w:cstheme="minorHAnsi"/>
          <w:b/>
          <w:bCs/>
        </w:rPr>
        <w:t xml:space="preserve">Zámer: </w:t>
      </w:r>
      <w:r w:rsidRPr="0028173B">
        <w:rPr>
          <w:rFonts w:asciiTheme="minorHAnsi" w:hAnsiTheme="minorHAnsi" w:cstheme="minorHAnsi"/>
        </w:rPr>
        <w:t>Komplexný rozvoj územia s možnosťou využitia externých zdrojov</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79"/>
        <w:gridCol w:w="2070"/>
        <w:gridCol w:w="1484"/>
        <w:gridCol w:w="1485"/>
        <w:gridCol w:w="649"/>
        <w:gridCol w:w="1485"/>
        <w:gridCol w:w="649"/>
        <w:gridCol w:w="1485"/>
        <w:gridCol w:w="664"/>
      </w:tblGrid>
      <w:tr w:rsidR="00F775E4" w:rsidRPr="00F775E4" w14:paraId="45FE0C16"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FC1D55"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b/>
                <w:bCs/>
                <w:i/>
                <w:iCs/>
                <w:sz w:val="20"/>
                <w:szCs w:val="20"/>
                <w:lang w:eastAsia="sk-SK"/>
              </w:rPr>
              <w:t>Rozpočet v EUR</w:t>
            </w:r>
          </w:p>
        </w:tc>
      </w:tr>
      <w:tr w:rsidR="00F775E4" w:rsidRPr="00F775E4" w14:paraId="0BF92DE7" w14:textId="77777777" w:rsidTr="004A576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228966"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EK</w:t>
            </w:r>
          </w:p>
        </w:tc>
        <w:tc>
          <w:tcPr>
            <w:tcW w:w="99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FDECFD"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1798512"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F2D13D"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b/>
                <w:bCs/>
                <w:sz w:val="20"/>
                <w:szCs w:val="20"/>
                <w:lang w:eastAsia="sk-SK"/>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751F8DC"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EC4F8C0"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b/>
                <w:bCs/>
                <w:sz w:val="20"/>
                <w:szCs w:val="20"/>
                <w:lang w:eastAsia="sk-SK"/>
              </w:rPr>
              <w:t>2026</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58795BA"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D87A7FC"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b/>
                <w:bCs/>
                <w:sz w:val="20"/>
                <w:szCs w:val="20"/>
                <w:lang w:eastAsia="sk-SK"/>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4436DB"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b/>
                <w:bCs/>
                <w:sz w:val="20"/>
                <w:szCs w:val="20"/>
                <w:lang w:eastAsia="sk-SK"/>
              </w:rPr>
              <w:t>%</w:t>
            </w:r>
          </w:p>
        </w:tc>
      </w:tr>
      <w:tr w:rsidR="004A5769" w:rsidRPr="00F775E4" w14:paraId="43B5B86B" w14:textId="77777777" w:rsidTr="00F775E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62AF30" w14:textId="77777777" w:rsidR="004A5769" w:rsidRPr="00F775E4" w:rsidRDefault="004A5769" w:rsidP="004A5769">
            <w:pPr>
              <w:spacing w:after="0" w:line="240" w:lineRule="auto"/>
              <w:jc w:val="center"/>
              <w:rPr>
                <w:rFonts w:eastAsia="Times New Roman" w:cstheme="minorHAnsi"/>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E7AE15"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Výdavky celkom</w:t>
            </w:r>
            <w:r w:rsidRPr="00F775E4">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0E6053"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b/>
                <w:bCs/>
                <w:color w:val="000000" w:themeColor="text1"/>
                <w:sz w:val="20"/>
                <w:szCs w:val="20"/>
                <w:lang w:eastAsia="sk-SK"/>
              </w:rPr>
              <w:t>14 553 771,83</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92445E" w14:textId="562036F0"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36 202 260,56</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55996C" w14:textId="6B2EFA44"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248,75</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EBA4D1" w14:textId="3D5BF09E"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64 422 924,21</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1EC4EF" w14:textId="022600EE"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177,95</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75EAF3"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b/>
                <w:bCs/>
                <w:color w:val="000000" w:themeColor="text1"/>
                <w:sz w:val="20"/>
                <w:szCs w:val="20"/>
                <w:lang w:eastAsia="sk-SK"/>
              </w:rPr>
              <w:t>66 328 734,56</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C35C38"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b/>
                <w:bCs/>
                <w:color w:val="000000" w:themeColor="text1"/>
                <w:sz w:val="20"/>
                <w:szCs w:val="20"/>
                <w:lang w:eastAsia="sk-SK"/>
              </w:rPr>
              <w:t>102,96</w:t>
            </w:r>
          </w:p>
        </w:tc>
      </w:tr>
      <w:tr w:rsidR="004A5769" w:rsidRPr="00F775E4" w14:paraId="0ACC0F87" w14:textId="77777777" w:rsidTr="00F775E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70C62D"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600</w:t>
            </w:r>
            <w:r w:rsidRPr="00F775E4">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6F7600"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Bežné výdavky</w:t>
            </w:r>
            <w:r w:rsidRPr="00F775E4">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0ECD0C"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b/>
                <w:bCs/>
                <w:color w:val="000000" w:themeColor="text1"/>
                <w:sz w:val="20"/>
                <w:szCs w:val="20"/>
                <w:lang w:eastAsia="sk-SK"/>
              </w:rPr>
              <w:t>1 555 395,66</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DD002E" w14:textId="661C00BB"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2 092 209,56</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5CAEBE" w14:textId="6782A641"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134,51</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A87FB0" w14:textId="61C55A77"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2 209 984,89</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3737D6" w14:textId="22D96717"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105,63</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65EFB9"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b/>
                <w:bCs/>
                <w:color w:val="000000" w:themeColor="text1"/>
                <w:sz w:val="20"/>
                <w:szCs w:val="20"/>
                <w:lang w:eastAsia="sk-SK"/>
              </w:rPr>
              <w:t>3 529 697,38</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AA6407"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b/>
                <w:bCs/>
                <w:color w:val="000000" w:themeColor="text1"/>
                <w:sz w:val="20"/>
                <w:szCs w:val="20"/>
                <w:lang w:eastAsia="sk-SK"/>
              </w:rPr>
              <w:t>159,72</w:t>
            </w:r>
          </w:p>
        </w:tc>
      </w:tr>
      <w:tr w:rsidR="004A5769" w:rsidRPr="00F775E4" w14:paraId="164E7DCC" w14:textId="77777777" w:rsidTr="00F775E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7C5D3F"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 xml:space="preserve">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12245D"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 xml:space="preserve">Mzdy, platy, ...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09BB87"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298 741,63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6C2FA3" w14:textId="0DEE79EA"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593 389,75</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236C7B53" w14:textId="59A7D5C5"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198,63</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C3E36A" w14:textId="7BE72459"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796 847,22</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CF81F31" w14:textId="2321C293"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134,29</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D171CB"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651 249,62</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F074E2A"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81,73</w:t>
            </w:r>
          </w:p>
        </w:tc>
      </w:tr>
      <w:tr w:rsidR="004A5769" w:rsidRPr="00F775E4" w14:paraId="7ABD1E63" w14:textId="77777777" w:rsidTr="00F775E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3CBB19"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E28C92"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377264"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861 965,84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2C2665" w14:textId="61AA04CD"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1 163 791,73</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8C9AFC8" w14:textId="22856BAA"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135,02</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69633F" w14:textId="170835EE"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962 559,44</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02114EB1" w14:textId="5C1A0CB7"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82,71</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D0497DE"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2 312 327,15</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4430900"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240,23</w:t>
            </w:r>
          </w:p>
        </w:tc>
      </w:tr>
      <w:tr w:rsidR="004A5769" w:rsidRPr="00F775E4" w14:paraId="44187071" w14:textId="77777777" w:rsidTr="00F775E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43B08E"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D90356"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61EC95"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394 688,19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BDF12A" w14:textId="760B8BD1" w:rsidR="004A5769" w:rsidRPr="00F775E4" w:rsidRDefault="004A5769" w:rsidP="004A5769">
            <w:pPr>
              <w:spacing w:after="0" w:line="240" w:lineRule="auto"/>
              <w:jc w:val="right"/>
              <w:rPr>
                <w:rFonts w:eastAsia="Times New Roman" w:cstheme="minorHAnsi"/>
                <w:color w:val="000000" w:themeColor="text1"/>
                <w:sz w:val="20"/>
                <w:szCs w:val="20"/>
                <w:lang w:eastAsia="sk-SK"/>
              </w:rPr>
            </w:pPr>
            <w:r>
              <w:rPr>
                <w:rFonts w:ascii="Calibri" w:eastAsia="Times New Roman" w:hAnsi="Calibri" w:cs="Calibri"/>
                <w:sz w:val="20"/>
                <w:szCs w:val="20"/>
              </w:rPr>
              <w:t>335 028,08</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BD9945A" w14:textId="74915891" w:rsidR="004A5769" w:rsidRPr="00F775E4" w:rsidRDefault="004A5769" w:rsidP="004A5769">
            <w:pPr>
              <w:spacing w:after="0" w:line="240" w:lineRule="auto"/>
              <w:jc w:val="right"/>
              <w:rPr>
                <w:rFonts w:eastAsia="Times New Roman" w:cstheme="minorHAnsi"/>
                <w:color w:val="000000" w:themeColor="text1"/>
                <w:sz w:val="20"/>
                <w:szCs w:val="20"/>
                <w:lang w:eastAsia="sk-SK"/>
              </w:rPr>
            </w:pPr>
            <w:r>
              <w:rPr>
                <w:rFonts w:ascii="Calibri" w:eastAsia="Times New Roman" w:hAnsi="Calibri" w:cs="Calibri"/>
                <w:sz w:val="20"/>
                <w:szCs w:val="20"/>
              </w:rPr>
              <w:t>84,88</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1D0E19" w14:textId="163704D6" w:rsidR="004A5769" w:rsidRPr="00F775E4" w:rsidRDefault="004A5769" w:rsidP="004A5769">
            <w:pPr>
              <w:spacing w:after="0" w:line="240" w:lineRule="auto"/>
              <w:jc w:val="right"/>
              <w:rPr>
                <w:rFonts w:eastAsia="Times New Roman" w:cstheme="minorHAnsi"/>
                <w:color w:val="000000" w:themeColor="text1"/>
                <w:sz w:val="20"/>
                <w:szCs w:val="20"/>
                <w:lang w:eastAsia="sk-SK"/>
              </w:rPr>
            </w:pPr>
            <w:r>
              <w:rPr>
                <w:rFonts w:ascii="Calibri" w:eastAsia="Times New Roman" w:hAnsi="Calibri" w:cs="Calibri"/>
                <w:sz w:val="20"/>
                <w:szCs w:val="20"/>
              </w:rPr>
              <w:t>450 578,23</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6B2A0E8" w14:textId="2C57F886" w:rsidR="004A5769" w:rsidRPr="00F775E4" w:rsidRDefault="004A5769" w:rsidP="004A5769">
            <w:pPr>
              <w:spacing w:after="0" w:line="240" w:lineRule="auto"/>
              <w:jc w:val="right"/>
              <w:rPr>
                <w:rFonts w:eastAsia="Times New Roman" w:cstheme="minorHAnsi"/>
                <w:color w:val="000000" w:themeColor="text1"/>
                <w:sz w:val="20"/>
                <w:szCs w:val="20"/>
                <w:lang w:eastAsia="sk-SK"/>
              </w:rPr>
            </w:pPr>
            <w:r>
              <w:rPr>
                <w:rFonts w:ascii="Calibri" w:eastAsia="Times New Roman" w:hAnsi="Calibri" w:cs="Calibri"/>
                <w:sz w:val="20"/>
                <w:szCs w:val="20"/>
              </w:rPr>
              <w:t>134,49</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DD3DD96" w14:textId="77777777" w:rsidR="004A5769" w:rsidRPr="00F775E4" w:rsidRDefault="004A5769" w:rsidP="004A5769">
            <w:pPr>
              <w:spacing w:after="0" w:line="240" w:lineRule="auto"/>
              <w:jc w:val="right"/>
              <w:rPr>
                <w:rFonts w:eastAsia="Times New Roman" w:cstheme="minorHAnsi"/>
                <w:color w:val="000000" w:themeColor="text1"/>
                <w:sz w:val="20"/>
                <w:szCs w:val="20"/>
                <w:lang w:eastAsia="sk-SK"/>
              </w:rPr>
            </w:pPr>
            <w:r w:rsidRPr="00F775E4">
              <w:rPr>
                <w:rFonts w:eastAsia="Times New Roman" w:cstheme="minorHAnsi"/>
                <w:color w:val="000000" w:themeColor="text1"/>
                <w:sz w:val="20"/>
                <w:szCs w:val="20"/>
                <w:lang w:eastAsia="sk-SK"/>
              </w:rPr>
              <w:t>566 120,61</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3E8C69D" w14:textId="77777777" w:rsidR="004A5769" w:rsidRPr="00F775E4" w:rsidRDefault="004A5769" w:rsidP="004A5769">
            <w:pPr>
              <w:spacing w:after="0" w:line="240" w:lineRule="auto"/>
              <w:jc w:val="right"/>
              <w:rPr>
                <w:rFonts w:eastAsia="Times New Roman" w:cstheme="minorHAnsi"/>
                <w:color w:val="000000" w:themeColor="text1"/>
                <w:sz w:val="20"/>
                <w:szCs w:val="20"/>
                <w:lang w:eastAsia="sk-SK"/>
              </w:rPr>
            </w:pPr>
            <w:r w:rsidRPr="00F775E4">
              <w:rPr>
                <w:rFonts w:eastAsia="Times New Roman" w:cstheme="minorHAnsi"/>
                <w:color w:val="000000" w:themeColor="text1"/>
                <w:sz w:val="20"/>
                <w:szCs w:val="20"/>
                <w:lang w:eastAsia="sk-SK"/>
              </w:rPr>
              <w:t>125,64</w:t>
            </w:r>
          </w:p>
        </w:tc>
      </w:tr>
      <w:tr w:rsidR="004A5769" w:rsidRPr="00F775E4" w14:paraId="2165EDF1" w14:textId="77777777" w:rsidTr="00F775E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9E7F2E"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700</w:t>
            </w:r>
            <w:r w:rsidRPr="00F775E4">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8209A2"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Kapitálové výdavky</w:t>
            </w:r>
            <w:r w:rsidRPr="00F775E4">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B88ADA"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b/>
                <w:bCs/>
                <w:color w:val="000000" w:themeColor="text1"/>
                <w:sz w:val="20"/>
                <w:szCs w:val="20"/>
                <w:lang w:eastAsia="sk-SK"/>
              </w:rPr>
              <w:t>12 998 376,17</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B3C8E6" w14:textId="226FE6B1"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34 110 051,00</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2F1B7C" w14:textId="0E726D79"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262,42</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3E4E85" w14:textId="2F33BF01"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62 212 939,32</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57226E" w14:textId="209FBD01"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b/>
                <w:bCs/>
                <w:sz w:val="20"/>
                <w:szCs w:val="20"/>
              </w:rPr>
              <w:t>182,39</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D08ED5"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b/>
                <w:bCs/>
                <w:color w:val="000000" w:themeColor="text1"/>
                <w:sz w:val="20"/>
                <w:szCs w:val="20"/>
                <w:lang w:eastAsia="sk-SK"/>
              </w:rPr>
              <w:t>62 799 037,18</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04560C"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b/>
                <w:bCs/>
                <w:color w:val="000000" w:themeColor="text1"/>
                <w:sz w:val="20"/>
                <w:szCs w:val="20"/>
                <w:lang w:eastAsia="sk-SK"/>
              </w:rPr>
              <w:t>100,94</w:t>
            </w:r>
          </w:p>
        </w:tc>
      </w:tr>
      <w:tr w:rsidR="004A5769" w:rsidRPr="00F775E4" w14:paraId="13FB1985" w14:textId="77777777" w:rsidTr="00F775E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65F963"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 xml:space="preserve">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1D25B5" w14:textId="77777777" w:rsidR="004A5769" w:rsidRPr="00F775E4" w:rsidRDefault="004A5769" w:rsidP="004A5769">
            <w:pPr>
              <w:spacing w:after="0" w:line="240" w:lineRule="auto"/>
              <w:rPr>
                <w:rFonts w:eastAsia="Times New Roman" w:cstheme="minorHAnsi"/>
                <w:sz w:val="20"/>
                <w:szCs w:val="20"/>
                <w:lang w:eastAsia="sk-SK"/>
              </w:rPr>
            </w:pPr>
            <w:proofErr w:type="spellStart"/>
            <w:r w:rsidRPr="00F775E4">
              <w:rPr>
                <w:rFonts w:eastAsia="Times New Roman" w:cstheme="minorHAnsi"/>
                <w:sz w:val="20"/>
                <w:szCs w:val="20"/>
                <w:lang w:eastAsia="sk-SK"/>
              </w:rPr>
              <w:t>Obst</w:t>
            </w:r>
            <w:proofErr w:type="spellEnd"/>
            <w:r w:rsidRPr="00F775E4">
              <w:rPr>
                <w:rFonts w:eastAsia="Times New Roman" w:cstheme="minorHAnsi"/>
                <w:sz w:val="20"/>
                <w:szCs w:val="20"/>
                <w:lang w:eastAsia="sk-SK"/>
              </w:rPr>
              <w:t xml:space="preserve">. </w:t>
            </w:r>
            <w:proofErr w:type="spellStart"/>
            <w:r w:rsidRPr="00F775E4">
              <w:rPr>
                <w:rFonts w:eastAsia="Times New Roman" w:cstheme="minorHAnsi"/>
                <w:sz w:val="20"/>
                <w:szCs w:val="20"/>
                <w:lang w:eastAsia="sk-SK"/>
              </w:rPr>
              <w:t>kapit</w:t>
            </w:r>
            <w:proofErr w:type="spellEnd"/>
            <w:r w:rsidRPr="00F775E4">
              <w:rPr>
                <w:rFonts w:eastAsia="Times New Roman" w:cstheme="minorHAnsi"/>
                <w:sz w:val="20"/>
                <w:szCs w:val="20"/>
                <w:lang w:eastAsia="sk-SK"/>
              </w:rPr>
              <w:t xml:space="preserve">. aktív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3C42F5"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12 385 609,88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8E17F4E" w14:textId="6ACACCAF"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34 047 384,00</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DDDA60E" w14:textId="0C443842"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274,89</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38554E" w14:textId="11F8C596"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61 912 939,32</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B2D72AA" w14:textId="729458DE"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181,84</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94E229"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61 957 837,18</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FB52937"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100,07</w:t>
            </w:r>
          </w:p>
        </w:tc>
      </w:tr>
      <w:tr w:rsidR="004A5769" w:rsidRPr="00F775E4" w14:paraId="63107F29" w14:textId="77777777" w:rsidTr="00F775E4">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0EC495"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 xml:space="preserve">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9843A0" w14:textId="77777777" w:rsidR="004A5769" w:rsidRPr="00F775E4" w:rsidRDefault="004A5769" w:rsidP="004A5769">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 xml:space="preserve">Kapitálové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670D24"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612 766,29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700AE1" w14:textId="7B6D0583"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62 667,00</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55E0353" w14:textId="6BA3652E"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10,23</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B259B8" w14:textId="64D52710"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300 000,00</w:t>
            </w:r>
            <w:r>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F28EE7E" w14:textId="5569D7C1" w:rsidR="004A5769" w:rsidRPr="00F775E4" w:rsidRDefault="004A5769" w:rsidP="004A5769">
            <w:pPr>
              <w:spacing w:after="0" w:line="240" w:lineRule="auto"/>
              <w:jc w:val="right"/>
              <w:rPr>
                <w:rFonts w:eastAsia="Times New Roman" w:cstheme="minorHAnsi"/>
                <w:color w:val="FF0000"/>
                <w:sz w:val="20"/>
                <w:szCs w:val="20"/>
                <w:lang w:eastAsia="sk-SK"/>
              </w:rPr>
            </w:pPr>
            <w:r>
              <w:rPr>
                <w:rFonts w:ascii="Calibri" w:eastAsia="Times New Roman" w:hAnsi="Calibri" w:cs="Calibri"/>
                <w:sz w:val="20"/>
                <w:szCs w:val="20"/>
              </w:rPr>
              <w:t>478,72</w:t>
            </w:r>
            <w:r>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521AFD"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841 200,00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08E20CC4" w14:textId="77777777" w:rsidR="004A5769" w:rsidRPr="00F775E4" w:rsidRDefault="004A5769" w:rsidP="004A5769">
            <w:pPr>
              <w:spacing w:after="0" w:line="240" w:lineRule="auto"/>
              <w:jc w:val="right"/>
              <w:rPr>
                <w:rFonts w:eastAsia="Times New Roman" w:cstheme="minorHAnsi"/>
                <w:color w:val="FF0000"/>
                <w:sz w:val="20"/>
                <w:szCs w:val="20"/>
                <w:lang w:eastAsia="sk-SK"/>
              </w:rPr>
            </w:pPr>
            <w:r w:rsidRPr="00F775E4">
              <w:rPr>
                <w:rFonts w:eastAsia="Times New Roman" w:cstheme="minorHAnsi"/>
                <w:color w:val="000000" w:themeColor="text1"/>
                <w:sz w:val="20"/>
                <w:szCs w:val="20"/>
                <w:lang w:eastAsia="sk-SK"/>
              </w:rPr>
              <w:t>280,40</w:t>
            </w:r>
          </w:p>
        </w:tc>
      </w:tr>
    </w:tbl>
    <w:p w14:paraId="0AEB3E6F" w14:textId="77777777" w:rsidR="00F775E4" w:rsidRPr="00F775E4" w:rsidRDefault="00F775E4" w:rsidP="00F775E4">
      <w:pPr>
        <w:spacing w:after="0" w:line="240" w:lineRule="auto"/>
        <w:rPr>
          <w:rFonts w:eastAsiaTheme="minorEastAsia" w:cstheme="minorHAnsi"/>
          <w:vanish/>
          <w:sz w:val="20"/>
          <w:szCs w:val="20"/>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123"/>
        <w:gridCol w:w="2078"/>
        <w:gridCol w:w="2078"/>
        <w:gridCol w:w="2078"/>
        <w:gridCol w:w="2093"/>
      </w:tblGrid>
      <w:tr w:rsidR="00F775E4" w:rsidRPr="00F775E4" w14:paraId="4C3FC1E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C6E96F"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F6419B"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Odbor stratégie, územného rozvoja a riadenia projektov</w:t>
            </w:r>
          </w:p>
        </w:tc>
      </w:tr>
      <w:tr w:rsidR="00F775E4" w:rsidRPr="00F775E4" w14:paraId="42E98EC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FFB382"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965938"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Zabezpečiť územný rozvoj regiónu z finančných prostriedkov získaných z externých zdrojov</w:t>
            </w:r>
          </w:p>
        </w:tc>
      </w:tr>
      <w:tr w:rsidR="00F775E4" w:rsidRPr="00F775E4" w14:paraId="60E0578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16AB61"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B9683B"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Počet poskytnutých služieb za rok</w:t>
            </w:r>
          </w:p>
        </w:tc>
      </w:tr>
      <w:tr w:rsidR="00F775E4" w:rsidRPr="00F775E4" w14:paraId="732BFA9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8BBE4D"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10500A"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DB4EBA"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b/>
                <w:bCs/>
                <w:sz w:val="20"/>
                <w:szCs w:val="20"/>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67E6CC"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sz w:val="20"/>
                <w:szCs w:val="20"/>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0E06E9"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sz w:val="20"/>
                <w:szCs w:val="20"/>
                <w:lang w:eastAsia="sk-SK"/>
              </w:rPr>
              <w:t>2027</w:t>
            </w:r>
          </w:p>
        </w:tc>
      </w:tr>
      <w:tr w:rsidR="00F775E4" w:rsidRPr="00F775E4" w14:paraId="67E345B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38C2C0"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942894" w14:textId="77777777" w:rsidR="00F775E4" w:rsidRPr="00F775E4" w:rsidRDefault="00F775E4" w:rsidP="00F775E4">
            <w:pPr>
              <w:spacing w:after="0" w:line="240" w:lineRule="auto"/>
              <w:jc w:val="center"/>
              <w:rPr>
                <w:rFonts w:eastAsia="Times New Roman" w:cstheme="minorHAnsi"/>
                <w:color w:val="000000" w:themeColor="text1"/>
                <w:sz w:val="20"/>
                <w:szCs w:val="20"/>
                <w:lang w:eastAsia="sk-SK"/>
              </w:rPr>
            </w:pPr>
            <w:r w:rsidRPr="00F775E4">
              <w:rPr>
                <w:rFonts w:eastAsia="Times New Roman" w:cstheme="minorHAnsi"/>
                <w:color w:val="000000" w:themeColor="text1"/>
                <w:sz w:val="20"/>
                <w:szCs w:val="20"/>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E56DBC" w14:textId="77777777" w:rsidR="00F775E4" w:rsidRPr="00F775E4" w:rsidRDefault="00F775E4" w:rsidP="00F775E4">
            <w:pPr>
              <w:spacing w:after="0" w:line="240" w:lineRule="auto"/>
              <w:jc w:val="center"/>
              <w:rPr>
                <w:rFonts w:eastAsia="Times New Roman" w:cstheme="minorHAnsi"/>
                <w:color w:val="000000" w:themeColor="text1"/>
                <w:sz w:val="20"/>
                <w:szCs w:val="20"/>
                <w:lang w:eastAsia="sk-SK"/>
              </w:rPr>
            </w:pPr>
            <w:r w:rsidRPr="00F775E4">
              <w:rPr>
                <w:rFonts w:eastAsia="Times New Roman" w:cstheme="minorHAnsi"/>
                <w:b/>
                <w:bCs/>
                <w:color w:val="000000" w:themeColor="text1"/>
                <w:sz w:val="20"/>
                <w:szCs w:val="20"/>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AFB970" w14:textId="77777777" w:rsidR="00F775E4" w:rsidRPr="00F775E4" w:rsidRDefault="00F775E4" w:rsidP="00F775E4">
            <w:pPr>
              <w:spacing w:after="0" w:line="240" w:lineRule="auto"/>
              <w:jc w:val="center"/>
              <w:rPr>
                <w:rFonts w:eastAsia="Times New Roman" w:cstheme="minorHAnsi"/>
                <w:color w:val="000000" w:themeColor="text1"/>
                <w:sz w:val="20"/>
                <w:szCs w:val="20"/>
                <w:lang w:eastAsia="sk-SK"/>
              </w:rPr>
            </w:pPr>
            <w:r w:rsidRPr="00F775E4">
              <w:rPr>
                <w:rFonts w:eastAsia="Times New Roman" w:cstheme="minorHAnsi"/>
                <w:color w:val="000000" w:themeColor="text1"/>
                <w:sz w:val="20"/>
                <w:szCs w:val="20"/>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69C625" w14:textId="77777777" w:rsidR="00F775E4" w:rsidRPr="00F775E4" w:rsidRDefault="00F775E4" w:rsidP="00F775E4">
            <w:pPr>
              <w:spacing w:after="0" w:line="240" w:lineRule="auto"/>
              <w:jc w:val="center"/>
              <w:rPr>
                <w:rFonts w:eastAsia="Times New Roman" w:cstheme="minorHAnsi"/>
                <w:color w:val="000000" w:themeColor="text1"/>
                <w:sz w:val="20"/>
                <w:szCs w:val="20"/>
                <w:lang w:eastAsia="sk-SK"/>
              </w:rPr>
            </w:pPr>
            <w:r w:rsidRPr="00F775E4">
              <w:rPr>
                <w:rFonts w:eastAsia="Times New Roman" w:cstheme="minorHAnsi"/>
                <w:color w:val="000000" w:themeColor="text1"/>
                <w:sz w:val="20"/>
                <w:szCs w:val="20"/>
                <w:lang w:eastAsia="sk-SK"/>
              </w:rPr>
              <w:t> 100</w:t>
            </w:r>
          </w:p>
        </w:tc>
      </w:tr>
      <w:tr w:rsidR="00F775E4" w:rsidRPr="00F775E4" w14:paraId="2611674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F67A3D"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BC3A32"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Počet poskytnutých produktov za rok</w:t>
            </w:r>
          </w:p>
        </w:tc>
      </w:tr>
      <w:tr w:rsidR="00F775E4" w:rsidRPr="00F775E4" w14:paraId="19412CC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B4FEB2"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9BA099"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6CCE52"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b/>
                <w:bCs/>
                <w:sz w:val="20"/>
                <w:szCs w:val="20"/>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33F73C"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sz w:val="20"/>
                <w:szCs w:val="20"/>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A06B4D"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sz w:val="20"/>
                <w:szCs w:val="20"/>
                <w:lang w:eastAsia="sk-SK"/>
              </w:rPr>
              <w:t>2027</w:t>
            </w:r>
          </w:p>
        </w:tc>
      </w:tr>
      <w:tr w:rsidR="00F775E4" w:rsidRPr="00F775E4" w14:paraId="4903315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5FDD41"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B7F655" w14:textId="77777777" w:rsidR="00F775E4" w:rsidRPr="00F775E4" w:rsidRDefault="00F775E4" w:rsidP="00F775E4">
            <w:pPr>
              <w:spacing w:after="0" w:line="240" w:lineRule="auto"/>
              <w:jc w:val="center"/>
              <w:rPr>
                <w:rFonts w:eastAsia="Times New Roman" w:cstheme="minorHAnsi"/>
                <w:color w:val="000000" w:themeColor="text1"/>
                <w:sz w:val="20"/>
                <w:szCs w:val="20"/>
                <w:lang w:eastAsia="sk-SK"/>
              </w:rPr>
            </w:pPr>
            <w:r w:rsidRPr="00F775E4">
              <w:rPr>
                <w:rFonts w:eastAsia="Times New Roman" w:cstheme="minorHAnsi"/>
                <w:color w:val="000000" w:themeColor="text1"/>
                <w:sz w:val="20"/>
                <w:szCs w:val="20"/>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71EE20" w14:textId="77777777" w:rsidR="00F775E4" w:rsidRPr="00F775E4" w:rsidRDefault="00F775E4" w:rsidP="00F775E4">
            <w:pPr>
              <w:spacing w:after="0" w:line="240" w:lineRule="auto"/>
              <w:jc w:val="center"/>
              <w:rPr>
                <w:rFonts w:eastAsia="Times New Roman" w:cstheme="minorHAnsi"/>
                <w:color w:val="000000" w:themeColor="text1"/>
                <w:sz w:val="20"/>
                <w:szCs w:val="20"/>
                <w:lang w:eastAsia="sk-SK"/>
              </w:rPr>
            </w:pPr>
            <w:r w:rsidRPr="00F775E4">
              <w:rPr>
                <w:rFonts w:eastAsia="Times New Roman" w:cstheme="minorHAnsi"/>
                <w:b/>
                <w:bCs/>
                <w:color w:val="000000" w:themeColor="text1"/>
                <w:sz w:val="20"/>
                <w:szCs w:val="20"/>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C913E6" w14:textId="77777777" w:rsidR="00F775E4" w:rsidRPr="00F775E4" w:rsidRDefault="00F775E4" w:rsidP="00F775E4">
            <w:pPr>
              <w:spacing w:after="0" w:line="240" w:lineRule="auto"/>
              <w:jc w:val="center"/>
              <w:rPr>
                <w:rFonts w:eastAsia="Times New Roman" w:cstheme="minorHAnsi"/>
                <w:color w:val="000000" w:themeColor="text1"/>
                <w:sz w:val="20"/>
                <w:szCs w:val="20"/>
                <w:lang w:eastAsia="sk-SK"/>
              </w:rPr>
            </w:pPr>
            <w:r w:rsidRPr="00F775E4">
              <w:rPr>
                <w:rFonts w:eastAsia="Times New Roman" w:cstheme="minorHAnsi"/>
                <w:color w:val="000000" w:themeColor="text1"/>
                <w:sz w:val="20"/>
                <w:szCs w:val="20"/>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0D22F7" w14:textId="77777777" w:rsidR="00F775E4" w:rsidRPr="00F775E4" w:rsidRDefault="00F775E4" w:rsidP="00F775E4">
            <w:pPr>
              <w:spacing w:after="0" w:line="240" w:lineRule="auto"/>
              <w:jc w:val="center"/>
              <w:rPr>
                <w:rFonts w:eastAsia="Times New Roman" w:cstheme="minorHAnsi"/>
                <w:color w:val="000000" w:themeColor="text1"/>
                <w:sz w:val="20"/>
                <w:szCs w:val="20"/>
                <w:lang w:eastAsia="sk-SK"/>
              </w:rPr>
            </w:pPr>
            <w:r w:rsidRPr="00F775E4">
              <w:rPr>
                <w:rFonts w:eastAsia="Times New Roman" w:cstheme="minorHAnsi"/>
                <w:color w:val="000000" w:themeColor="text1"/>
                <w:sz w:val="20"/>
                <w:szCs w:val="20"/>
                <w:lang w:eastAsia="sk-SK"/>
              </w:rPr>
              <w:t> 20</w:t>
            </w:r>
          </w:p>
        </w:tc>
      </w:tr>
      <w:tr w:rsidR="00F775E4" w:rsidRPr="00F775E4" w14:paraId="5A3F609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891873"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7BA396"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sz w:val="20"/>
                <w:szCs w:val="20"/>
                <w:lang w:eastAsia="sk-SK"/>
              </w:rPr>
              <w:t>Počet administratívnych projektov spolu za rok</w:t>
            </w:r>
          </w:p>
        </w:tc>
      </w:tr>
      <w:tr w:rsidR="00F775E4" w:rsidRPr="00F775E4" w14:paraId="3031DB8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6A9744"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39EDEF"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69C8AF"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b/>
                <w:bCs/>
                <w:sz w:val="20"/>
                <w:szCs w:val="20"/>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44B9C4"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sz w:val="20"/>
                <w:szCs w:val="20"/>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976607" w14:textId="77777777" w:rsidR="00F775E4" w:rsidRPr="00F775E4" w:rsidRDefault="00F775E4" w:rsidP="00F775E4">
            <w:pPr>
              <w:spacing w:after="0" w:line="240" w:lineRule="auto"/>
              <w:jc w:val="center"/>
              <w:rPr>
                <w:rFonts w:eastAsia="Times New Roman" w:cstheme="minorHAnsi"/>
                <w:sz w:val="20"/>
                <w:szCs w:val="20"/>
                <w:lang w:eastAsia="sk-SK"/>
              </w:rPr>
            </w:pPr>
            <w:r w:rsidRPr="00F775E4">
              <w:rPr>
                <w:rFonts w:eastAsia="Times New Roman" w:cstheme="minorHAnsi"/>
                <w:sz w:val="20"/>
                <w:szCs w:val="20"/>
                <w:lang w:eastAsia="sk-SK"/>
              </w:rPr>
              <w:t>2027</w:t>
            </w:r>
          </w:p>
        </w:tc>
      </w:tr>
      <w:tr w:rsidR="00F775E4" w:rsidRPr="00F775E4" w14:paraId="6744528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BED037" w14:textId="77777777" w:rsidR="00F775E4" w:rsidRPr="00F775E4" w:rsidRDefault="00F775E4" w:rsidP="00F775E4">
            <w:pPr>
              <w:spacing w:after="0" w:line="240" w:lineRule="auto"/>
              <w:rPr>
                <w:rFonts w:eastAsia="Times New Roman" w:cstheme="minorHAnsi"/>
                <w:sz w:val="20"/>
                <w:szCs w:val="20"/>
                <w:lang w:eastAsia="sk-SK"/>
              </w:rPr>
            </w:pPr>
            <w:r w:rsidRPr="00F775E4">
              <w:rPr>
                <w:rFonts w:eastAsia="Times New Roman" w:cstheme="minorHAnsi"/>
                <w:b/>
                <w:bCs/>
                <w:sz w:val="20"/>
                <w:szCs w:val="20"/>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46741E" w14:textId="77777777" w:rsidR="00F775E4" w:rsidRPr="00F775E4" w:rsidRDefault="00F775E4" w:rsidP="00F775E4">
            <w:pPr>
              <w:spacing w:after="0" w:line="240" w:lineRule="auto"/>
              <w:jc w:val="center"/>
              <w:rPr>
                <w:rFonts w:eastAsia="Times New Roman" w:cstheme="minorHAnsi"/>
                <w:color w:val="FF0000"/>
                <w:sz w:val="20"/>
                <w:szCs w:val="20"/>
                <w:lang w:eastAsia="sk-SK"/>
              </w:rPr>
            </w:pPr>
            <w:r w:rsidRPr="00F775E4">
              <w:rPr>
                <w:rFonts w:eastAsia="Times New Roman" w:cstheme="minorHAnsi"/>
                <w:color w:val="FF0000"/>
                <w:sz w:val="20"/>
                <w:szCs w:val="20"/>
                <w:lang w:eastAsia="sk-SK"/>
              </w:rPr>
              <w:t> </w:t>
            </w:r>
            <w:r w:rsidRPr="00F775E4">
              <w:rPr>
                <w:rFonts w:eastAsia="Times New Roman" w:cstheme="minorHAnsi"/>
                <w:color w:val="000000" w:themeColor="text1"/>
                <w:sz w:val="20"/>
                <w:szCs w:val="20"/>
                <w:lang w:eastAsia="sk-SK"/>
              </w:rPr>
              <w:t>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E18E33" w14:textId="77777777" w:rsidR="00F775E4" w:rsidRPr="00F775E4" w:rsidRDefault="00F775E4" w:rsidP="00F775E4">
            <w:pPr>
              <w:spacing w:after="0" w:line="240" w:lineRule="auto"/>
              <w:jc w:val="center"/>
              <w:rPr>
                <w:rFonts w:eastAsia="Times New Roman" w:cstheme="minorHAnsi"/>
                <w:color w:val="FF0000"/>
                <w:sz w:val="20"/>
                <w:szCs w:val="20"/>
                <w:lang w:eastAsia="sk-SK"/>
              </w:rPr>
            </w:pPr>
            <w:r w:rsidRPr="00F775E4">
              <w:rPr>
                <w:rFonts w:eastAsia="Times New Roman" w:cstheme="minorHAnsi"/>
                <w:b/>
                <w:bCs/>
                <w:color w:val="000000" w:themeColor="text1"/>
                <w:sz w:val="20"/>
                <w:szCs w:val="20"/>
                <w:lang w:eastAsia="sk-SK"/>
              </w:rPr>
              <w:t> 55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18F232" w14:textId="77777777" w:rsidR="00F775E4" w:rsidRPr="00F775E4" w:rsidRDefault="00F775E4" w:rsidP="00F775E4">
            <w:pPr>
              <w:spacing w:after="0" w:line="240" w:lineRule="auto"/>
              <w:jc w:val="center"/>
              <w:rPr>
                <w:rFonts w:eastAsia="Times New Roman" w:cstheme="minorHAnsi"/>
                <w:color w:val="000000" w:themeColor="text1"/>
                <w:sz w:val="20"/>
                <w:szCs w:val="20"/>
                <w:lang w:eastAsia="sk-SK"/>
              </w:rPr>
            </w:pPr>
            <w:r w:rsidRPr="00F775E4">
              <w:rPr>
                <w:rFonts w:eastAsia="Times New Roman" w:cstheme="minorHAnsi"/>
                <w:color w:val="000000" w:themeColor="text1"/>
                <w:sz w:val="20"/>
                <w:szCs w:val="20"/>
                <w:lang w:eastAsia="sk-SK"/>
              </w:rPr>
              <w:t>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1066CB" w14:textId="77777777" w:rsidR="00F775E4" w:rsidRPr="00F775E4" w:rsidRDefault="00F775E4" w:rsidP="00F775E4">
            <w:pPr>
              <w:spacing w:after="0" w:line="240" w:lineRule="auto"/>
              <w:jc w:val="center"/>
              <w:rPr>
                <w:rFonts w:eastAsia="Times New Roman" w:cstheme="minorHAnsi"/>
                <w:color w:val="000000" w:themeColor="text1"/>
                <w:sz w:val="20"/>
                <w:szCs w:val="20"/>
                <w:lang w:eastAsia="sk-SK"/>
              </w:rPr>
            </w:pPr>
            <w:r w:rsidRPr="00F775E4">
              <w:rPr>
                <w:rFonts w:eastAsia="Times New Roman" w:cstheme="minorHAnsi"/>
                <w:color w:val="000000" w:themeColor="text1"/>
                <w:sz w:val="20"/>
                <w:szCs w:val="20"/>
                <w:lang w:eastAsia="sk-SK"/>
              </w:rPr>
              <w:t> 30</w:t>
            </w:r>
          </w:p>
        </w:tc>
      </w:tr>
    </w:tbl>
    <w:p w14:paraId="431F34FA" w14:textId="77777777" w:rsidR="00F775E4" w:rsidRPr="00F775E4" w:rsidRDefault="00F775E4" w:rsidP="00F775E4">
      <w:pPr>
        <w:spacing w:after="0" w:line="240" w:lineRule="auto"/>
        <w:jc w:val="both"/>
        <w:rPr>
          <w:rFonts w:eastAsiaTheme="minorEastAsia" w:cstheme="minorHAnsi"/>
          <w:b/>
          <w:bCs/>
          <w:sz w:val="24"/>
          <w:szCs w:val="24"/>
          <w:lang w:eastAsia="sk-SK"/>
        </w:rPr>
      </w:pPr>
    </w:p>
    <w:p w14:paraId="1F40212E" w14:textId="77777777" w:rsidR="00F775E4" w:rsidRPr="00F775E4" w:rsidRDefault="00F775E4" w:rsidP="00F775E4">
      <w:pPr>
        <w:spacing w:after="0" w:line="240" w:lineRule="auto"/>
        <w:jc w:val="both"/>
        <w:rPr>
          <w:rFonts w:eastAsiaTheme="minorEastAsia" w:cstheme="minorHAnsi"/>
          <w:sz w:val="24"/>
          <w:szCs w:val="24"/>
          <w:lang w:eastAsia="sk-SK"/>
        </w:rPr>
      </w:pPr>
      <w:r w:rsidRPr="00F775E4">
        <w:rPr>
          <w:rFonts w:eastAsiaTheme="minorEastAsia" w:cstheme="minorHAnsi"/>
          <w:b/>
          <w:bCs/>
          <w:sz w:val="24"/>
          <w:szCs w:val="24"/>
          <w:lang w:eastAsia="sk-SK"/>
        </w:rPr>
        <w:t xml:space="preserve">Komentár: </w:t>
      </w:r>
      <w:r w:rsidRPr="00F775E4">
        <w:rPr>
          <w:rFonts w:eastAsiaTheme="minorEastAsia" w:cstheme="minorHAnsi"/>
          <w:sz w:val="24"/>
          <w:szCs w:val="24"/>
          <w:lang w:eastAsia="sk-SK"/>
        </w:rPr>
        <w:t xml:space="preserve">V rokoch 2025 až 2027 Odbor stratégie, územného rozvoja a riadenia projektov plánuje realizovať 55 projektov, financovaných z externých zdrojov prioritne z európskych štrukturálnych a investičných fondov EÚ v rámci Programového obdobia 2021-2027. </w:t>
      </w:r>
    </w:p>
    <w:p w14:paraId="7A45AAB0" w14:textId="77777777" w:rsidR="00F775E4" w:rsidRPr="00F775E4" w:rsidRDefault="00F775E4" w:rsidP="00F775E4">
      <w:pPr>
        <w:autoSpaceDE w:val="0"/>
        <w:autoSpaceDN w:val="0"/>
        <w:adjustRightInd w:val="0"/>
        <w:spacing w:after="0" w:line="240" w:lineRule="auto"/>
        <w:jc w:val="both"/>
        <w:rPr>
          <w:rFonts w:eastAsiaTheme="minorEastAsia" w:cstheme="minorHAnsi"/>
          <w:sz w:val="24"/>
          <w:szCs w:val="24"/>
          <w:lang w:eastAsia="sk-SK"/>
        </w:rPr>
      </w:pPr>
    </w:p>
    <w:p w14:paraId="5DB21EFE" w14:textId="77777777" w:rsidR="00F775E4" w:rsidRPr="00F775E4" w:rsidRDefault="00F775E4" w:rsidP="00F775E4">
      <w:pPr>
        <w:autoSpaceDE w:val="0"/>
        <w:autoSpaceDN w:val="0"/>
        <w:adjustRightInd w:val="0"/>
        <w:spacing w:after="0" w:line="240" w:lineRule="auto"/>
        <w:jc w:val="both"/>
        <w:rPr>
          <w:rFonts w:eastAsiaTheme="minorEastAsia" w:cstheme="minorHAnsi"/>
          <w:sz w:val="24"/>
          <w:szCs w:val="24"/>
          <w:lang w:eastAsia="sk-SK"/>
        </w:rPr>
      </w:pPr>
      <w:r w:rsidRPr="00F775E4">
        <w:rPr>
          <w:rFonts w:eastAsiaTheme="minorEastAsia" w:cstheme="minorHAnsi"/>
          <w:sz w:val="24"/>
          <w:szCs w:val="24"/>
          <w:lang w:eastAsia="sk-SK"/>
        </w:rPr>
        <w:t xml:space="preserve">Z pohľadu štruktúry výdavkov dominujú kapitálové výdavky, ktoré budú vynaložené na financovanie projektových dokumentácií, na realizáciu stavebných prác v rámci investičných projektov. Bežné výdavky budú vynaložené na financovanie mzdových výdavkov, administratívnych výdavkov, cestovných výdavkov, propagáciu a marketing, obstaranie štúdií, expertíz, analýz, stratégií, vybavenia a rôznych podporných aktivít v projektoch.   </w:t>
      </w:r>
    </w:p>
    <w:p w14:paraId="155BD642" w14:textId="77777777" w:rsidR="00F775E4" w:rsidRPr="00F775E4" w:rsidRDefault="00F775E4" w:rsidP="00F775E4">
      <w:pPr>
        <w:autoSpaceDE w:val="0"/>
        <w:autoSpaceDN w:val="0"/>
        <w:adjustRightInd w:val="0"/>
        <w:spacing w:after="0" w:line="240" w:lineRule="auto"/>
        <w:jc w:val="both"/>
        <w:rPr>
          <w:rFonts w:eastAsiaTheme="minorEastAsia" w:cstheme="minorHAnsi"/>
          <w:sz w:val="24"/>
          <w:szCs w:val="24"/>
          <w:lang w:eastAsia="sk-SK"/>
        </w:rPr>
      </w:pPr>
    </w:p>
    <w:p w14:paraId="7F376F99" w14:textId="77777777" w:rsidR="00F775E4" w:rsidRPr="00F775E4" w:rsidRDefault="00F775E4" w:rsidP="00F775E4">
      <w:pPr>
        <w:autoSpaceDE w:val="0"/>
        <w:autoSpaceDN w:val="0"/>
        <w:adjustRightInd w:val="0"/>
        <w:spacing w:after="0" w:line="240" w:lineRule="auto"/>
        <w:jc w:val="both"/>
        <w:rPr>
          <w:rFonts w:eastAsiaTheme="minorEastAsia" w:cstheme="minorHAnsi"/>
          <w:sz w:val="24"/>
          <w:szCs w:val="24"/>
          <w:lang w:eastAsia="sk-SK"/>
        </w:rPr>
      </w:pPr>
      <w:r w:rsidRPr="00F775E4">
        <w:rPr>
          <w:rFonts w:eastAsiaTheme="minorEastAsia" w:cstheme="minorHAnsi"/>
          <w:sz w:val="24"/>
          <w:szCs w:val="24"/>
          <w:lang w:eastAsia="sk-SK"/>
        </w:rPr>
        <w:t xml:space="preserve">V rámci kapitoly príjmov je časť príjmov plánovaná na </w:t>
      </w:r>
      <w:proofErr w:type="spellStart"/>
      <w:r w:rsidRPr="00F775E4">
        <w:rPr>
          <w:rFonts w:eastAsiaTheme="minorEastAsia" w:cstheme="minorHAnsi"/>
          <w:sz w:val="24"/>
          <w:szCs w:val="24"/>
          <w:lang w:eastAsia="sk-SK"/>
        </w:rPr>
        <w:t>predfinancovanie</w:t>
      </w:r>
      <w:proofErr w:type="spellEnd"/>
      <w:r w:rsidRPr="00F775E4">
        <w:rPr>
          <w:rFonts w:eastAsiaTheme="minorEastAsia" w:cstheme="minorHAnsi"/>
          <w:sz w:val="24"/>
          <w:szCs w:val="24"/>
          <w:lang w:eastAsia="sk-SK"/>
        </w:rPr>
        <w:t xml:space="preserve"> projektov cez zálohové platby a samotné </w:t>
      </w:r>
      <w:proofErr w:type="spellStart"/>
      <w:r w:rsidRPr="00F775E4">
        <w:rPr>
          <w:rFonts w:eastAsiaTheme="minorEastAsia" w:cstheme="minorHAnsi"/>
          <w:sz w:val="24"/>
          <w:szCs w:val="24"/>
          <w:lang w:eastAsia="sk-SK"/>
        </w:rPr>
        <w:t>predfinancovanie</w:t>
      </w:r>
      <w:proofErr w:type="spellEnd"/>
      <w:r w:rsidRPr="00F775E4">
        <w:rPr>
          <w:rFonts w:eastAsiaTheme="minorEastAsia" w:cstheme="minorHAnsi"/>
          <w:sz w:val="24"/>
          <w:szCs w:val="24"/>
          <w:lang w:eastAsia="sk-SK"/>
        </w:rPr>
        <w:t xml:space="preserve"> z externých zdrojov. Druhá časť je plánovaná z refundácii výdavkov aktuálneho roka, ostatné príjmy sú plánované z refundácie výdavkov z minulých období najmä predchádzajúcich rokov.  </w:t>
      </w:r>
    </w:p>
    <w:p w14:paraId="0CC147AE" w14:textId="77777777" w:rsidR="00F775E4" w:rsidRPr="00F775E4" w:rsidRDefault="00F775E4" w:rsidP="00F775E4">
      <w:pPr>
        <w:autoSpaceDE w:val="0"/>
        <w:autoSpaceDN w:val="0"/>
        <w:adjustRightInd w:val="0"/>
        <w:spacing w:after="0" w:line="240" w:lineRule="auto"/>
        <w:jc w:val="both"/>
        <w:rPr>
          <w:rFonts w:eastAsiaTheme="minorEastAsia" w:cstheme="minorHAnsi"/>
          <w:sz w:val="24"/>
          <w:szCs w:val="24"/>
          <w:lang w:eastAsia="sk-SK"/>
        </w:rPr>
      </w:pPr>
      <w:r w:rsidRPr="00F775E4">
        <w:rPr>
          <w:rFonts w:eastAsiaTheme="minorEastAsia" w:cstheme="minorHAnsi"/>
          <w:sz w:val="24"/>
          <w:szCs w:val="24"/>
          <w:lang w:eastAsia="sk-SK"/>
        </w:rPr>
        <w:t xml:space="preserve"> </w:t>
      </w:r>
    </w:p>
    <w:p w14:paraId="6DE7A4DE" w14:textId="77777777" w:rsidR="00F775E4" w:rsidRPr="00F775E4" w:rsidRDefault="00F775E4" w:rsidP="00F775E4">
      <w:pPr>
        <w:autoSpaceDE w:val="0"/>
        <w:autoSpaceDN w:val="0"/>
        <w:adjustRightInd w:val="0"/>
        <w:spacing w:after="0" w:line="240" w:lineRule="auto"/>
        <w:jc w:val="both"/>
        <w:rPr>
          <w:rFonts w:eastAsiaTheme="minorEastAsia" w:cstheme="minorHAnsi"/>
          <w:sz w:val="24"/>
          <w:szCs w:val="24"/>
          <w:lang w:eastAsia="sk-SK"/>
        </w:rPr>
      </w:pPr>
      <w:r w:rsidRPr="00F775E4">
        <w:rPr>
          <w:rFonts w:eastAsiaTheme="minorEastAsia" w:cstheme="minorHAnsi"/>
          <w:sz w:val="24"/>
          <w:szCs w:val="24"/>
          <w:lang w:eastAsia="sk-SK"/>
        </w:rPr>
        <w:t xml:space="preserve">Z pohľadu zdroja financovania sa bude BSK uchádzať o financovanie projektov z Programu Slovensko 2021 – 2027, Programu cezhraničnej spolupráce </w:t>
      </w:r>
      <w:proofErr w:type="spellStart"/>
      <w:r w:rsidRPr="00F775E4">
        <w:rPr>
          <w:rFonts w:eastAsiaTheme="minorEastAsia" w:cstheme="minorHAnsi"/>
          <w:sz w:val="24"/>
          <w:szCs w:val="24"/>
          <w:lang w:eastAsia="sk-SK"/>
        </w:rPr>
        <w:t>Interreg</w:t>
      </w:r>
      <w:proofErr w:type="spellEnd"/>
      <w:r w:rsidRPr="00F775E4">
        <w:rPr>
          <w:rFonts w:eastAsiaTheme="minorEastAsia" w:cstheme="minorHAnsi"/>
          <w:sz w:val="24"/>
          <w:szCs w:val="24"/>
          <w:lang w:eastAsia="sk-SK"/>
        </w:rPr>
        <w:t xml:space="preserve"> Slovensko – Rakúsko 2021-2027, Programu spolupráce </w:t>
      </w:r>
      <w:proofErr w:type="spellStart"/>
      <w:r w:rsidRPr="00F775E4">
        <w:rPr>
          <w:rFonts w:eastAsiaTheme="minorEastAsia" w:cstheme="minorHAnsi"/>
          <w:sz w:val="24"/>
          <w:szCs w:val="24"/>
          <w:lang w:eastAsia="sk-SK"/>
        </w:rPr>
        <w:t>Interreg</w:t>
      </w:r>
      <w:proofErr w:type="spellEnd"/>
      <w:r w:rsidRPr="00F775E4">
        <w:rPr>
          <w:rFonts w:eastAsiaTheme="minorEastAsia" w:cstheme="minorHAnsi"/>
          <w:sz w:val="24"/>
          <w:szCs w:val="24"/>
          <w:lang w:eastAsia="sk-SK"/>
        </w:rPr>
        <w:t xml:space="preserve"> VI-A Maďarsko – Slovensko 2021 - 2027, Programu LIFE+, Nórskeho finančného mechanizmu, Švajčiarskeho finančného mechanizmu, Fondu na rozvoj športu, dotácií ministerstiev SR a ďalších externých zdrojov.   </w:t>
      </w:r>
    </w:p>
    <w:p w14:paraId="6AACBD80" w14:textId="77777777" w:rsidR="00F775E4" w:rsidRPr="00F775E4" w:rsidRDefault="00F775E4" w:rsidP="00F775E4">
      <w:pPr>
        <w:autoSpaceDE w:val="0"/>
        <w:autoSpaceDN w:val="0"/>
        <w:adjustRightInd w:val="0"/>
        <w:spacing w:after="0" w:line="240" w:lineRule="auto"/>
        <w:jc w:val="both"/>
        <w:rPr>
          <w:rFonts w:eastAsiaTheme="minorEastAsia" w:cstheme="minorHAnsi"/>
          <w:sz w:val="24"/>
          <w:szCs w:val="24"/>
          <w:lang w:eastAsia="sk-SK"/>
        </w:rPr>
      </w:pPr>
    </w:p>
    <w:p w14:paraId="7FEEC438" w14:textId="77777777" w:rsidR="00F775E4" w:rsidRPr="00F775E4" w:rsidRDefault="00F775E4" w:rsidP="00F775E4">
      <w:pPr>
        <w:autoSpaceDE w:val="0"/>
        <w:autoSpaceDN w:val="0"/>
        <w:adjustRightInd w:val="0"/>
        <w:spacing w:after="0" w:line="240" w:lineRule="auto"/>
        <w:jc w:val="both"/>
        <w:rPr>
          <w:rFonts w:eastAsiaTheme="minorEastAsia" w:cstheme="minorHAnsi"/>
          <w:sz w:val="24"/>
          <w:szCs w:val="24"/>
          <w:lang w:eastAsia="sk-SK"/>
        </w:rPr>
      </w:pPr>
      <w:r w:rsidRPr="00F775E4">
        <w:rPr>
          <w:rFonts w:eastAsiaTheme="minorEastAsia" w:cstheme="minorHAnsi"/>
          <w:sz w:val="24"/>
          <w:szCs w:val="24"/>
          <w:lang w:eastAsia="sk-SK"/>
        </w:rPr>
        <w:lastRenderedPageBreak/>
        <w:t xml:space="preserve">Pri realizácii projektov sa budú uplatňovať všetky spôsoby financovania, ako sú zálohové platby, </w:t>
      </w:r>
      <w:proofErr w:type="spellStart"/>
      <w:r w:rsidRPr="00F775E4">
        <w:rPr>
          <w:rFonts w:eastAsiaTheme="minorEastAsia" w:cstheme="minorHAnsi"/>
          <w:sz w:val="24"/>
          <w:szCs w:val="24"/>
          <w:lang w:eastAsia="sk-SK"/>
        </w:rPr>
        <w:t>predfinancovanie</w:t>
      </w:r>
      <w:proofErr w:type="spellEnd"/>
      <w:r w:rsidRPr="00F775E4">
        <w:rPr>
          <w:rFonts w:eastAsiaTheme="minorEastAsia" w:cstheme="minorHAnsi"/>
          <w:sz w:val="24"/>
          <w:szCs w:val="24"/>
          <w:lang w:eastAsia="sk-SK"/>
        </w:rPr>
        <w:t xml:space="preserve"> a refundácia výdavkov. Všetky plánované projekty sú zaradené do Akčného plánu BSK. </w:t>
      </w:r>
    </w:p>
    <w:p w14:paraId="05EA87B1" w14:textId="77777777" w:rsidR="00F775E4" w:rsidRPr="00F775E4" w:rsidRDefault="00F775E4" w:rsidP="00F775E4">
      <w:pPr>
        <w:spacing w:after="0" w:line="240" w:lineRule="auto"/>
        <w:rPr>
          <w:rFonts w:eastAsiaTheme="minorEastAsia" w:cstheme="minorHAnsi"/>
          <w:b/>
          <w:bCs/>
          <w:sz w:val="24"/>
          <w:szCs w:val="24"/>
          <w:lang w:eastAsia="sk-SK"/>
        </w:rPr>
      </w:pPr>
    </w:p>
    <w:p w14:paraId="116441C8" w14:textId="77777777" w:rsidR="00F775E4" w:rsidRPr="00F775E4" w:rsidRDefault="00F775E4" w:rsidP="00F775E4">
      <w:pPr>
        <w:spacing w:after="0" w:line="240" w:lineRule="auto"/>
        <w:rPr>
          <w:rFonts w:eastAsiaTheme="minorEastAsia" w:cstheme="minorHAnsi"/>
          <w:b/>
          <w:bCs/>
          <w:sz w:val="24"/>
          <w:szCs w:val="24"/>
          <w:lang w:eastAsia="sk-SK"/>
        </w:rPr>
      </w:pPr>
      <w:r w:rsidRPr="00F775E4">
        <w:rPr>
          <w:rFonts w:eastAsiaTheme="minorEastAsia" w:cstheme="minorHAnsi"/>
          <w:b/>
          <w:bCs/>
          <w:sz w:val="24"/>
          <w:szCs w:val="24"/>
          <w:lang w:eastAsia="sk-SK"/>
        </w:rPr>
        <w:t xml:space="preserve">Zoznam administrovaných projektov:  </w:t>
      </w:r>
    </w:p>
    <w:p w14:paraId="4E3C5D23" w14:textId="77777777" w:rsidR="00F775E4" w:rsidRPr="00F775E4" w:rsidRDefault="00F775E4" w:rsidP="00F775E4">
      <w:pPr>
        <w:spacing w:after="0" w:line="240" w:lineRule="auto"/>
        <w:rPr>
          <w:rFonts w:eastAsiaTheme="minorEastAsia" w:cstheme="minorHAnsi"/>
          <w:b/>
          <w:bCs/>
          <w:sz w:val="24"/>
          <w:szCs w:val="24"/>
          <w:lang w:eastAsia="sk-SK"/>
        </w:rPr>
      </w:pPr>
      <w:r w:rsidRPr="00F775E4">
        <w:rPr>
          <w:rFonts w:eastAsiaTheme="minorEastAsia" w:cstheme="minorHAnsi"/>
          <w:b/>
          <w:bCs/>
          <w:sz w:val="24"/>
          <w:szCs w:val="24"/>
          <w:lang w:eastAsia="sk-SK"/>
        </w:rPr>
        <w:t>Energetika - stredné školstvo</w:t>
      </w:r>
    </w:p>
    <w:p w14:paraId="7CCDEC7D"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        Energetická obnova Gymnázium Ladislava Novomeského</w:t>
      </w:r>
    </w:p>
    <w:p w14:paraId="02F68361"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        Energetická obnova Gymnázium Ivana Horvátha SO 01</w:t>
      </w:r>
    </w:p>
    <w:p w14:paraId="461ADF67"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        Energetická obnova Gymnázium Ivana Horvátha SO 02</w:t>
      </w:r>
    </w:p>
    <w:p w14:paraId="0FF950FC"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        Energetická obnova Spojená škola na Tokajíckej ulici SO 01</w:t>
      </w:r>
    </w:p>
    <w:p w14:paraId="6AA48080"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        Energetická obnova Spojená škola na Tokajíckej ulici SO 02</w:t>
      </w:r>
    </w:p>
    <w:p w14:paraId="43E2AE1A"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        Energetická obnova Spojená škola na Tokajíckej ulici SO 03</w:t>
      </w:r>
    </w:p>
    <w:p w14:paraId="6A3E0218"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        Energetická obnova Spojená škola na Tokajíckej ulici SO 04</w:t>
      </w:r>
    </w:p>
    <w:p w14:paraId="67E34D13"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        Energetická obnova Spojená škola na Tokajíckej ulici SO 05</w:t>
      </w:r>
    </w:p>
    <w:p w14:paraId="1610C37F"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        Energetická obnova SPŠ stavebná a geodetická na Drieňovej ulici</w:t>
      </w:r>
    </w:p>
    <w:p w14:paraId="1C28A0B4"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Energetická obnova SOŠ polygrafická na Račianskej ulici</w:t>
      </w:r>
    </w:p>
    <w:p w14:paraId="5DA9CA64"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Energetická obnova Gymnázium Alberta Einsteina na  Einsteinovej ulici</w:t>
      </w:r>
    </w:p>
    <w:p w14:paraId="55C65696"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Energetická obnova Hotelová akadémia </w:t>
      </w:r>
      <w:proofErr w:type="spellStart"/>
      <w:r w:rsidRPr="00F775E4">
        <w:rPr>
          <w:rFonts w:cstheme="minorHAnsi"/>
          <w:sz w:val="24"/>
          <w:szCs w:val="24"/>
        </w:rPr>
        <w:t>Mikovíniho</w:t>
      </w:r>
      <w:proofErr w:type="spellEnd"/>
      <w:r w:rsidRPr="00F775E4">
        <w:rPr>
          <w:rFonts w:cstheme="minorHAnsi"/>
          <w:sz w:val="24"/>
          <w:szCs w:val="24"/>
        </w:rPr>
        <w:t xml:space="preserve"> 1</w:t>
      </w:r>
    </w:p>
    <w:p w14:paraId="34F4A6CA"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Energetická obnova Obchodná Akadémia na Račianskej ulici</w:t>
      </w:r>
    </w:p>
    <w:p w14:paraId="28AF553F" w14:textId="77777777" w:rsidR="00F775E4" w:rsidRPr="00F775E4" w:rsidRDefault="00F775E4" w:rsidP="00F775E4">
      <w:pPr>
        <w:spacing w:after="0" w:line="240" w:lineRule="auto"/>
        <w:rPr>
          <w:rFonts w:eastAsiaTheme="minorEastAsia" w:cstheme="minorHAnsi"/>
          <w:b/>
          <w:bCs/>
          <w:sz w:val="24"/>
          <w:szCs w:val="24"/>
          <w:lang w:eastAsia="sk-SK"/>
        </w:rPr>
      </w:pPr>
    </w:p>
    <w:p w14:paraId="69661EC3" w14:textId="77777777" w:rsidR="00F775E4" w:rsidRPr="00F775E4" w:rsidRDefault="00F775E4" w:rsidP="00F775E4">
      <w:pPr>
        <w:spacing w:after="0" w:line="240" w:lineRule="auto"/>
        <w:rPr>
          <w:rFonts w:eastAsiaTheme="minorEastAsia" w:cstheme="minorHAnsi"/>
          <w:b/>
          <w:bCs/>
          <w:sz w:val="24"/>
          <w:szCs w:val="24"/>
          <w:lang w:eastAsia="sk-SK"/>
        </w:rPr>
      </w:pPr>
      <w:r w:rsidRPr="00F775E4">
        <w:rPr>
          <w:rFonts w:eastAsiaTheme="minorEastAsia" w:cstheme="minorHAnsi"/>
          <w:b/>
          <w:bCs/>
          <w:sz w:val="24"/>
          <w:szCs w:val="24"/>
          <w:lang w:eastAsia="sk-SK"/>
        </w:rPr>
        <w:t>Energetika – sociálne služby</w:t>
      </w:r>
    </w:p>
    <w:p w14:paraId="0DB7069E"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Energetická obnova CSS </w:t>
      </w:r>
      <w:proofErr w:type="spellStart"/>
      <w:r w:rsidRPr="00F775E4">
        <w:rPr>
          <w:rFonts w:cstheme="minorHAnsi"/>
          <w:sz w:val="24"/>
          <w:szCs w:val="24"/>
        </w:rPr>
        <w:t>Matulaya</w:t>
      </w:r>
      <w:proofErr w:type="spellEnd"/>
      <w:r w:rsidRPr="00F775E4">
        <w:rPr>
          <w:rFonts w:cstheme="minorHAnsi"/>
          <w:sz w:val="24"/>
          <w:szCs w:val="24"/>
        </w:rPr>
        <w:t>, Lipského 19</w:t>
      </w:r>
    </w:p>
    <w:p w14:paraId="4185A4D4"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Energetická obnova CSS </w:t>
      </w:r>
      <w:proofErr w:type="spellStart"/>
      <w:r w:rsidRPr="00F775E4">
        <w:rPr>
          <w:rFonts w:cstheme="minorHAnsi"/>
          <w:sz w:val="24"/>
          <w:szCs w:val="24"/>
        </w:rPr>
        <w:t>Matulaya</w:t>
      </w:r>
      <w:proofErr w:type="spellEnd"/>
      <w:r w:rsidRPr="00F775E4">
        <w:rPr>
          <w:rFonts w:cstheme="minorHAnsi"/>
          <w:sz w:val="24"/>
          <w:szCs w:val="24"/>
        </w:rPr>
        <w:t>, Lipského 13</w:t>
      </w:r>
    </w:p>
    <w:p w14:paraId="3F113328"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Energetická obnova CSS </w:t>
      </w:r>
      <w:proofErr w:type="spellStart"/>
      <w:r w:rsidRPr="00F775E4">
        <w:rPr>
          <w:rFonts w:cstheme="minorHAnsi"/>
          <w:sz w:val="24"/>
          <w:szCs w:val="24"/>
        </w:rPr>
        <w:t>Matulaya</w:t>
      </w:r>
      <w:proofErr w:type="spellEnd"/>
      <w:r w:rsidRPr="00F775E4">
        <w:rPr>
          <w:rFonts w:cstheme="minorHAnsi"/>
          <w:sz w:val="24"/>
          <w:szCs w:val="24"/>
        </w:rPr>
        <w:t>, Ľuda Zúbka 6</w:t>
      </w:r>
    </w:p>
    <w:p w14:paraId="11E44CB7"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Energetická obnova DSS Báhoň</w:t>
      </w:r>
    </w:p>
    <w:p w14:paraId="7E5FD162"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Energetická obnova CSS Pezinok</w:t>
      </w:r>
    </w:p>
    <w:p w14:paraId="3CF092B0"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Energetická obnova DSS Kampino</w:t>
      </w:r>
    </w:p>
    <w:p w14:paraId="74384DF7" w14:textId="77777777" w:rsidR="00F775E4" w:rsidRPr="00F775E4" w:rsidRDefault="00F775E4" w:rsidP="00F775E4">
      <w:pPr>
        <w:spacing w:after="0" w:line="240" w:lineRule="auto"/>
        <w:ind w:left="284"/>
        <w:contextualSpacing/>
        <w:rPr>
          <w:rFonts w:cstheme="minorHAnsi"/>
          <w:sz w:val="24"/>
          <w:szCs w:val="24"/>
        </w:rPr>
      </w:pPr>
    </w:p>
    <w:p w14:paraId="2F13E961" w14:textId="77777777" w:rsidR="00F775E4" w:rsidRPr="00F775E4" w:rsidRDefault="00F775E4" w:rsidP="00F775E4">
      <w:pPr>
        <w:spacing w:after="0" w:line="240" w:lineRule="auto"/>
        <w:rPr>
          <w:rFonts w:eastAsiaTheme="minorEastAsia" w:cstheme="minorHAnsi"/>
          <w:b/>
          <w:bCs/>
          <w:sz w:val="24"/>
          <w:szCs w:val="24"/>
          <w:lang w:eastAsia="sk-SK"/>
        </w:rPr>
      </w:pPr>
      <w:r w:rsidRPr="00F775E4">
        <w:rPr>
          <w:rFonts w:eastAsiaTheme="minorEastAsia" w:cstheme="minorHAnsi"/>
          <w:b/>
          <w:bCs/>
          <w:sz w:val="24"/>
          <w:szCs w:val="24"/>
          <w:lang w:eastAsia="sk-SK"/>
        </w:rPr>
        <w:t>Energetika – nízkoenergetické zóny</w:t>
      </w:r>
    </w:p>
    <w:p w14:paraId="29ECF067"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Nízkoenergetická zóna Pankúchova v Petržalke</w:t>
      </w:r>
    </w:p>
    <w:p w14:paraId="01CF61CF"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Nadstavba </w:t>
      </w:r>
      <w:proofErr w:type="spellStart"/>
      <w:r w:rsidRPr="00F775E4">
        <w:rPr>
          <w:rFonts w:cstheme="minorHAnsi"/>
          <w:sz w:val="24"/>
          <w:szCs w:val="24"/>
        </w:rPr>
        <w:t>Pankúchová</w:t>
      </w:r>
      <w:proofErr w:type="spellEnd"/>
      <w:r w:rsidRPr="00F775E4">
        <w:rPr>
          <w:rFonts w:cstheme="minorHAnsi"/>
          <w:sz w:val="24"/>
          <w:szCs w:val="24"/>
        </w:rPr>
        <w:t xml:space="preserve"> v Petržalke</w:t>
      </w:r>
    </w:p>
    <w:p w14:paraId="0BE7F322"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Nízkoenergetická zóna Ružová dolina v Ružinove</w:t>
      </w:r>
    </w:p>
    <w:p w14:paraId="5C6703EB" w14:textId="77777777" w:rsidR="00F775E4" w:rsidRPr="00F775E4" w:rsidRDefault="00F775E4" w:rsidP="00F775E4">
      <w:pPr>
        <w:spacing w:after="0" w:line="240" w:lineRule="auto"/>
        <w:rPr>
          <w:rFonts w:eastAsiaTheme="minorEastAsia" w:cstheme="minorHAnsi"/>
          <w:sz w:val="24"/>
          <w:szCs w:val="24"/>
          <w:lang w:eastAsia="sk-SK"/>
        </w:rPr>
      </w:pPr>
    </w:p>
    <w:p w14:paraId="770E316A" w14:textId="77777777" w:rsidR="00F775E4" w:rsidRPr="00F775E4" w:rsidRDefault="00F775E4" w:rsidP="00F775E4">
      <w:pPr>
        <w:spacing w:after="0" w:line="240" w:lineRule="auto"/>
        <w:rPr>
          <w:rFonts w:eastAsiaTheme="minorEastAsia" w:cstheme="minorHAnsi"/>
          <w:b/>
          <w:bCs/>
          <w:sz w:val="24"/>
          <w:szCs w:val="24"/>
          <w:lang w:eastAsia="sk-SK"/>
        </w:rPr>
      </w:pPr>
      <w:r w:rsidRPr="00F775E4">
        <w:rPr>
          <w:rFonts w:eastAsiaTheme="minorEastAsia" w:cstheme="minorHAnsi"/>
          <w:b/>
          <w:bCs/>
          <w:sz w:val="24"/>
          <w:szCs w:val="24"/>
          <w:lang w:eastAsia="sk-SK"/>
        </w:rPr>
        <w:t>Cezhraničná spolupráca</w:t>
      </w:r>
    </w:p>
    <w:p w14:paraId="768AA55E"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ParksFit4Future – Revitalizácia parku v Stupave</w:t>
      </w:r>
    </w:p>
    <w:p w14:paraId="3FF6FCB6"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proofErr w:type="spellStart"/>
      <w:r w:rsidRPr="00F775E4">
        <w:rPr>
          <w:rFonts w:cstheme="minorHAnsi"/>
          <w:sz w:val="24"/>
          <w:szCs w:val="24"/>
        </w:rPr>
        <w:t>RegioCap</w:t>
      </w:r>
      <w:proofErr w:type="spellEnd"/>
      <w:r w:rsidRPr="00F775E4">
        <w:rPr>
          <w:rFonts w:cstheme="minorHAnsi"/>
          <w:sz w:val="24"/>
          <w:szCs w:val="24"/>
        </w:rPr>
        <w:t xml:space="preserve"> SK-AT</w:t>
      </w:r>
    </w:p>
    <w:p w14:paraId="0149ABCF"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Danube Bike and </w:t>
      </w:r>
      <w:proofErr w:type="spellStart"/>
      <w:r w:rsidRPr="00F775E4">
        <w:rPr>
          <w:rFonts w:cstheme="minorHAnsi"/>
          <w:sz w:val="24"/>
          <w:szCs w:val="24"/>
        </w:rPr>
        <w:t>Boat</w:t>
      </w:r>
      <w:proofErr w:type="spellEnd"/>
      <w:r w:rsidRPr="00F775E4">
        <w:rPr>
          <w:rFonts w:cstheme="minorHAnsi"/>
          <w:sz w:val="24"/>
          <w:szCs w:val="24"/>
        </w:rPr>
        <w:t xml:space="preserve"> II</w:t>
      </w:r>
    </w:p>
    <w:p w14:paraId="0250E7F0"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GREEN CITIES - Revitalizácia parku v </w:t>
      </w:r>
      <w:proofErr w:type="spellStart"/>
      <w:r w:rsidRPr="00F775E4">
        <w:rPr>
          <w:rFonts w:cstheme="minorHAnsi"/>
          <w:sz w:val="24"/>
          <w:szCs w:val="24"/>
        </w:rPr>
        <w:t>Malinove</w:t>
      </w:r>
      <w:proofErr w:type="spellEnd"/>
    </w:p>
    <w:p w14:paraId="74DE9D74"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Royal </w:t>
      </w:r>
      <w:proofErr w:type="spellStart"/>
      <w:r w:rsidRPr="00F775E4">
        <w:rPr>
          <w:rFonts w:cstheme="minorHAnsi"/>
          <w:sz w:val="24"/>
          <w:szCs w:val="24"/>
        </w:rPr>
        <w:t>Traces</w:t>
      </w:r>
      <w:proofErr w:type="spellEnd"/>
    </w:p>
    <w:p w14:paraId="1B4B6A7B" w14:textId="77777777" w:rsidR="00F775E4" w:rsidRPr="00F775E4" w:rsidRDefault="00F775E4" w:rsidP="00F775E4">
      <w:pPr>
        <w:spacing w:after="0" w:line="240" w:lineRule="auto"/>
        <w:rPr>
          <w:rFonts w:eastAsiaTheme="minorEastAsia" w:cstheme="minorHAnsi"/>
          <w:b/>
          <w:bCs/>
          <w:sz w:val="24"/>
          <w:szCs w:val="24"/>
          <w:lang w:eastAsia="sk-SK"/>
        </w:rPr>
      </w:pPr>
    </w:p>
    <w:p w14:paraId="3740BB3D" w14:textId="77777777" w:rsidR="00F775E4" w:rsidRPr="00F775E4" w:rsidRDefault="00F775E4" w:rsidP="00F775E4">
      <w:pPr>
        <w:spacing w:after="0" w:line="240" w:lineRule="auto"/>
        <w:rPr>
          <w:rFonts w:eastAsiaTheme="minorEastAsia" w:cstheme="minorHAnsi"/>
          <w:b/>
          <w:bCs/>
          <w:sz w:val="24"/>
          <w:szCs w:val="24"/>
          <w:lang w:eastAsia="sk-SK"/>
        </w:rPr>
      </w:pPr>
      <w:r w:rsidRPr="00F775E4">
        <w:rPr>
          <w:rFonts w:eastAsiaTheme="minorEastAsia" w:cstheme="minorHAnsi"/>
          <w:b/>
          <w:bCs/>
          <w:sz w:val="24"/>
          <w:szCs w:val="24"/>
          <w:lang w:eastAsia="sk-SK"/>
        </w:rPr>
        <w:t>Životné prostredie</w:t>
      </w:r>
    </w:p>
    <w:p w14:paraId="495BE2BC"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LIFE IP (OŠ 1010)  – Zlepšenie kvality ovzdušia</w:t>
      </w:r>
    </w:p>
    <w:p w14:paraId="65161C63" w14:textId="77777777" w:rsidR="00F775E4" w:rsidRPr="00F775E4" w:rsidRDefault="00F775E4" w:rsidP="00F775E4">
      <w:pPr>
        <w:spacing w:after="0" w:line="240" w:lineRule="auto"/>
        <w:rPr>
          <w:rFonts w:eastAsiaTheme="minorEastAsia" w:cstheme="minorHAnsi"/>
          <w:sz w:val="24"/>
          <w:szCs w:val="24"/>
          <w:lang w:eastAsia="sk-SK"/>
        </w:rPr>
      </w:pPr>
    </w:p>
    <w:p w14:paraId="1C4BF6DB" w14:textId="77777777" w:rsidR="00F775E4" w:rsidRPr="00F775E4" w:rsidRDefault="00F775E4" w:rsidP="00F775E4">
      <w:pPr>
        <w:spacing w:after="0" w:line="240" w:lineRule="auto"/>
        <w:rPr>
          <w:rFonts w:eastAsiaTheme="minorEastAsia" w:cstheme="minorHAnsi"/>
          <w:b/>
          <w:bCs/>
          <w:sz w:val="24"/>
          <w:szCs w:val="24"/>
          <w:lang w:eastAsia="sk-SK"/>
        </w:rPr>
      </w:pPr>
      <w:r w:rsidRPr="00F775E4">
        <w:rPr>
          <w:rFonts w:eastAsiaTheme="minorEastAsia" w:cstheme="minorHAnsi"/>
          <w:b/>
          <w:bCs/>
          <w:sz w:val="24"/>
          <w:szCs w:val="24"/>
          <w:lang w:eastAsia="sk-SK"/>
        </w:rPr>
        <w:t>Sociálne služby</w:t>
      </w:r>
    </w:p>
    <w:p w14:paraId="2949F0D3"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Autistické centrum; </w:t>
      </w:r>
      <w:proofErr w:type="spellStart"/>
      <w:r w:rsidRPr="00F775E4">
        <w:rPr>
          <w:rFonts w:cstheme="minorHAnsi"/>
          <w:sz w:val="24"/>
          <w:szCs w:val="24"/>
        </w:rPr>
        <w:t>Znievska</w:t>
      </w:r>
      <w:proofErr w:type="spellEnd"/>
      <w:r w:rsidRPr="00F775E4">
        <w:rPr>
          <w:rFonts w:cstheme="minorHAnsi"/>
          <w:sz w:val="24"/>
          <w:szCs w:val="24"/>
        </w:rPr>
        <w:t xml:space="preserve"> 4</w:t>
      </w:r>
    </w:p>
    <w:p w14:paraId="14A88A26"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Špecializované zariadenie Záhorská Bystrica</w:t>
      </w:r>
    </w:p>
    <w:p w14:paraId="20C88FD3" w14:textId="77777777" w:rsidR="00F775E4" w:rsidRPr="00F775E4" w:rsidRDefault="00F775E4" w:rsidP="00F775E4">
      <w:pPr>
        <w:spacing w:after="0" w:line="240" w:lineRule="auto"/>
        <w:rPr>
          <w:rFonts w:eastAsiaTheme="minorEastAsia" w:cstheme="minorHAnsi"/>
          <w:b/>
          <w:bCs/>
          <w:sz w:val="24"/>
          <w:szCs w:val="24"/>
          <w:lang w:eastAsia="sk-SK"/>
        </w:rPr>
      </w:pPr>
    </w:p>
    <w:p w14:paraId="49425816" w14:textId="77777777" w:rsidR="00F775E4" w:rsidRPr="00F775E4" w:rsidRDefault="00F775E4" w:rsidP="00F775E4">
      <w:pPr>
        <w:spacing w:after="0" w:line="240" w:lineRule="auto"/>
        <w:rPr>
          <w:rFonts w:eastAsiaTheme="minorEastAsia" w:cstheme="minorHAnsi"/>
          <w:b/>
          <w:bCs/>
          <w:sz w:val="24"/>
          <w:szCs w:val="24"/>
          <w:lang w:eastAsia="sk-SK"/>
        </w:rPr>
      </w:pPr>
      <w:r w:rsidRPr="00F775E4">
        <w:rPr>
          <w:rFonts w:eastAsiaTheme="minorEastAsia" w:cstheme="minorHAnsi"/>
          <w:b/>
          <w:bCs/>
          <w:sz w:val="24"/>
          <w:szCs w:val="24"/>
          <w:lang w:eastAsia="sk-SK"/>
        </w:rPr>
        <w:t>Stredné školstvo – kampusy</w:t>
      </w:r>
    </w:p>
    <w:p w14:paraId="113A13F2"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Športový Kampus zdravia športu v Petržalke</w:t>
      </w:r>
    </w:p>
    <w:p w14:paraId="7C1BD71E"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Kampus </w:t>
      </w:r>
      <w:proofErr w:type="spellStart"/>
      <w:r w:rsidRPr="00F775E4">
        <w:rPr>
          <w:rFonts w:cstheme="minorHAnsi"/>
          <w:sz w:val="24"/>
          <w:szCs w:val="24"/>
        </w:rPr>
        <w:t>bioenergetiky</w:t>
      </w:r>
      <w:proofErr w:type="spellEnd"/>
      <w:r w:rsidRPr="00F775E4">
        <w:rPr>
          <w:rFonts w:cstheme="minorHAnsi"/>
          <w:sz w:val="24"/>
          <w:szCs w:val="24"/>
        </w:rPr>
        <w:t xml:space="preserve"> v SOŠ Bernolákovo</w:t>
      </w:r>
    </w:p>
    <w:p w14:paraId="5318A08B"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Vinársko-ovocinársky Kampus v Modre</w:t>
      </w:r>
    </w:p>
    <w:p w14:paraId="72D3DE11" w14:textId="77777777" w:rsidR="00F775E4" w:rsidRPr="00F775E4" w:rsidRDefault="00F775E4" w:rsidP="00F775E4">
      <w:pPr>
        <w:spacing w:after="0" w:line="240" w:lineRule="auto"/>
        <w:rPr>
          <w:rFonts w:eastAsiaTheme="minorEastAsia" w:cstheme="minorHAnsi"/>
          <w:b/>
          <w:bCs/>
          <w:sz w:val="24"/>
          <w:szCs w:val="24"/>
          <w:lang w:eastAsia="sk-SK"/>
        </w:rPr>
      </w:pPr>
      <w:r w:rsidRPr="00F775E4">
        <w:rPr>
          <w:rFonts w:eastAsiaTheme="minorEastAsia" w:cstheme="minorHAnsi"/>
          <w:b/>
          <w:bCs/>
          <w:sz w:val="24"/>
          <w:szCs w:val="24"/>
          <w:lang w:eastAsia="sk-SK"/>
        </w:rPr>
        <w:lastRenderedPageBreak/>
        <w:t>Stredné školstvo – COVP</w:t>
      </w:r>
    </w:p>
    <w:p w14:paraId="44FB2FC1"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COVP </w:t>
      </w:r>
      <w:proofErr w:type="spellStart"/>
      <w:r w:rsidRPr="00F775E4">
        <w:rPr>
          <w:rFonts w:cstheme="minorHAnsi"/>
          <w:sz w:val="24"/>
          <w:szCs w:val="24"/>
        </w:rPr>
        <w:t>Mikovíniho</w:t>
      </w:r>
      <w:proofErr w:type="spellEnd"/>
    </w:p>
    <w:p w14:paraId="7363E96F" w14:textId="77777777" w:rsid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COVP </w:t>
      </w:r>
      <w:proofErr w:type="spellStart"/>
      <w:r w:rsidRPr="00F775E4">
        <w:rPr>
          <w:rFonts w:cstheme="minorHAnsi"/>
          <w:sz w:val="24"/>
          <w:szCs w:val="24"/>
        </w:rPr>
        <w:t>Hálova</w:t>
      </w:r>
      <w:proofErr w:type="spellEnd"/>
    </w:p>
    <w:p w14:paraId="40C8E189" w14:textId="77777777" w:rsidR="00794A14" w:rsidRPr="00F775E4" w:rsidRDefault="00794A14" w:rsidP="00794A14">
      <w:pPr>
        <w:spacing w:after="0" w:line="240" w:lineRule="auto"/>
        <w:ind w:left="284"/>
        <w:contextualSpacing/>
        <w:rPr>
          <w:rFonts w:cstheme="minorHAnsi"/>
          <w:sz w:val="24"/>
          <w:szCs w:val="24"/>
        </w:rPr>
      </w:pPr>
    </w:p>
    <w:p w14:paraId="5AFF3DDC" w14:textId="77777777" w:rsidR="00F775E4" w:rsidRPr="00F775E4" w:rsidRDefault="00F775E4" w:rsidP="00F775E4">
      <w:pPr>
        <w:spacing w:after="0" w:line="240" w:lineRule="auto"/>
        <w:rPr>
          <w:rFonts w:eastAsiaTheme="minorEastAsia" w:cstheme="minorHAnsi"/>
          <w:b/>
          <w:bCs/>
          <w:sz w:val="24"/>
          <w:szCs w:val="24"/>
          <w:lang w:eastAsia="sk-SK"/>
        </w:rPr>
      </w:pPr>
      <w:r w:rsidRPr="00F775E4">
        <w:rPr>
          <w:rFonts w:eastAsiaTheme="minorEastAsia" w:cstheme="minorHAnsi"/>
          <w:b/>
          <w:bCs/>
          <w:sz w:val="24"/>
          <w:szCs w:val="24"/>
          <w:lang w:eastAsia="sk-SK"/>
        </w:rPr>
        <w:t>Doprava</w:t>
      </w:r>
    </w:p>
    <w:p w14:paraId="0CF5088D"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Obchvat Malokarpatského regiónu Sv. Jur-PK-Modra-Dubová</w:t>
      </w:r>
    </w:p>
    <w:p w14:paraId="2F55C4B8" w14:textId="77777777" w:rsid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Obchvat  Modry - preložka II/502</w:t>
      </w:r>
    </w:p>
    <w:p w14:paraId="742CE79A" w14:textId="77777777" w:rsidR="00794A14" w:rsidRPr="00F775E4" w:rsidRDefault="00794A14" w:rsidP="00794A14">
      <w:pPr>
        <w:spacing w:after="0" w:line="240" w:lineRule="auto"/>
        <w:ind w:left="284"/>
        <w:contextualSpacing/>
        <w:rPr>
          <w:rFonts w:cstheme="minorHAnsi"/>
          <w:sz w:val="24"/>
          <w:szCs w:val="24"/>
        </w:rPr>
      </w:pPr>
    </w:p>
    <w:p w14:paraId="086882DD" w14:textId="77777777" w:rsidR="00F775E4" w:rsidRPr="00F775E4" w:rsidRDefault="00F775E4" w:rsidP="00F775E4">
      <w:pPr>
        <w:spacing w:after="0" w:line="240" w:lineRule="auto"/>
        <w:rPr>
          <w:rFonts w:eastAsiaTheme="minorEastAsia" w:cstheme="minorHAnsi"/>
          <w:b/>
          <w:bCs/>
          <w:sz w:val="24"/>
          <w:szCs w:val="24"/>
          <w:lang w:eastAsia="sk-SK"/>
        </w:rPr>
      </w:pPr>
      <w:proofErr w:type="spellStart"/>
      <w:r w:rsidRPr="00F775E4">
        <w:rPr>
          <w:rFonts w:eastAsiaTheme="minorEastAsia" w:cstheme="minorHAnsi"/>
          <w:b/>
          <w:bCs/>
          <w:sz w:val="24"/>
          <w:szCs w:val="24"/>
          <w:lang w:eastAsia="sk-SK"/>
        </w:rPr>
        <w:t>Cyklodoprava</w:t>
      </w:r>
      <w:proofErr w:type="spellEnd"/>
    </w:p>
    <w:p w14:paraId="2C711EB8"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Vinohradnícka cyklotrasa I. etapa - Sv. Jur – PK</w:t>
      </w:r>
    </w:p>
    <w:p w14:paraId="0AB448CC"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Vinohradnícka cyklotrasa II. etapa - PK – </w:t>
      </w:r>
      <w:proofErr w:type="spellStart"/>
      <w:r w:rsidRPr="00F775E4">
        <w:rPr>
          <w:rFonts w:cstheme="minorHAnsi"/>
          <w:sz w:val="24"/>
          <w:szCs w:val="24"/>
        </w:rPr>
        <w:t>Dolany</w:t>
      </w:r>
      <w:proofErr w:type="spellEnd"/>
    </w:p>
    <w:p w14:paraId="41596651"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Cyklotrasa Zálesie - Most pri Bratislave (potenciálne Vrakuňa)</w:t>
      </w:r>
    </w:p>
    <w:p w14:paraId="1DB711B6"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Cyklotrasa Sv. Jur - Malý Raj (Slovenský Grob)</w:t>
      </w:r>
    </w:p>
    <w:p w14:paraId="132F3642" w14:textId="77777777" w:rsidR="00F775E4" w:rsidRDefault="00F775E4" w:rsidP="00794A14">
      <w:pPr>
        <w:numPr>
          <w:ilvl w:val="0"/>
          <w:numId w:val="34"/>
        </w:numPr>
        <w:spacing w:after="0" w:line="240" w:lineRule="auto"/>
        <w:ind w:left="284" w:hanging="284"/>
        <w:contextualSpacing/>
        <w:rPr>
          <w:rFonts w:cstheme="minorHAnsi"/>
          <w:sz w:val="24"/>
          <w:szCs w:val="24"/>
        </w:rPr>
      </w:pPr>
      <w:proofErr w:type="spellStart"/>
      <w:r w:rsidRPr="00F775E4">
        <w:rPr>
          <w:rFonts w:cstheme="minorHAnsi"/>
          <w:sz w:val="24"/>
          <w:szCs w:val="24"/>
        </w:rPr>
        <w:t>Cyklolávka</w:t>
      </w:r>
      <w:proofErr w:type="spellEnd"/>
      <w:r w:rsidRPr="00F775E4">
        <w:rPr>
          <w:rFonts w:cstheme="minorHAnsi"/>
          <w:sz w:val="24"/>
          <w:szCs w:val="24"/>
        </w:rPr>
        <w:t xml:space="preserve"> Dúbravka – Lamač</w:t>
      </w:r>
    </w:p>
    <w:p w14:paraId="0703BCCD" w14:textId="77777777" w:rsidR="00794A14" w:rsidRPr="00F775E4" w:rsidRDefault="00794A14" w:rsidP="00794A14">
      <w:pPr>
        <w:spacing w:after="0" w:line="240" w:lineRule="auto"/>
        <w:ind w:left="284"/>
        <w:contextualSpacing/>
        <w:rPr>
          <w:rFonts w:cstheme="minorHAnsi"/>
          <w:sz w:val="24"/>
          <w:szCs w:val="24"/>
        </w:rPr>
      </w:pPr>
    </w:p>
    <w:p w14:paraId="15412BDD" w14:textId="77777777" w:rsidR="00F775E4" w:rsidRPr="00F775E4" w:rsidRDefault="00F775E4" w:rsidP="00F775E4">
      <w:pPr>
        <w:spacing w:after="0" w:line="240" w:lineRule="auto"/>
        <w:rPr>
          <w:rFonts w:eastAsiaTheme="minorEastAsia" w:cstheme="minorHAnsi"/>
          <w:b/>
          <w:bCs/>
          <w:sz w:val="24"/>
          <w:szCs w:val="24"/>
          <w:lang w:eastAsia="sk-SK"/>
        </w:rPr>
      </w:pPr>
      <w:r w:rsidRPr="00F775E4">
        <w:rPr>
          <w:rFonts w:eastAsiaTheme="minorEastAsia" w:cstheme="minorHAnsi"/>
          <w:b/>
          <w:bCs/>
          <w:sz w:val="24"/>
          <w:szCs w:val="24"/>
          <w:lang w:eastAsia="sk-SK"/>
        </w:rPr>
        <w:t>Ostatné</w:t>
      </w:r>
    </w:p>
    <w:p w14:paraId="003C855F"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Implementácia dátového riešenia na Úrade BSK</w:t>
      </w:r>
    </w:p>
    <w:p w14:paraId="2CD536F3"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proofErr w:type="spellStart"/>
      <w:r w:rsidRPr="00F775E4">
        <w:rPr>
          <w:rFonts w:cstheme="minorHAnsi"/>
          <w:sz w:val="24"/>
          <w:szCs w:val="24"/>
        </w:rPr>
        <w:t>Digitwin</w:t>
      </w:r>
      <w:proofErr w:type="spellEnd"/>
      <w:r w:rsidRPr="00F775E4">
        <w:rPr>
          <w:rFonts w:cstheme="minorHAnsi"/>
          <w:sz w:val="24"/>
          <w:szCs w:val="24"/>
        </w:rPr>
        <w:t xml:space="preserve"> - koncept digitálneho dvojčaťa</w:t>
      </w:r>
    </w:p>
    <w:p w14:paraId="0AA9CCEB"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Prevencia neprenosných chorôb</w:t>
      </w:r>
    </w:p>
    <w:p w14:paraId="2F26FD8F"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Sýpka Čunovo</w:t>
      </w:r>
    </w:p>
    <w:p w14:paraId="05DA148B"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Regionálne centrum udržateľnej energetiky</w:t>
      </w:r>
    </w:p>
    <w:p w14:paraId="1A52D7D0"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Realizácia </w:t>
      </w:r>
      <w:proofErr w:type="spellStart"/>
      <w:r w:rsidRPr="00F775E4">
        <w:rPr>
          <w:rFonts w:cstheme="minorHAnsi"/>
          <w:sz w:val="24"/>
          <w:szCs w:val="24"/>
        </w:rPr>
        <w:t>fotovoltaických</w:t>
      </w:r>
      <w:proofErr w:type="spellEnd"/>
      <w:r w:rsidRPr="00F775E4">
        <w:rPr>
          <w:rFonts w:cstheme="minorHAnsi"/>
          <w:sz w:val="24"/>
          <w:szCs w:val="24"/>
        </w:rPr>
        <w:t xml:space="preserve"> panelov na budove Úradu BSK a DSS Rača – Podbrezovská</w:t>
      </w:r>
    </w:p>
    <w:p w14:paraId="772E0CB1"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Rehabilitačné centrum DSS ROSA – Patrónka</w:t>
      </w:r>
    </w:p>
    <w:p w14:paraId="3CA9E31A"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Revitalizácia športoviska Gymnázium Hubeného</w:t>
      </w:r>
    </w:p>
    <w:p w14:paraId="5C7A3F93"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Revitalizácia športoviska Gymnázium Ivana Horvátha</w:t>
      </w:r>
    </w:p>
    <w:p w14:paraId="58E5D027"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Revitalizácia športoviska SPŠ elektrotechnická Zochova</w:t>
      </w:r>
    </w:p>
    <w:p w14:paraId="036F5BA3"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Revitalizácia športoviska Gymnázium Einsteinova</w:t>
      </w:r>
    </w:p>
    <w:p w14:paraId="621B2C2B"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Revitalizácia športoviska Spojená škola, SOŠ podnikania, </w:t>
      </w:r>
      <w:proofErr w:type="spellStart"/>
      <w:r w:rsidRPr="00F775E4">
        <w:rPr>
          <w:rFonts w:cstheme="minorHAnsi"/>
          <w:sz w:val="24"/>
          <w:szCs w:val="24"/>
        </w:rPr>
        <w:t>Myslenická</w:t>
      </w:r>
      <w:proofErr w:type="spellEnd"/>
      <w:r w:rsidRPr="00F775E4">
        <w:rPr>
          <w:rFonts w:cstheme="minorHAnsi"/>
          <w:sz w:val="24"/>
          <w:szCs w:val="24"/>
        </w:rPr>
        <w:t xml:space="preserve"> 1, Pezinok (Komenského)</w:t>
      </w:r>
    </w:p>
    <w:p w14:paraId="477A510D" w14:textId="77777777" w:rsidR="00F775E4" w:rsidRPr="00F775E4" w:rsidRDefault="00F775E4" w:rsidP="00794A14">
      <w:pPr>
        <w:numPr>
          <w:ilvl w:val="0"/>
          <w:numId w:val="34"/>
        </w:numPr>
        <w:spacing w:after="0" w:line="240" w:lineRule="auto"/>
        <w:ind w:left="284" w:hanging="284"/>
        <w:contextualSpacing/>
        <w:rPr>
          <w:rFonts w:cstheme="minorHAnsi"/>
          <w:sz w:val="24"/>
          <w:szCs w:val="24"/>
        </w:rPr>
      </w:pPr>
      <w:r w:rsidRPr="00F775E4">
        <w:rPr>
          <w:rFonts w:cstheme="minorHAnsi"/>
          <w:sz w:val="24"/>
          <w:szCs w:val="24"/>
        </w:rPr>
        <w:t xml:space="preserve">Revitalizácia školského areálu (ihrisko), Gymnázium, </w:t>
      </w:r>
      <w:proofErr w:type="spellStart"/>
      <w:r w:rsidRPr="00F775E4">
        <w:rPr>
          <w:rFonts w:cstheme="minorHAnsi"/>
          <w:sz w:val="24"/>
          <w:szCs w:val="24"/>
        </w:rPr>
        <w:t>Senecka</w:t>
      </w:r>
      <w:proofErr w:type="spellEnd"/>
      <w:r w:rsidRPr="00F775E4">
        <w:rPr>
          <w:rFonts w:cstheme="minorHAnsi"/>
          <w:sz w:val="24"/>
          <w:szCs w:val="24"/>
        </w:rPr>
        <w:t xml:space="preserve"> 2, Pezinok</w:t>
      </w:r>
    </w:p>
    <w:p w14:paraId="3A843AFC" w14:textId="77777777" w:rsidR="00F775E4" w:rsidRPr="00F775E4" w:rsidRDefault="00F775E4" w:rsidP="00F775E4">
      <w:pPr>
        <w:autoSpaceDE w:val="0"/>
        <w:autoSpaceDN w:val="0"/>
        <w:adjustRightInd w:val="0"/>
        <w:spacing w:after="0" w:line="240" w:lineRule="auto"/>
        <w:jc w:val="both"/>
        <w:rPr>
          <w:rFonts w:eastAsiaTheme="minorEastAsia" w:cstheme="minorHAnsi"/>
          <w:sz w:val="24"/>
          <w:szCs w:val="24"/>
          <w:lang w:eastAsia="sk-SK"/>
        </w:rPr>
      </w:pPr>
    </w:p>
    <w:p w14:paraId="7DD7B886" w14:textId="77777777" w:rsidR="00F775E4" w:rsidRPr="00F775E4" w:rsidRDefault="00F775E4" w:rsidP="00F775E4">
      <w:pPr>
        <w:autoSpaceDE w:val="0"/>
        <w:autoSpaceDN w:val="0"/>
        <w:adjustRightInd w:val="0"/>
        <w:spacing w:after="0" w:line="240" w:lineRule="auto"/>
        <w:jc w:val="both"/>
        <w:rPr>
          <w:rFonts w:eastAsiaTheme="minorEastAsia" w:cstheme="minorHAnsi"/>
          <w:sz w:val="24"/>
          <w:szCs w:val="24"/>
          <w:lang w:eastAsia="sk-SK"/>
        </w:rPr>
      </w:pPr>
      <w:r w:rsidRPr="00F775E4">
        <w:rPr>
          <w:rFonts w:eastAsiaTheme="minorEastAsia" w:cstheme="minorHAnsi"/>
          <w:sz w:val="24"/>
          <w:szCs w:val="24"/>
          <w:lang w:eastAsia="sk-SK"/>
        </w:rPr>
        <w:t xml:space="preserve">Súčasťou rozpočtu podprogramu 1.3 sú aj finančné prostriedky vyčlenené na napĺňanie cieľov spojených </w:t>
      </w:r>
      <w:r w:rsidRPr="00F775E4">
        <w:rPr>
          <w:rFonts w:eastAsiaTheme="minorEastAsia" w:cstheme="minorHAnsi"/>
          <w:sz w:val="24"/>
          <w:szCs w:val="24"/>
          <w:lang w:eastAsia="sk-SK"/>
        </w:rPr>
        <w:br/>
        <w:t xml:space="preserve">s územným rozvojom Bratislavského samosprávneho kraja, zabezpečované </w:t>
      </w:r>
      <w:r w:rsidRPr="00F775E4">
        <w:rPr>
          <w:rFonts w:eastAsiaTheme="minorEastAsia" w:cstheme="minorHAnsi"/>
          <w:color w:val="000000" w:themeColor="text1"/>
          <w:sz w:val="24"/>
          <w:szCs w:val="24"/>
          <w:lang w:eastAsia="sk-SK"/>
        </w:rPr>
        <w:t>Inštitútom regionálnej politiky Bratislavského kraja,</w:t>
      </w:r>
      <w:r w:rsidRPr="00F775E4">
        <w:rPr>
          <w:rFonts w:eastAsiaTheme="minorEastAsia" w:cstheme="minorHAnsi"/>
          <w:sz w:val="24"/>
          <w:szCs w:val="24"/>
          <w:lang w:eastAsia="sk-SK"/>
        </w:rPr>
        <w:t xml:space="preserve"> ako aj finančné prostriedky na realizáciu úloh súvisiacich s plnením cieľov Zastúpenia BSK v Bruseli.</w:t>
      </w:r>
    </w:p>
    <w:p w14:paraId="57CEEADC" w14:textId="77777777" w:rsidR="00F775E4" w:rsidRPr="00F775E4" w:rsidRDefault="00F775E4" w:rsidP="00F775E4">
      <w:pPr>
        <w:autoSpaceDE w:val="0"/>
        <w:autoSpaceDN w:val="0"/>
        <w:adjustRightInd w:val="0"/>
        <w:spacing w:after="0" w:line="240" w:lineRule="auto"/>
        <w:jc w:val="both"/>
        <w:rPr>
          <w:rFonts w:eastAsiaTheme="minorEastAsia" w:cstheme="minorHAnsi"/>
          <w:sz w:val="24"/>
          <w:szCs w:val="24"/>
          <w:lang w:eastAsia="sk-SK"/>
        </w:rPr>
      </w:pPr>
    </w:p>
    <w:p w14:paraId="3814CF44" w14:textId="77777777" w:rsidR="00F775E4" w:rsidRPr="00F775E4" w:rsidRDefault="00F775E4" w:rsidP="00F775E4">
      <w:p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 xml:space="preserve">Finančné prostriedky pre </w:t>
      </w:r>
      <w:r w:rsidRPr="00F775E4">
        <w:rPr>
          <w:rFonts w:eastAsiaTheme="minorEastAsia" w:cstheme="minorHAnsi"/>
          <w:b/>
          <w:bCs/>
          <w:color w:val="000000" w:themeColor="text1"/>
          <w:sz w:val="24"/>
          <w:szCs w:val="24"/>
          <w:lang w:eastAsia="sk-SK"/>
        </w:rPr>
        <w:t>Inštitút regionálnej politiky Bratislavského kraja (IRP BK)</w:t>
      </w:r>
      <w:r w:rsidRPr="00F775E4">
        <w:rPr>
          <w:rFonts w:eastAsiaTheme="minorEastAsia" w:cstheme="minorHAnsi"/>
          <w:color w:val="000000" w:themeColor="text1"/>
          <w:sz w:val="24"/>
          <w:szCs w:val="24"/>
          <w:lang w:eastAsia="sk-SK"/>
        </w:rPr>
        <w:t> budú v roku 2025 primárne slúžiť na zabezpečenie: </w:t>
      </w:r>
    </w:p>
    <w:p w14:paraId="11603946" w14:textId="77777777" w:rsidR="00F775E4" w:rsidRPr="00F775E4" w:rsidRDefault="00F775E4" w:rsidP="00794A14">
      <w:pPr>
        <w:numPr>
          <w:ilvl w:val="0"/>
          <w:numId w:val="17"/>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 xml:space="preserve">procesu </w:t>
      </w:r>
      <w:r w:rsidRPr="00F775E4">
        <w:rPr>
          <w:rFonts w:eastAsiaTheme="minorEastAsia" w:cstheme="minorHAnsi"/>
          <w:b/>
          <w:bCs/>
          <w:color w:val="000000" w:themeColor="text1"/>
          <w:sz w:val="24"/>
          <w:szCs w:val="24"/>
          <w:lang w:eastAsia="sk-SK"/>
        </w:rPr>
        <w:t>SEA</w:t>
      </w:r>
      <w:r w:rsidRPr="00F775E4">
        <w:rPr>
          <w:rFonts w:eastAsiaTheme="minorEastAsia" w:cstheme="minorHAnsi"/>
          <w:color w:val="000000" w:themeColor="text1"/>
          <w:sz w:val="24"/>
          <w:szCs w:val="24"/>
          <w:lang w:eastAsia="sk-SK"/>
        </w:rPr>
        <w:t xml:space="preserve"> pri stratégii „</w:t>
      </w:r>
      <w:r w:rsidRPr="00F775E4">
        <w:rPr>
          <w:rFonts w:eastAsiaTheme="minorEastAsia" w:cstheme="minorHAnsi"/>
          <w:b/>
          <w:bCs/>
          <w:color w:val="000000" w:themeColor="text1"/>
          <w:sz w:val="24"/>
          <w:szCs w:val="24"/>
          <w:lang w:eastAsia="sk-SK"/>
        </w:rPr>
        <w:t>Adaptačný plán BSK na nepriaznivé dôsledky zmeny klímy“</w:t>
      </w:r>
      <w:r w:rsidRPr="00F775E4">
        <w:rPr>
          <w:rFonts w:eastAsiaTheme="minorEastAsia" w:cstheme="minorHAnsi"/>
          <w:color w:val="000000" w:themeColor="text1"/>
          <w:sz w:val="24"/>
          <w:szCs w:val="24"/>
          <w:lang w:eastAsia="sk-SK"/>
        </w:rPr>
        <w:t>, ktorá bola súčasťou projektu „</w:t>
      </w:r>
      <w:r w:rsidRPr="00F775E4">
        <w:rPr>
          <w:rFonts w:eastAsiaTheme="minorEastAsia" w:cstheme="minorHAnsi"/>
          <w:b/>
          <w:bCs/>
          <w:color w:val="000000" w:themeColor="text1"/>
          <w:sz w:val="24"/>
          <w:szCs w:val="24"/>
          <w:lang w:eastAsia="sk-SK"/>
        </w:rPr>
        <w:t>SMART Región BSK</w:t>
      </w:r>
      <w:r w:rsidRPr="00F775E4">
        <w:rPr>
          <w:rFonts w:eastAsiaTheme="minorEastAsia" w:cstheme="minorHAnsi"/>
          <w:color w:val="000000" w:themeColor="text1"/>
          <w:sz w:val="24"/>
          <w:szCs w:val="24"/>
          <w:lang w:eastAsia="sk-SK"/>
        </w:rPr>
        <w:t>“; </w:t>
      </w:r>
    </w:p>
    <w:p w14:paraId="3381F68A" w14:textId="77777777" w:rsidR="00F775E4" w:rsidRPr="00F775E4" w:rsidRDefault="00F775E4" w:rsidP="00794A14">
      <w:pPr>
        <w:numPr>
          <w:ilvl w:val="0"/>
          <w:numId w:val="18"/>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projektu „</w:t>
      </w:r>
      <w:r w:rsidRPr="00F775E4">
        <w:rPr>
          <w:rFonts w:eastAsiaTheme="minorEastAsia" w:cstheme="minorHAnsi"/>
          <w:b/>
          <w:bCs/>
          <w:color w:val="000000" w:themeColor="text1"/>
          <w:sz w:val="24"/>
          <w:szCs w:val="24"/>
          <w:lang w:eastAsia="sk-SK"/>
        </w:rPr>
        <w:t>LIFE IP – Zlepšenie kvality ovzdušia“</w:t>
      </w:r>
      <w:r w:rsidRPr="00F775E4">
        <w:rPr>
          <w:rFonts w:eastAsiaTheme="minorEastAsia" w:cstheme="minorHAnsi"/>
          <w:color w:val="000000" w:themeColor="text1"/>
          <w:sz w:val="24"/>
          <w:szCs w:val="24"/>
          <w:lang w:eastAsia="sk-SK"/>
        </w:rPr>
        <w:t xml:space="preserve"> a to prostredníctvom zameriavania sa na vzdelávanie, monitorovanie a komunikačné aktivity smerované na podporu opatrení s cieľom zlepšenia kvality ovzdušia, vrátane tvorby </w:t>
      </w:r>
      <w:r w:rsidRPr="00F775E4">
        <w:rPr>
          <w:rFonts w:eastAsiaTheme="minorEastAsia" w:cstheme="minorHAnsi"/>
          <w:b/>
          <w:bCs/>
          <w:color w:val="000000" w:themeColor="text1"/>
          <w:sz w:val="24"/>
          <w:szCs w:val="24"/>
          <w:lang w:eastAsia="sk-SK"/>
        </w:rPr>
        <w:t>Katalógu opatrení na zlepšenie kvality ovzdušia</w:t>
      </w:r>
      <w:r w:rsidRPr="00F775E4">
        <w:rPr>
          <w:rFonts w:eastAsiaTheme="minorEastAsia" w:cstheme="minorHAnsi"/>
          <w:color w:val="000000" w:themeColor="text1"/>
          <w:sz w:val="24"/>
          <w:szCs w:val="24"/>
          <w:lang w:eastAsia="sk-SK"/>
        </w:rPr>
        <w:t>; </w:t>
      </w:r>
    </w:p>
    <w:p w14:paraId="1BDBEA3F" w14:textId="77777777" w:rsidR="00F775E4" w:rsidRPr="00F775E4" w:rsidRDefault="00F775E4" w:rsidP="00794A14">
      <w:pPr>
        <w:numPr>
          <w:ilvl w:val="0"/>
          <w:numId w:val="19"/>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 xml:space="preserve">právneho a technického poradenstvo pri návrhu a realizácii využitia </w:t>
      </w:r>
      <w:r w:rsidRPr="00F775E4">
        <w:rPr>
          <w:rFonts w:eastAsiaTheme="minorEastAsia" w:cstheme="minorHAnsi"/>
          <w:b/>
          <w:bCs/>
          <w:color w:val="000000" w:themeColor="text1"/>
          <w:sz w:val="24"/>
          <w:szCs w:val="24"/>
          <w:lang w:eastAsia="sk-SK"/>
        </w:rPr>
        <w:t>nástroja komunitnej energetiky</w:t>
      </w:r>
      <w:r w:rsidRPr="00F775E4">
        <w:rPr>
          <w:rFonts w:eastAsiaTheme="minorEastAsia" w:cstheme="minorHAnsi"/>
          <w:color w:val="000000" w:themeColor="text1"/>
          <w:sz w:val="24"/>
          <w:szCs w:val="24"/>
          <w:lang w:eastAsia="sk-SK"/>
        </w:rPr>
        <w:t xml:space="preserve"> – identifikácia potenciálu využívania obnoviteľných zdrojov (výklad vykonávacej legislatívy, analýza splnenie legislatívnych podmienok vybranými budovami a návrh riešenia); </w:t>
      </w:r>
    </w:p>
    <w:p w14:paraId="5EB62BC1" w14:textId="77777777" w:rsidR="00F775E4" w:rsidRPr="00F775E4" w:rsidRDefault="00F775E4" w:rsidP="00794A14">
      <w:pPr>
        <w:numPr>
          <w:ilvl w:val="0"/>
          <w:numId w:val="20"/>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 xml:space="preserve">technickej a právnej pomoci pri príprave podkladov a vyhodnocovaní ponúk pre pilotný projekt </w:t>
      </w:r>
      <w:r w:rsidRPr="00F775E4">
        <w:rPr>
          <w:rFonts w:eastAsiaTheme="minorEastAsia" w:cstheme="minorHAnsi"/>
          <w:b/>
          <w:bCs/>
          <w:color w:val="000000" w:themeColor="text1"/>
          <w:sz w:val="24"/>
          <w:szCs w:val="24"/>
          <w:lang w:eastAsia="sk-SK"/>
        </w:rPr>
        <w:t>Garantovanej energetickej služby (GES)</w:t>
      </w:r>
      <w:r w:rsidRPr="00F775E4">
        <w:rPr>
          <w:rFonts w:eastAsiaTheme="minorEastAsia" w:cstheme="minorHAnsi"/>
          <w:color w:val="000000" w:themeColor="text1"/>
          <w:sz w:val="24"/>
          <w:szCs w:val="24"/>
          <w:lang w:eastAsia="sk-SK"/>
        </w:rPr>
        <w:t>; </w:t>
      </w:r>
    </w:p>
    <w:p w14:paraId="0DB98626" w14:textId="77777777" w:rsidR="00F775E4" w:rsidRPr="00F775E4" w:rsidRDefault="00F775E4" w:rsidP="00794A14">
      <w:pPr>
        <w:numPr>
          <w:ilvl w:val="0"/>
          <w:numId w:val="21"/>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 xml:space="preserve">systému na </w:t>
      </w:r>
      <w:r w:rsidRPr="00F775E4">
        <w:rPr>
          <w:rFonts w:eastAsiaTheme="minorEastAsia" w:cstheme="minorHAnsi"/>
          <w:b/>
          <w:bCs/>
          <w:color w:val="000000" w:themeColor="text1"/>
          <w:sz w:val="24"/>
          <w:szCs w:val="24"/>
          <w:lang w:eastAsia="sk-SK"/>
        </w:rPr>
        <w:t>zber údajov o odbere energií</w:t>
      </w:r>
      <w:r w:rsidRPr="00F775E4">
        <w:rPr>
          <w:rFonts w:eastAsiaTheme="minorEastAsia" w:cstheme="minorHAnsi"/>
          <w:color w:val="000000" w:themeColor="text1"/>
          <w:sz w:val="24"/>
          <w:szCs w:val="24"/>
          <w:lang w:eastAsia="sk-SK"/>
        </w:rPr>
        <w:t xml:space="preserve"> na v budovách vo vlastníctve BSK; </w:t>
      </w:r>
    </w:p>
    <w:p w14:paraId="215C1D06" w14:textId="77777777" w:rsidR="00F775E4" w:rsidRPr="00F775E4" w:rsidRDefault="00F775E4" w:rsidP="00794A14">
      <w:pPr>
        <w:numPr>
          <w:ilvl w:val="0"/>
          <w:numId w:val="22"/>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b/>
          <w:bCs/>
          <w:color w:val="000000" w:themeColor="text1"/>
          <w:sz w:val="24"/>
          <w:szCs w:val="24"/>
          <w:lang w:eastAsia="sk-SK"/>
        </w:rPr>
        <w:lastRenderedPageBreak/>
        <w:t xml:space="preserve">energetických auditov a posudkov pre potreby OP Slovensko. </w:t>
      </w:r>
      <w:r w:rsidRPr="00F775E4">
        <w:rPr>
          <w:rFonts w:eastAsiaTheme="minorEastAsia" w:cstheme="minorHAnsi"/>
          <w:color w:val="000000" w:themeColor="text1"/>
          <w:sz w:val="24"/>
          <w:szCs w:val="24"/>
          <w:lang w:eastAsia="sk-SK"/>
        </w:rPr>
        <w:t>Program Slovensko definuje požiadavky na predprojektovú dokumentáciu a posudky v prípade predkladania žiadostí o NFP. Ide najmä o energetické certifikáty a energetické audity ; </w:t>
      </w:r>
    </w:p>
    <w:p w14:paraId="65D23204" w14:textId="77777777" w:rsidR="00F775E4" w:rsidRPr="00F775E4" w:rsidRDefault="00F775E4" w:rsidP="00794A14">
      <w:pPr>
        <w:numPr>
          <w:ilvl w:val="0"/>
          <w:numId w:val="23"/>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b/>
          <w:bCs/>
          <w:color w:val="000000" w:themeColor="text1"/>
          <w:sz w:val="24"/>
          <w:szCs w:val="24"/>
          <w:lang w:eastAsia="sk-SK"/>
        </w:rPr>
        <w:t xml:space="preserve">pasport kotolní </w:t>
      </w:r>
      <w:proofErr w:type="spellStart"/>
      <w:r w:rsidRPr="00F775E4">
        <w:rPr>
          <w:rFonts w:eastAsiaTheme="minorEastAsia" w:cstheme="minorHAnsi"/>
          <w:b/>
          <w:bCs/>
          <w:color w:val="000000" w:themeColor="text1"/>
          <w:sz w:val="24"/>
          <w:szCs w:val="24"/>
          <w:lang w:eastAsia="sk-SK"/>
        </w:rPr>
        <w:t>OvZP</w:t>
      </w:r>
      <w:proofErr w:type="spellEnd"/>
      <w:r w:rsidRPr="00F775E4">
        <w:rPr>
          <w:rFonts w:eastAsiaTheme="minorEastAsia" w:cstheme="minorHAnsi"/>
          <w:b/>
          <w:bCs/>
          <w:color w:val="000000" w:themeColor="text1"/>
          <w:sz w:val="24"/>
          <w:szCs w:val="24"/>
          <w:lang w:eastAsia="sk-SK"/>
        </w:rPr>
        <w:t xml:space="preserve"> BSK</w:t>
      </w:r>
      <w:r w:rsidRPr="00F775E4">
        <w:rPr>
          <w:rFonts w:eastAsiaTheme="minorEastAsia" w:cstheme="minorHAnsi"/>
          <w:color w:val="000000" w:themeColor="text1"/>
          <w:sz w:val="24"/>
          <w:szCs w:val="24"/>
          <w:lang w:eastAsia="sk-SK"/>
        </w:rPr>
        <w:t xml:space="preserve"> – dlhodobým cieľom je odborná diaľková prevádzka vlastných kotolní špecializovanou spoločnosťou. Prínosom bude vyššia odbornosť a nižšie náklady na obsluhu. Predmetom pasportu bude posúdenie pripravenosti jednotlivých kotolní na zapojenie do diaľkového riadenia; </w:t>
      </w:r>
    </w:p>
    <w:p w14:paraId="4BD59E31" w14:textId="77777777" w:rsidR="00F775E4" w:rsidRPr="00F775E4" w:rsidRDefault="00F775E4" w:rsidP="00794A14">
      <w:pPr>
        <w:numPr>
          <w:ilvl w:val="0"/>
          <w:numId w:val="24"/>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aktivít vyplývajúcich z „</w:t>
      </w:r>
      <w:r w:rsidRPr="00F775E4">
        <w:rPr>
          <w:rFonts w:eastAsiaTheme="minorEastAsia" w:cstheme="minorHAnsi"/>
          <w:b/>
          <w:bCs/>
          <w:color w:val="000000" w:themeColor="text1"/>
          <w:sz w:val="24"/>
          <w:szCs w:val="24"/>
          <w:lang w:eastAsia="sk-SK"/>
        </w:rPr>
        <w:t>Memoranda o spolupráci so združením</w:t>
      </w:r>
      <w:r w:rsidRPr="00F775E4">
        <w:rPr>
          <w:rFonts w:eastAsiaTheme="minorEastAsia" w:cstheme="minorHAnsi"/>
          <w:color w:val="000000" w:themeColor="text1"/>
          <w:sz w:val="24"/>
          <w:szCs w:val="24"/>
          <w:lang w:eastAsia="sk-SK"/>
        </w:rPr>
        <w:t xml:space="preserve"> </w:t>
      </w:r>
      <w:r w:rsidRPr="00F775E4">
        <w:rPr>
          <w:rFonts w:eastAsiaTheme="minorEastAsia" w:cstheme="minorHAnsi"/>
          <w:b/>
          <w:bCs/>
          <w:color w:val="000000" w:themeColor="text1"/>
          <w:sz w:val="24"/>
          <w:szCs w:val="24"/>
          <w:lang w:eastAsia="sk-SK"/>
        </w:rPr>
        <w:t xml:space="preserve">Budovy pre budúcnosť (BPB)“ </w:t>
      </w:r>
      <w:r w:rsidRPr="00F775E4">
        <w:rPr>
          <w:rFonts w:eastAsiaTheme="minorEastAsia" w:cstheme="minorHAnsi"/>
          <w:color w:val="000000" w:themeColor="text1"/>
          <w:sz w:val="24"/>
          <w:szCs w:val="24"/>
          <w:lang w:eastAsia="sk-SK"/>
        </w:rPr>
        <w:t>v rámci zapojenia BPB do projektu „</w:t>
      </w:r>
      <w:r w:rsidRPr="00F775E4">
        <w:rPr>
          <w:rFonts w:eastAsiaTheme="minorEastAsia" w:cstheme="minorHAnsi"/>
          <w:b/>
          <w:bCs/>
          <w:color w:val="000000" w:themeColor="text1"/>
          <w:sz w:val="24"/>
          <w:szCs w:val="24"/>
          <w:lang w:eastAsia="sk-SK"/>
        </w:rPr>
        <w:t>RENOCALLY</w:t>
      </w:r>
      <w:r w:rsidRPr="00F775E4">
        <w:rPr>
          <w:rFonts w:eastAsiaTheme="minorEastAsia" w:cstheme="minorHAnsi"/>
          <w:color w:val="000000" w:themeColor="text1"/>
          <w:sz w:val="24"/>
          <w:szCs w:val="24"/>
          <w:lang w:eastAsia="sk-SK"/>
        </w:rPr>
        <w:t xml:space="preserve">“. Jedná sa o pripravované </w:t>
      </w:r>
      <w:proofErr w:type="spellStart"/>
      <w:r w:rsidRPr="00F775E4">
        <w:rPr>
          <w:rFonts w:eastAsiaTheme="minorEastAsia" w:cstheme="minorHAnsi"/>
          <w:color w:val="000000" w:themeColor="text1"/>
          <w:sz w:val="24"/>
          <w:szCs w:val="24"/>
          <w:lang w:eastAsia="sk-SK"/>
        </w:rPr>
        <w:t>pasporty</w:t>
      </w:r>
      <w:proofErr w:type="spellEnd"/>
      <w:r w:rsidRPr="00F775E4">
        <w:rPr>
          <w:rFonts w:eastAsiaTheme="minorEastAsia" w:cstheme="minorHAnsi"/>
          <w:color w:val="000000" w:themeColor="text1"/>
          <w:sz w:val="24"/>
          <w:szCs w:val="24"/>
          <w:lang w:eastAsia="sk-SK"/>
        </w:rPr>
        <w:t xml:space="preserve"> obnovy pre 2 budovy vo vlastníctve BSK. Ide o budovu Obchodnej akadémie </w:t>
      </w:r>
      <w:proofErr w:type="spellStart"/>
      <w:r w:rsidRPr="00F775E4">
        <w:rPr>
          <w:rFonts w:eastAsiaTheme="minorEastAsia" w:cstheme="minorHAnsi"/>
          <w:color w:val="000000" w:themeColor="text1"/>
          <w:sz w:val="24"/>
          <w:szCs w:val="24"/>
          <w:lang w:eastAsia="sk-SK"/>
        </w:rPr>
        <w:t>Dudova</w:t>
      </w:r>
      <w:proofErr w:type="spellEnd"/>
      <w:r w:rsidRPr="00F775E4">
        <w:rPr>
          <w:rFonts w:eastAsiaTheme="minorEastAsia" w:cstheme="minorHAnsi"/>
          <w:color w:val="000000" w:themeColor="text1"/>
          <w:sz w:val="24"/>
          <w:szCs w:val="24"/>
          <w:lang w:eastAsia="sk-SK"/>
        </w:rPr>
        <w:t xml:space="preserve"> 4 v Bratislave a budovu DSS Rača na Podbrezovskej ulici 28 v Bratislave; </w:t>
      </w:r>
    </w:p>
    <w:p w14:paraId="5D22965D" w14:textId="77777777" w:rsidR="00F775E4" w:rsidRPr="00F775E4" w:rsidRDefault="00F775E4" w:rsidP="00794A14">
      <w:pPr>
        <w:numPr>
          <w:ilvl w:val="0"/>
          <w:numId w:val="25"/>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členského poplatku „</w:t>
      </w:r>
      <w:r w:rsidRPr="00F775E4">
        <w:rPr>
          <w:rFonts w:eastAsiaTheme="minorEastAsia" w:cstheme="minorHAnsi"/>
          <w:b/>
          <w:bCs/>
          <w:color w:val="000000" w:themeColor="text1"/>
          <w:sz w:val="24"/>
          <w:szCs w:val="24"/>
          <w:lang w:eastAsia="sk-SK"/>
        </w:rPr>
        <w:t>Záujmové združenie právnických osôb Klaster Energetických Komunít Slovenska</w:t>
      </w:r>
      <w:r w:rsidRPr="00F775E4">
        <w:rPr>
          <w:rFonts w:eastAsiaTheme="minorEastAsia" w:cstheme="minorHAnsi"/>
          <w:color w:val="000000" w:themeColor="text1"/>
          <w:sz w:val="24"/>
          <w:szCs w:val="24"/>
          <w:lang w:eastAsia="sk-SK"/>
        </w:rPr>
        <w:t>; </w:t>
      </w:r>
    </w:p>
    <w:p w14:paraId="12EF6274" w14:textId="77777777" w:rsidR="00F775E4" w:rsidRPr="00F775E4" w:rsidRDefault="00F775E4" w:rsidP="00794A14">
      <w:pPr>
        <w:numPr>
          <w:ilvl w:val="0"/>
          <w:numId w:val="26"/>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implementáciu „</w:t>
      </w:r>
      <w:r w:rsidRPr="00F775E4">
        <w:rPr>
          <w:rFonts w:eastAsiaTheme="minorEastAsia" w:cstheme="minorHAnsi"/>
          <w:b/>
          <w:bCs/>
          <w:color w:val="000000" w:themeColor="text1"/>
          <w:sz w:val="24"/>
          <w:szCs w:val="24"/>
          <w:lang w:eastAsia="sk-SK"/>
        </w:rPr>
        <w:t>Dátovej analýzy na Úrade BSK“</w:t>
      </w:r>
      <w:r w:rsidRPr="00F775E4">
        <w:rPr>
          <w:rFonts w:eastAsiaTheme="minorEastAsia" w:cstheme="minorHAnsi"/>
          <w:color w:val="000000" w:themeColor="text1"/>
          <w:sz w:val="24"/>
          <w:szCs w:val="24"/>
          <w:lang w:eastAsia="sk-SK"/>
        </w:rPr>
        <w:t xml:space="preserve">  v oblasti digitalizácie procesov, zberu a spracovania dát, publikovania </w:t>
      </w:r>
      <w:proofErr w:type="spellStart"/>
      <w:r w:rsidRPr="00F775E4">
        <w:rPr>
          <w:rFonts w:eastAsiaTheme="minorEastAsia" w:cstheme="minorHAnsi"/>
          <w:color w:val="000000" w:themeColor="text1"/>
          <w:sz w:val="24"/>
          <w:szCs w:val="24"/>
          <w:lang w:eastAsia="sk-SK"/>
        </w:rPr>
        <w:t>open</w:t>
      </w:r>
      <w:proofErr w:type="spellEnd"/>
      <w:r w:rsidRPr="00F775E4">
        <w:rPr>
          <w:rFonts w:eastAsiaTheme="minorEastAsia" w:cstheme="minorHAnsi"/>
          <w:color w:val="000000" w:themeColor="text1"/>
          <w:sz w:val="24"/>
          <w:szCs w:val="24"/>
          <w:lang w:eastAsia="sk-SK"/>
        </w:rPr>
        <w:t xml:space="preserve"> </w:t>
      </w:r>
      <w:proofErr w:type="spellStart"/>
      <w:r w:rsidRPr="00F775E4">
        <w:rPr>
          <w:rFonts w:eastAsiaTheme="minorEastAsia" w:cstheme="minorHAnsi"/>
          <w:color w:val="000000" w:themeColor="text1"/>
          <w:sz w:val="24"/>
          <w:szCs w:val="24"/>
          <w:lang w:eastAsia="sk-SK"/>
        </w:rPr>
        <w:t>data</w:t>
      </w:r>
      <w:proofErr w:type="spellEnd"/>
      <w:r w:rsidRPr="00F775E4">
        <w:rPr>
          <w:rFonts w:eastAsiaTheme="minorEastAsia" w:cstheme="minorHAnsi"/>
          <w:color w:val="000000" w:themeColor="text1"/>
          <w:sz w:val="24"/>
          <w:szCs w:val="24"/>
          <w:lang w:eastAsia="sk-SK"/>
        </w:rPr>
        <w:t>, zefektívnenia práce s dátami a informácií z územia Bratislavského kraja – tzv. komunikačná platforma; </w:t>
      </w:r>
    </w:p>
    <w:p w14:paraId="04A0A881" w14:textId="77777777" w:rsidR="00F775E4" w:rsidRPr="00F775E4" w:rsidRDefault="00F775E4" w:rsidP="00794A14">
      <w:pPr>
        <w:numPr>
          <w:ilvl w:val="0"/>
          <w:numId w:val="27"/>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 xml:space="preserve">členského poplatku </w:t>
      </w:r>
      <w:proofErr w:type="spellStart"/>
      <w:r w:rsidRPr="00F775E4">
        <w:rPr>
          <w:rFonts w:eastAsiaTheme="minorEastAsia" w:cstheme="minorHAnsi"/>
          <w:color w:val="000000" w:themeColor="text1"/>
          <w:sz w:val="24"/>
          <w:szCs w:val="24"/>
          <w:lang w:eastAsia="sk-SK"/>
        </w:rPr>
        <w:t>networkingovej</w:t>
      </w:r>
      <w:proofErr w:type="spellEnd"/>
      <w:r w:rsidRPr="00F775E4">
        <w:rPr>
          <w:rFonts w:eastAsiaTheme="minorEastAsia" w:cstheme="minorHAnsi"/>
          <w:color w:val="000000" w:themeColor="text1"/>
          <w:sz w:val="24"/>
          <w:szCs w:val="24"/>
          <w:lang w:eastAsia="sk-SK"/>
        </w:rPr>
        <w:t xml:space="preserve"> platformy </w:t>
      </w:r>
      <w:r w:rsidRPr="00F775E4">
        <w:rPr>
          <w:rFonts w:eastAsiaTheme="minorEastAsia" w:cstheme="minorHAnsi"/>
          <w:b/>
          <w:bCs/>
          <w:color w:val="000000" w:themeColor="text1"/>
          <w:sz w:val="24"/>
          <w:szCs w:val="24"/>
          <w:lang w:eastAsia="sk-SK"/>
        </w:rPr>
        <w:t>„Regionálny inovačný klaster“</w:t>
      </w:r>
      <w:r w:rsidRPr="00F775E4">
        <w:rPr>
          <w:rFonts w:eastAsiaTheme="minorEastAsia" w:cstheme="minorHAnsi"/>
          <w:color w:val="000000" w:themeColor="text1"/>
          <w:sz w:val="24"/>
          <w:szCs w:val="24"/>
          <w:lang w:eastAsia="sk-SK"/>
        </w:rPr>
        <w:t xml:space="preserve"> v spolupráci s hl. m. SR BA a univerzitami na území mesta BA, SAV a súkromným sektorom ); </w:t>
      </w:r>
    </w:p>
    <w:p w14:paraId="226CFE5C" w14:textId="77777777" w:rsidR="00F775E4" w:rsidRPr="00F775E4" w:rsidRDefault="00F775E4" w:rsidP="00794A14">
      <w:pPr>
        <w:numPr>
          <w:ilvl w:val="0"/>
          <w:numId w:val="28"/>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 xml:space="preserve">implementáciu </w:t>
      </w:r>
      <w:r w:rsidRPr="00F775E4">
        <w:rPr>
          <w:rFonts w:eastAsiaTheme="minorEastAsia" w:cstheme="minorHAnsi"/>
          <w:b/>
          <w:bCs/>
          <w:color w:val="000000" w:themeColor="text1"/>
          <w:sz w:val="24"/>
          <w:szCs w:val="24"/>
          <w:lang w:eastAsia="sk-SK"/>
        </w:rPr>
        <w:t>„Plánu udržateľnej mobility BSK“</w:t>
      </w:r>
      <w:r w:rsidRPr="00F775E4">
        <w:rPr>
          <w:rFonts w:eastAsiaTheme="minorEastAsia" w:cstheme="minorHAnsi"/>
          <w:color w:val="000000" w:themeColor="text1"/>
          <w:sz w:val="24"/>
          <w:szCs w:val="24"/>
          <w:lang w:eastAsia="sk-SK"/>
        </w:rPr>
        <w:t> a</w:t>
      </w:r>
      <w:r w:rsidRPr="00F775E4">
        <w:rPr>
          <w:rFonts w:eastAsiaTheme="minorEastAsia" w:cstheme="minorHAnsi"/>
          <w:b/>
          <w:bCs/>
          <w:color w:val="000000" w:themeColor="text1"/>
          <w:sz w:val="24"/>
          <w:szCs w:val="24"/>
          <w:lang w:eastAsia="sk-SK"/>
        </w:rPr>
        <w:t> „Koncepcie rozvoja verejnej osobnej dopravy v BSK“</w:t>
      </w:r>
      <w:r w:rsidRPr="00F775E4">
        <w:rPr>
          <w:rFonts w:eastAsiaTheme="minorEastAsia" w:cstheme="minorHAnsi"/>
          <w:color w:val="000000" w:themeColor="text1"/>
          <w:sz w:val="24"/>
          <w:szCs w:val="24"/>
          <w:lang w:eastAsia="sk-SK"/>
        </w:rPr>
        <w:t>  prostredníctvom zatraktívnenia VOD v spolupráci s IDS BK - implementácia informačných tabúľ pre cestujúcich, elektronizácia cestovných poriadkov spádových zastávok v území; </w:t>
      </w:r>
    </w:p>
    <w:p w14:paraId="4A66CA51" w14:textId="77777777" w:rsidR="00F775E4" w:rsidRPr="00F775E4" w:rsidRDefault="00F775E4" w:rsidP="00794A14">
      <w:pPr>
        <w:numPr>
          <w:ilvl w:val="0"/>
          <w:numId w:val="29"/>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 xml:space="preserve">aktualizácie, monitorovania a implementácie </w:t>
      </w:r>
      <w:r w:rsidRPr="00F775E4">
        <w:rPr>
          <w:rFonts w:eastAsiaTheme="minorEastAsia" w:cstheme="minorHAnsi"/>
          <w:b/>
          <w:bCs/>
          <w:color w:val="000000" w:themeColor="text1"/>
          <w:sz w:val="24"/>
          <w:szCs w:val="24"/>
          <w:lang w:eastAsia="sk-SK"/>
        </w:rPr>
        <w:t>„Programu hospodárskeho rozvoja a sociálneho rozvoja BSK na roky 2021-2027 s výhľadom do roku 2030“</w:t>
      </w:r>
      <w:r w:rsidRPr="00F775E4">
        <w:rPr>
          <w:rFonts w:eastAsiaTheme="minorEastAsia" w:cstheme="minorHAnsi"/>
          <w:color w:val="000000" w:themeColor="text1"/>
          <w:sz w:val="24"/>
          <w:szCs w:val="24"/>
          <w:lang w:eastAsia="sk-SK"/>
        </w:rPr>
        <w:t>; </w:t>
      </w:r>
    </w:p>
    <w:p w14:paraId="646C566C" w14:textId="77777777" w:rsidR="00F775E4" w:rsidRPr="00F775E4" w:rsidRDefault="00F775E4" w:rsidP="00794A14">
      <w:pPr>
        <w:numPr>
          <w:ilvl w:val="0"/>
          <w:numId w:val="30"/>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implementáciu „</w:t>
      </w:r>
      <w:r w:rsidRPr="00F775E4">
        <w:rPr>
          <w:rFonts w:eastAsiaTheme="minorEastAsia" w:cstheme="minorHAnsi"/>
          <w:b/>
          <w:bCs/>
          <w:color w:val="000000" w:themeColor="text1"/>
          <w:sz w:val="24"/>
          <w:szCs w:val="24"/>
          <w:lang w:eastAsia="sk-SK"/>
        </w:rPr>
        <w:t xml:space="preserve">Koncepcie SMART škôl“ </w:t>
      </w:r>
      <w:r w:rsidRPr="00F775E4">
        <w:rPr>
          <w:rFonts w:eastAsiaTheme="minorEastAsia" w:cstheme="minorHAnsi"/>
          <w:color w:val="000000" w:themeColor="text1"/>
          <w:sz w:val="24"/>
          <w:szCs w:val="24"/>
          <w:lang w:eastAsia="sk-SK"/>
        </w:rPr>
        <w:t>spojenej</w:t>
      </w:r>
      <w:r w:rsidRPr="00F775E4">
        <w:rPr>
          <w:rFonts w:eastAsiaTheme="minorEastAsia" w:cstheme="minorHAnsi"/>
          <w:b/>
          <w:bCs/>
          <w:color w:val="000000" w:themeColor="text1"/>
          <w:sz w:val="24"/>
          <w:szCs w:val="24"/>
          <w:lang w:eastAsia="sk-SK"/>
        </w:rPr>
        <w:t> </w:t>
      </w:r>
      <w:r w:rsidRPr="00F775E4">
        <w:rPr>
          <w:rFonts w:eastAsiaTheme="minorEastAsia" w:cstheme="minorHAnsi"/>
          <w:color w:val="000000" w:themeColor="text1"/>
          <w:sz w:val="24"/>
          <w:szCs w:val="24"/>
          <w:lang w:eastAsia="sk-SK"/>
        </w:rPr>
        <w:t>s implementáciou projektov budovania škôl a školskej infraštruktúry v BSK; </w:t>
      </w:r>
    </w:p>
    <w:p w14:paraId="2B3C54A3" w14:textId="77777777" w:rsidR="00F775E4" w:rsidRPr="00F775E4" w:rsidRDefault="00F775E4" w:rsidP="00794A14">
      <w:pPr>
        <w:numPr>
          <w:ilvl w:val="0"/>
          <w:numId w:val="31"/>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technické zabezpečenie „</w:t>
      </w:r>
      <w:r w:rsidRPr="00F775E4">
        <w:rPr>
          <w:rFonts w:eastAsiaTheme="minorEastAsia" w:cstheme="minorHAnsi"/>
          <w:b/>
          <w:bCs/>
          <w:color w:val="000000" w:themeColor="text1"/>
          <w:sz w:val="24"/>
          <w:szCs w:val="24"/>
          <w:lang w:eastAsia="sk-SK"/>
        </w:rPr>
        <w:t>Bratislavskej regionálnej dotačnej schémy (BRDS)“</w:t>
      </w:r>
      <w:r w:rsidRPr="00F775E4">
        <w:rPr>
          <w:rFonts w:eastAsiaTheme="minorEastAsia" w:cstheme="minorHAnsi"/>
          <w:color w:val="000000" w:themeColor="text1"/>
          <w:sz w:val="24"/>
          <w:szCs w:val="24"/>
          <w:lang w:eastAsia="sk-SK"/>
        </w:rPr>
        <w:t> na podporu ochrany životného prostredia a rozvoja vidieka na rok 2025, kde je podporovaná jedna oblasť: podpora miestnej ekonomiky; </w:t>
      </w:r>
    </w:p>
    <w:p w14:paraId="4487BE2B" w14:textId="77777777" w:rsidR="00F775E4" w:rsidRPr="00F775E4" w:rsidRDefault="00F775E4" w:rsidP="00794A14">
      <w:pPr>
        <w:numPr>
          <w:ilvl w:val="0"/>
          <w:numId w:val="32"/>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b/>
          <w:bCs/>
          <w:color w:val="000000" w:themeColor="text1"/>
          <w:sz w:val="24"/>
          <w:szCs w:val="24"/>
          <w:lang w:eastAsia="sk-SK"/>
        </w:rPr>
        <w:t xml:space="preserve">spolupráce s Odborom implementácie operačných programov  (OIOP) </w:t>
      </w:r>
      <w:r w:rsidRPr="00F775E4">
        <w:rPr>
          <w:rFonts w:eastAsiaTheme="minorEastAsia" w:cstheme="minorHAnsi"/>
          <w:color w:val="000000" w:themeColor="text1"/>
          <w:sz w:val="24"/>
          <w:szCs w:val="24"/>
          <w:lang w:eastAsia="sk-SK"/>
        </w:rPr>
        <w:t>spojenej s implementáciou a technickým zabezpečením Integrovanej územnej stratégie (IÚS) a rokovaní Rady partnerstva pre Integrovaný územný rozvoj Bratislavského kraja na roky 2021-2027; </w:t>
      </w:r>
    </w:p>
    <w:p w14:paraId="26974001" w14:textId="77777777" w:rsidR="00F775E4" w:rsidRPr="00F775E4" w:rsidRDefault="00F775E4" w:rsidP="00794A14">
      <w:pPr>
        <w:numPr>
          <w:ilvl w:val="0"/>
          <w:numId w:val="33"/>
        </w:numPr>
        <w:autoSpaceDE w:val="0"/>
        <w:autoSpaceDN w:val="0"/>
        <w:adjustRightInd w:val="0"/>
        <w:spacing w:after="0" w:line="240" w:lineRule="auto"/>
        <w:jc w:val="both"/>
        <w:rPr>
          <w:rFonts w:eastAsiaTheme="minorEastAsia" w:cstheme="minorHAnsi"/>
          <w:color w:val="000000" w:themeColor="text1"/>
          <w:sz w:val="24"/>
          <w:szCs w:val="24"/>
          <w:lang w:eastAsia="sk-SK"/>
        </w:rPr>
      </w:pPr>
      <w:r w:rsidRPr="00F775E4">
        <w:rPr>
          <w:rFonts w:eastAsiaTheme="minorEastAsia" w:cstheme="minorHAnsi"/>
          <w:color w:val="000000" w:themeColor="text1"/>
          <w:sz w:val="24"/>
          <w:szCs w:val="24"/>
          <w:lang w:eastAsia="sk-SK"/>
        </w:rPr>
        <w:t xml:space="preserve">organizácie a účasti na kultúrno-spoločenských podujatiach, odborných seminárov (strategický manažment, analytické nástroje, databázové softvéry, </w:t>
      </w:r>
      <w:proofErr w:type="spellStart"/>
      <w:r w:rsidRPr="00F775E4">
        <w:rPr>
          <w:rFonts w:eastAsiaTheme="minorEastAsia" w:cstheme="minorHAnsi"/>
          <w:color w:val="000000" w:themeColor="text1"/>
          <w:sz w:val="24"/>
          <w:szCs w:val="24"/>
          <w:lang w:eastAsia="sk-SK"/>
        </w:rPr>
        <w:t>a.i</w:t>
      </w:r>
      <w:proofErr w:type="spellEnd"/>
      <w:r w:rsidRPr="00F775E4">
        <w:rPr>
          <w:rFonts w:eastAsiaTheme="minorEastAsia" w:cstheme="minorHAnsi"/>
          <w:color w:val="000000" w:themeColor="text1"/>
          <w:sz w:val="24"/>
          <w:szCs w:val="24"/>
          <w:lang w:eastAsia="sk-SK"/>
        </w:rPr>
        <w:t>.), konferenciách, či pracovných stretnutiach. </w:t>
      </w:r>
    </w:p>
    <w:p w14:paraId="137F2BAD" w14:textId="77777777" w:rsidR="00F775E4" w:rsidRPr="00F775E4" w:rsidRDefault="00F775E4" w:rsidP="00F775E4">
      <w:pPr>
        <w:spacing w:before="100" w:beforeAutospacing="1" w:after="100" w:afterAutospacing="1" w:line="240" w:lineRule="auto"/>
        <w:jc w:val="both"/>
        <w:rPr>
          <w:rFonts w:eastAsiaTheme="minorEastAsia" w:cstheme="minorHAnsi"/>
          <w:color w:val="FF0000"/>
          <w:sz w:val="24"/>
          <w:szCs w:val="24"/>
          <w:lang w:eastAsia="sk-SK"/>
        </w:rPr>
      </w:pPr>
      <w:r w:rsidRPr="00F775E4">
        <w:rPr>
          <w:rFonts w:eastAsiaTheme="minorEastAsia" w:cstheme="minorHAnsi"/>
          <w:sz w:val="24"/>
          <w:szCs w:val="24"/>
          <w:lang w:eastAsia="sk-SK"/>
        </w:rPr>
        <w:t>Rozpočet </w:t>
      </w:r>
      <w:r w:rsidRPr="00F775E4">
        <w:rPr>
          <w:rFonts w:eastAsiaTheme="minorEastAsia" w:cstheme="minorHAnsi"/>
          <w:b/>
          <w:bCs/>
          <w:sz w:val="24"/>
          <w:szCs w:val="24"/>
          <w:lang w:eastAsia="sk-SK"/>
        </w:rPr>
        <w:t>Zastúpenia BSK pri EÚ v Bruseli</w:t>
      </w:r>
      <w:r w:rsidRPr="00F775E4">
        <w:rPr>
          <w:rFonts w:eastAsiaTheme="minorEastAsia" w:cstheme="minorHAnsi"/>
          <w:sz w:val="24"/>
          <w:szCs w:val="24"/>
          <w:lang w:eastAsia="sk-SK"/>
        </w:rPr>
        <w:t> na rok 2025 bude vynaložený predovšetkým na zabezpečenie chodu Zastúpenia, zahraničných pracovných ciest, aktivít predsedu BSK vyplývajúcich z jeho členstva v Európskom výbore regiónov (plenárne zasadnutia, zasadnutia komisií Európskeho výboru regiónov a pod.), ako aj aktivít poslancov BSK a zamestnancov Úradu BSK (bilaterálne spolupráce a prenos know-how z partnerských regiónov). Rozpočtové zdroje budú rovnako zamerané na organizáciu kultúrno-spoločenských podujatí, odborných seminárov a konferencií.</w:t>
      </w:r>
    </w:p>
    <w:p w14:paraId="5D0B5F51" w14:textId="77777777" w:rsidR="00F775E4" w:rsidRDefault="00F775E4" w:rsidP="00F229D7">
      <w:pPr>
        <w:pStyle w:val="Normlnywebov"/>
        <w:rPr>
          <w:rFonts w:asciiTheme="minorHAnsi" w:hAnsiTheme="minorHAnsi" w:cstheme="minorHAnsi"/>
        </w:rPr>
      </w:pPr>
    </w:p>
    <w:p w14:paraId="7C7905FE" w14:textId="77777777" w:rsidR="00F775E4" w:rsidRDefault="00F775E4" w:rsidP="00F229D7">
      <w:pPr>
        <w:pStyle w:val="Normlnywebov"/>
        <w:rPr>
          <w:rFonts w:asciiTheme="minorHAnsi" w:hAnsiTheme="minorHAnsi" w:cstheme="minorHAnsi"/>
        </w:rPr>
      </w:pPr>
    </w:p>
    <w:p w14:paraId="5FBC1753" w14:textId="77777777" w:rsidR="00F775E4" w:rsidRDefault="00F775E4" w:rsidP="00F229D7">
      <w:pPr>
        <w:pStyle w:val="Normlnywebov"/>
        <w:rPr>
          <w:rFonts w:asciiTheme="minorHAnsi" w:hAnsiTheme="minorHAnsi" w:cstheme="minorHAnsi"/>
        </w:rPr>
      </w:pPr>
    </w:p>
    <w:p w14:paraId="435D9C82" w14:textId="77777777" w:rsidR="00F775E4" w:rsidRDefault="00F775E4" w:rsidP="00F229D7">
      <w:pPr>
        <w:pStyle w:val="Normlnywebov"/>
        <w:rPr>
          <w:rFonts w:asciiTheme="minorHAnsi" w:hAnsiTheme="minorHAnsi" w:cstheme="minorHAnsi"/>
        </w:rPr>
      </w:pPr>
    </w:p>
    <w:p w14:paraId="247FB8B9" w14:textId="77777777" w:rsidR="00F775E4" w:rsidRPr="0028173B" w:rsidRDefault="00F775E4" w:rsidP="00F229D7">
      <w:pPr>
        <w:pStyle w:val="Normlnywebov"/>
        <w:rPr>
          <w:rFonts w:asciiTheme="minorHAnsi" w:hAnsiTheme="minorHAnsi" w:cstheme="minorHAnsi"/>
        </w:rPr>
      </w:pPr>
    </w:p>
    <w:p w14:paraId="5F7967E9" w14:textId="77777777" w:rsidR="00F229D7" w:rsidRPr="0028173B" w:rsidRDefault="00F229D7" w:rsidP="00F229D7">
      <w:pPr>
        <w:pStyle w:val="Normlnywebov"/>
        <w:spacing w:before="0" w:beforeAutospacing="0" w:after="0" w:afterAutospacing="0"/>
        <w:rPr>
          <w:rFonts w:asciiTheme="minorHAnsi" w:hAnsiTheme="minorHAnsi" w:cstheme="minorHAnsi"/>
          <w:vanish/>
          <w:sz w:val="20"/>
          <w:szCs w:val="20"/>
        </w:rPr>
      </w:pPr>
    </w:p>
    <w:p w14:paraId="0C1A98F0" w14:textId="77777777" w:rsidR="005D2A5D" w:rsidRPr="005520C7" w:rsidRDefault="005D2A5D" w:rsidP="005D2A5D">
      <w:pPr>
        <w:spacing w:before="100" w:beforeAutospacing="1" w:after="100" w:afterAutospacing="1" w:line="240" w:lineRule="auto"/>
        <w:outlineLvl w:val="2"/>
        <w:rPr>
          <w:rFonts w:ascii="Calibri" w:eastAsia="Times New Roman" w:hAnsi="Calibri" w:cs="Calibri"/>
          <w:b/>
          <w:bCs/>
          <w:sz w:val="27"/>
          <w:szCs w:val="27"/>
          <w:lang w:eastAsia="sk-SK"/>
        </w:rPr>
      </w:pPr>
      <w:r w:rsidRPr="005520C7">
        <w:rPr>
          <w:rFonts w:ascii="Calibri" w:eastAsia="Times New Roman" w:hAnsi="Calibri" w:cs="Calibri"/>
          <w:b/>
          <w:bCs/>
          <w:color w:val="0000FF"/>
          <w:sz w:val="27"/>
          <w:szCs w:val="27"/>
          <w:lang w:eastAsia="sk-SK"/>
        </w:rPr>
        <w:t>Podprogram 1.4: Kontrola</w:t>
      </w:r>
      <w:r w:rsidRPr="005520C7">
        <w:rPr>
          <w:rFonts w:ascii="Calibri" w:eastAsia="Times New Roman" w:hAnsi="Calibri" w:cs="Calibri"/>
          <w:b/>
          <w:bCs/>
          <w:sz w:val="27"/>
          <w:szCs w:val="27"/>
          <w:lang w:eastAsia="sk-SK"/>
        </w:rPr>
        <w:t xml:space="preserve"> </w:t>
      </w:r>
    </w:p>
    <w:p w14:paraId="7369E6C8" w14:textId="77777777" w:rsidR="005D2A5D" w:rsidRPr="005520C7" w:rsidRDefault="005D2A5D" w:rsidP="005D2A5D">
      <w:pPr>
        <w:spacing w:before="100" w:beforeAutospacing="1" w:after="100" w:afterAutospacing="1" w:line="240" w:lineRule="auto"/>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 xml:space="preserve">Zámer: </w:t>
      </w:r>
      <w:r w:rsidRPr="005520C7">
        <w:rPr>
          <w:rFonts w:ascii="Calibri" w:eastAsia="Times New Roman" w:hAnsi="Calibri" w:cs="Calibri"/>
          <w:sz w:val="24"/>
          <w:szCs w:val="24"/>
          <w:lang w:eastAsia="sk-SK"/>
        </w:rPr>
        <w:t>Činnosť samosprávy v súlade s existujúcimi normami</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8"/>
        <w:gridCol w:w="2118"/>
        <w:gridCol w:w="1481"/>
        <w:gridCol w:w="1482"/>
        <w:gridCol w:w="548"/>
        <w:gridCol w:w="1478"/>
        <w:gridCol w:w="649"/>
        <w:gridCol w:w="1483"/>
        <w:gridCol w:w="563"/>
      </w:tblGrid>
      <w:tr w:rsidR="005D2A5D" w:rsidRPr="005520C7" w14:paraId="4045C669"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0C77E51"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i/>
                <w:iCs/>
                <w:sz w:val="24"/>
                <w:szCs w:val="24"/>
                <w:lang w:eastAsia="sk-SK"/>
              </w:rPr>
              <w:t>Rozpočet v EUR</w:t>
            </w:r>
          </w:p>
        </w:tc>
      </w:tr>
      <w:tr w:rsidR="005D2A5D" w:rsidRPr="005520C7" w14:paraId="5DFC21F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D993F1"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90D70AC"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3A85472"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BC6AB6"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656A506"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505E05F"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7D8CD3"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49085A5"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63E2AF"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w:t>
            </w:r>
          </w:p>
        </w:tc>
      </w:tr>
      <w:tr w:rsidR="005D2A5D" w:rsidRPr="005520C7" w14:paraId="176D576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AF40F8"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5C2DD4"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Výdavky celkom</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56FFA6"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15 000,00</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9A50C8"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13 900,00</w:t>
            </w:r>
            <w:r w:rsidRPr="005520C7">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19DB74"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92,67</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04BFF7"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16 400,00</w:t>
            </w:r>
            <w:r w:rsidRPr="005520C7">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44543DE"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117,99</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496D05"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13 900,00</w:t>
            </w:r>
            <w:r w:rsidRPr="005520C7">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BE83CB1"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84,76</w:t>
            </w:r>
            <w:r w:rsidRPr="005520C7">
              <w:rPr>
                <w:rFonts w:ascii="Calibri" w:eastAsia="Times New Roman" w:hAnsi="Calibri" w:cs="Calibri"/>
                <w:sz w:val="24"/>
                <w:szCs w:val="24"/>
                <w:lang w:eastAsia="sk-SK"/>
              </w:rPr>
              <w:t xml:space="preserve"> </w:t>
            </w:r>
          </w:p>
        </w:tc>
      </w:tr>
      <w:tr w:rsidR="005D2A5D" w:rsidRPr="005520C7" w14:paraId="656C2E2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BDC821"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600</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B3740E"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Bežné výdavky</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677FD4D"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15 000,00</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3D4000"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13 900,00</w:t>
            </w:r>
            <w:r w:rsidRPr="005520C7">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CCD0F5A"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92,67</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D2B0E2"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16 400,00</w:t>
            </w:r>
            <w:r w:rsidRPr="005520C7">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D8A8FC"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117,99</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D7D869"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13 900,00</w:t>
            </w:r>
            <w:r w:rsidRPr="005520C7">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7962091"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b/>
                <w:bCs/>
                <w:sz w:val="20"/>
                <w:szCs w:val="20"/>
                <w:lang w:eastAsia="sk-SK"/>
              </w:rPr>
              <w:t>84,76</w:t>
            </w:r>
            <w:r w:rsidRPr="005520C7">
              <w:rPr>
                <w:rFonts w:ascii="Calibri" w:eastAsia="Times New Roman" w:hAnsi="Calibri" w:cs="Calibri"/>
                <w:sz w:val="24"/>
                <w:szCs w:val="24"/>
                <w:lang w:eastAsia="sk-SK"/>
              </w:rPr>
              <w:t xml:space="preserve"> </w:t>
            </w:r>
          </w:p>
        </w:tc>
      </w:tr>
      <w:tr w:rsidR="005D2A5D" w:rsidRPr="005520C7" w14:paraId="4C16E2B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233289F"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sz w:val="20"/>
                <w:szCs w:val="20"/>
                <w:lang w:eastAsia="sk-SK"/>
              </w:rPr>
              <w:t>630</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AA13CE"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sz w:val="20"/>
                <w:szCs w:val="20"/>
                <w:lang w:eastAsia="sk-SK"/>
              </w:rPr>
              <w:t>Tovary a služby</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C6C0F2"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sz w:val="20"/>
                <w:szCs w:val="20"/>
                <w:lang w:eastAsia="sk-SK"/>
              </w:rPr>
              <w:t>15 000,00</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5E4DF19"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sz w:val="20"/>
                <w:szCs w:val="20"/>
                <w:lang w:eastAsia="sk-SK"/>
              </w:rPr>
              <w:t>13 900,00</w:t>
            </w:r>
            <w:r w:rsidRPr="005520C7">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84FC475"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sz w:val="20"/>
                <w:szCs w:val="20"/>
                <w:lang w:eastAsia="sk-SK"/>
              </w:rPr>
              <w:t>92,67</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309871"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sz w:val="20"/>
                <w:szCs w:val="20"/>
                <w:lang w:eastAsia="sk-SK"/>
              </w:rPr>
              <w:t>16 400,00</w:t>
            </w:r>
            <w:r w:rsidRPr="005520C7">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E54FC04"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sz w:val="20"/>
                <w:szCs w:val="20"/>
                <w:lang w:eastAsia="sk-SK"/>
              </w:rPr>
              <w:t>117,99</w:t>
            </w:r>
            <w:r w:rsidRPr="005520C7">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5524E9"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sz w:val="20"/>
                <w:szCs w:val="20"/>
                <w:lang w:eastAsia="sk-SK"/>
              </w:rPr>
              <w:t>13 900,00</w:t>
            </w:r>
            <w:r w:rsidRPr="005520C7">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675B112" w14:textId="77777777" w:rsidR="005D2A5D" w:rsidRPr="005520C7" w:rsidRDefault="005D2A5D" w:rsidP="007468A0">
            <w:pPr>
              <w:spacing w:after="0" w:line="240" w:lineRule="auto"/>
              <w:jc w:val="right"/>
              <w:rPr>
                <w:rFonts w:ascii="Calibri" w:eastAsia="Times New Roman" w:hAnsi="Calibri" w:cs="Calibri"/>
                <w:sz w:val="24"/>
                <w:szCs w:val="24"/>
                <w:lang w:eastAsia="sk-SK"/>
              </w:rPr>
            </w:pPr>
            <w:r w:rsidRPr="005520C7">
              <w:rPr>
                <w:rFonts w:ascii="Calibri" w:eastAsia="Times New Roman" w:hAnsi="Calibri" w:cs="Calibri"/>
                <w:sz w:val="20"/>
                <w:szCs w:val="20"/>
                <w:lang w:eastAsia="sk-SK"/>
              </w:rPr>
              <w:t>84,76</w:t>
            </w:r>
            <w:r w:rsidRPr="005520C7">
              <w:rPr>
                <w:rFonts w:ascii="Calibri" w:eastAsia="Times New Roman" w:hAnsi="Calibri" w:cs="Calibri"/>
                <w:sz w:val="24"/>
                <w:szCs w:val="24"/>
                <w:lang w:eastAsia="sk-SK"/>
              </w:rPr>
              <w:t xml:space="preserve"> </w:t>
            </w:r>
          </w:p>
        </w:tc>
      </w:tr>
    </w:tbl>
    <w:p w14:paraId="25057FBF" w14:textId="77777777" w:rsidR="005D2A5D" w:rsidRPr="005520C7" w:rsidRDefault="005D2A5D" w:rsidP="005D2A5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47"/>
        <w:gridCol w:w="1922"/>
        <w:gridCol w:w="1922"/>
        <w:gridCol w:w="1922"/>
        <w:gridCol w:w="1937"/>
      </w:tblGrid>
      <w:tr w:rsidR="005D2A5D" w:rsidRPr="005520C7" w14:paraId="219AF70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028B5E"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A96BD6"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Útvar hlavného kontrolóra</w:t>
            </w:r>
          </w:p>
        </w:tc>
      </w:tr>
      <w:tr w:rsidR="005D2A5D" w:rsidRPr="005520C7" w14:paraId="050C60C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031B1C"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33E606"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Zabezpečiť komplexnú kontrolu použitia verejných prostriedkov</w:t>
            </w:r>
          </w:p>
        </w:tc>
      </w:tr>
      <w:tr w:rsidR="005D2A5D" w:rsidRPr="005520C7" w14:paraId="3D4A664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E8873B"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98C856"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Plnenie plánu kontrolnej činnosti v %</w:t>
            </w:r>
          </w:p>
        </w:tc>
      </w:tr>
      <w:tr w:rsidR="005D2A5D" w:rsidRPr="005520C7" w14:paraId="0B6CF9C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42A63B"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F0099E"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ADA042"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E9BDC0"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2123F3"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2027</w:t>
            </w:r>
          </w:p>
        </w:tc>
      </w:tr>
      <w:tr w:rsidR="005D2A5D" w:rsidRPr="005520C7" w14:paraId="7E33257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B6C1E5"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396B65"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D9EF9C"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CA1F7F"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270D3A"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 100</w:t>
            </w:r>
          </w:p>
        </w:tc>
      </w:tr>
      <w:tr w:rsidR="005D2A5D" w:rsidRPr="005520C7" w14:paraId="043F64D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3207D4"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62F435"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Vypracovanie odborných stanovísk a plánov kontrolnej činnosti</w:t>
            </w:r>
          </w:p>
        </w:tc>
      </w:tr>
      <w:tr w:rsidR="005D2A5D" w:rsidRPr="005520C7" w14:paraId="19A58C6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0BEF1D"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E0D3B2"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263B4A"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BD67BD"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41A00B"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2027</w:t>
            </w:r>
          </w:p>
        </w:tc>
      </w:tr>
      <w:tr w:rsidR="005D2A5D" w:rsidRPr="005520C7" w14:paraId="51A5BC9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0927E8" w14:textId="77777777" w:rsidR="005D2A5D" w:rsidRPr="005520C7" w:rsidRDefault="005D2A5D" w:rsidP="007468A0">
            <w:pPr>
              <w:spacing w:after="0" w:line="240" w:lineRule="auto"/>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4CE838"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75666A"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E6C194"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9D3922" w14:textId="77777777" w:rsidR="005D2A5D" w:rsidRPr="005520C7" w:rsidRDefault="005D2A5D" w:rsidP="007468A0">
            <w:pPr>
              <w:spacing w:after="0" w:line="240" w:lineRule="auto"/>
              <w:jc w:val="center"/>
              <w:rPr>
                <w:rFonts w:ascii="Calibri" w:eastAsia="Times New Roman" w:hAnsi="Calibri" w:cs="Calibri"/>
                <w:sz w:val="24"/>
                <w:szCs w:val="24"/>
                <w:lang w:eastAsia="sk-SK"/>
              </w:rPr>
            </w:pPr>
            <w:r w:rsidRPr="005520C7">
              <w:rPr>
                <w:rFonts w:ascii="Calibri" w:eastAsia="Times New Roman" w:hAnsi="Calibri" w:cs="Calibri"/>
                <w:sz w:val="24"/>
                <w:szCs w:val="24"/>
                <w:lang w:eastAsia="sk-SK"/>
              </w:rPr>
              <w:t> 4</w:t>
            </w:r>
          </w:p>
        </w:tc>
      </w:tr>
    </w:tbl>
    <w:p w14:paraId="228D4C14" w14:textId="6444E058" w:rsidR="005D2A5D" w:rsidRPr="00425286" w:rsidRDefault="005D2A5D" w:rsidP="00425286">
      <w:pPr>
        <w:spacing w:before="100" w:beforeAutospacing="1" w:after="100" w:afterAutospacing="1" w:line="240" w:lineRule="auto"/>
        <w:jc w:val="both"/>
        <w:rPr>
          <w:rFonts w:ascii="Calibri" w:eastAsia="Times New Roman" w:hAnsi="Calibri" w:cs="Calibri"/>
          <w:sz w:val="24"/>
          <w:szCs w:val="24"/>
          <w:lang w:eastAsia="sk-SK"/>
        </w:rPr>
      </w:pPr>
      <w:r w:rsidRPr="005520C7">
        <w:rPr>
          <w:rFonts w:ascii="Calibri" w:eastAsia="Times New Roman" w:hAnsi="Calibri" w:cs="Calibri"/>
          <w:b/>
          <w:bCs/>
          <w:sz w:val="24"/>
          <w:szCs w:val="24"/>
          <w:lang w:eastAsia="sk-SK"/>
        </w:rPr>
        <w:t xml:space="preserve">Komentár: </w:t>
      </w:r>
      <w:r w:rsidRPr="005520C7">
        <w:rPr>
          <w:rFonts w:ascii="Calibri" w:eastAsia="Times New Roman" w:hAnsi="Calibri" w:cs="Calibri"/>
          <w:sz w:val="24"/>
          <w:szCs w:val="24"/>
          <w:lang w:eastAsia="sk-SK"/>
        </w:rPr>
        <w:t>Výkon kontroly ÚHK v roku 2025 je zameraný na organizácie v zriaďovateľskej a zakladateľskej pôsobnosti BSK a využívanie finančných prostriedkov, ktoré v súlade so zákonom BSK poskytuje iným organizáciám. Podprogram predstavuje aktivity Útvaru hlavného kontrolóra, ktorý zabezpečuje v rámci svojich kompetencií v zmysle zákona 302/2001 Z. z. a VZN BSK č. 1/2016 o kontrole v Bratislavskom samosprávnom kraji kontrolu súladu činností BSK so zákonmi, všeobecne záväznými nariadeniami a vnútornými normami samosprávneho kraja a organizácií vo svojej zriaďovateľskej pôsobnosti.</w:t>
      </w:r>
    </w:p>
    <w:p w14:paraId="5D6C8D65" w14:textId="77777777" w:rsidR="00BE6580" w:rsidRPr="00614EA3" w:rsidRDefault="00BE6580" w:rsidP="00BE6580">
      <w:pPr>
        <w:spacing w:before="100" w:beforeAutospacing="1" w:after="100" w:afterAutospacing="1" w:line="240" w:lineRule="auto"/>
        <w:outlineLvl w:val="2"/>
        <w:rPr>
          <w:rFonts w:ascii="Calibri" w:eastAsia="Times New Roman" w:hAnsi="Calibri" w:cs="Calibri"/>
          <w:b/>
          <w:bCs/>
          <w:sz w:val="27"/>
          <w:szCs w:val="27"/>
          <w:lang w:eastAsia="sk-SK"/>
        </w:rPr>
      </w:pPr>
      <w:r w:rsidRPr="00614EA3">
        <w:rPr>
          <w:rFonts w:ascii="Calibri" w:eastAsia="Times New Roman" w:hAnsi="Calibri" w:cs="Calibri"/>
          <w:b/>
          <w:bCs/>
          <w:color w:val="0000FF"/>
          <w:sz w:val="27"/>
          <w:szCs w:val="27"/>
          <w:lang w:eastAsia="sk-SK"/>
        </w:rPr>
        <w:t>Podprogram 1.5: Daňová a rozpočtová politika</w:t>
      </w:r>
      <w:r w:rsidRPr="00614EA3">
        <w:rPr>
          <w:rFonts w:ascii="Calibri" w:eastAsia="Times New Roman" w:hAnsi="Calibri" w:cs="Calibri"/>
          <w:b/>
          <w:bCs/>
          <w:sz w:val="27"/>
          <w:szCs w:val="27"/>
          <w:lang w:eastAsia="sk-SK"/>
        </w:rPr>
        <w:t xml:space="preserve"> </w:t>
      </w:r>
    </w:p>
    <w:p w14:paraId="28794664" w14:textId="77777777" w:rsidR="00BE6580" w:rsidRPr="00614EA3" w:rsidRDefault="00BE6580" w:rsidP="00BE6580">
      <w:pPr>
        <w:spacing w:before="100" w:beforeAutospacing="1" w:after="100" w:afterAutospacing="1" w:line="240" w:lineRule="auto"/>
        <w:rPr>
          <w:rFonts w:ascii="Calibri" w:eastAsia="Times New Roman" w:hAnsi="Calibri" w:cs="Calibri"/>
          <w:sz w:val="24"/>
          <w:szCs w:val="24"/>
          <w:lang w:eastAsia="sk-SK"/>
        </w:rPr>
      </w:pPr>
      <w:r w:rsidRPr="00614EA3">
        <w:rPr>
          <w:rFonts w:ascii="Calibri" w:eastAsia="Times New Roman" w:hAnsi="Calibri" w:cs="Calibri"/>
          <w:b/>
          <w:bCs/>
          <w:sz w:val="24"/>
          <w:szCs w:val="24"/>
          <w:lang w:eastAsia="sk-SK"/>
        </w:rPr>
        <w:t xml:space="preserve">Zámer: </w:t>
      </w:r>
      <w:r w:rsidRPr="00614EA3">
        <w:rPr>
          <w:rFonts w:ascii="Calibri" w:eastAsia="Times New Roman" w:hAnsi="Calibri" w:cs="Calibri"/>
          <w:sz w:val="24"/>
          <w:szCs w:val="24"/>
          <w:lang w:eastAsia="sk-SK"/>
        </w:rPr>
        <w:t>Samosprávny kraj s efektívnym, hospodárnym a účinným využívaním verejných prostriedkov.</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4"/>
        <w:gridCol w:w="2165"/>
        <w:gridCol w:w="1481"/>
        <w:gridCol w:w="1481"/>
        <w:gridCol w:w="548"/>
        <w:gridCol w:w="1481"/>
        <w:gridCol w:w="647"/>
        <w:gridCol w:w="1481"/>
        <w:gridCol w:w="662"/>
      </w:tblGrid>
      <w:tr w:rsidR="00BE6580" w:rsidRPr="00614EA3" w14:paraId="1DE00E0F"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8E36FB"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b/>
                <w:bCs/>
                <w:i/>
                <w:iCs/>
                <w:sz w:val="24"/>
                <w:szCs w:val="24"/>
                <w:lang w:eastAsia="sk-SK"/>
              </w:rPr>
              <w:t>Rozpočet v EUR</w:t>
            </w:r>
          </w:p>
        </w:tc>
      </w:tr>
      <w:tr w:rsidR="00BE6580" w:rsidRPr="00614EA3" w14:paraId="61BFB59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78804E1"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83004C0"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53331DC"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80CA55A"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306522"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3A49183"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6EFEFF"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C393D26"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AEBC3B5"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w:t>
            </w:r>
          </w:p>
        </w:tc>
      </w:tr>
      <w:tr w:rsidR="00BE6580" w:rsidRPr="00614EA3" w14:paraId="695AF6F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A75773"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D2A394"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Výdavky celkom</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DA4594"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2 615 000,00</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ABE5F3"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1 965 200,00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A19B68"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75,15</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D3AF7B"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1 923 000,00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600058F"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97,85</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E20CCC"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1 863 000,00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11E3C0"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96,88</w:t>
            </w:r>
            <w:r w:rsidRPr="00614EA3">
              <w:rPr>
                <w:rFonts w:ascii="Calibri" w:eastAsia="Times New Roman" w:hAnsi="Calibri" w:cs="Calibri"/>
                <w:sz w:val="24"/>
                <w:szCs w:val="24"/>
                <w:lang w:eastAsia="sk-SK"/>
              </w:rPr>
              <w:t xml:space="preserve"> </w:t>
            </w:r>
          </w:p>
        </w:tc>
      </w:tr>
      <w:tr w:rsidR="00BE6580" w:rsidRPr="00614EA3" w14:paraId="45742B2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C1671A"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600</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9D3692"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Bežné výdavky</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436EFB"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2 615 000,00</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057B43"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1 965 200,00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567848"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75,15</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512BD0"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1 923 000,00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0A933E"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97,85</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BF92B6"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1 863 000,00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6BF3C9"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b/>
                <w:bCs/>
                <w:sz w:val="20"/>
                <w:szCs w:val="20"/>
                <w:lang w:eastAsia="sk-SK"/>
              </w:rPr>
              <w:t>96,88</w:t>
            </w:r>
            <w:r w:rsidRPr="00614EA3">
              <w:rPr>
                <w:rFonts w:ascii="Calibri" w:eastAsia="Times New Roman" w:hAnsi="Calibri" w:cs="Calibri"/>
                <w:sz w:val="24"/>
                <w:szCs w:val="24"/>
                <w:lang w:eastAsia="sk-SK"/>
              </w:rPr>
              <w:t xml:space="preserve"> </w:t>
            </w:r>
          </w:p>
        </w:tc>
      </w:tr>
      <w:tr w:rsidR="00BE6580" w:rsidRPr="00614EA3" w14:paraId="2A75091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A9504A"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630</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79F2C9"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Tovary a služby</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63E2EE"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16 000,00</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05C376"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15 200,00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E288180"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95,00</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FCDA40"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23 000,00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94D9F6B"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151,32</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E9A15E"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23 000,00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AE0504B"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100,00</w:t>
            </w:r>
            <w:r w:rsidRPr="00614EA3">
              <w:rPr>
                <w:rFonts w:ascii="Calibri" w:eastAsia="Times New Roman" w:hAnsi="Calibri" w:cs="Calibri"/>
                <w:sz w:val="24"/>
                <w:szCs w:val="24"/>
                <w:lang w:eastAsia="sk-SK"/>
              </w:rPr>
              <w:t xml:space="preserve"> </w:t>
            </w:r>
          </w:p>
        </w:tc>
      </w:tr>
      <w:tr w:rsidR="00BE6580" w:rsidRPr="00614EA3" w14:paraId="299F226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EB7C64"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650</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1006E1"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Splácanie úrokov</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E4DDEC"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2 599 000,00</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228E10"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1 950 000,00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BB0C1CC"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75,03</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7077B9D"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1 900 000,00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51DFAF8"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97,44</w:t>
            </w:r>
            <w:r w:rsidRPr="00614EA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31DA21"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1 840 000,00</w:t>
            </w:r>
            <w:r w:rsidRPr="00614EA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589FC41" w14:textId="77777777" w:rsidR="00BE6580" w:rsidRPr="00614EA3" w:rsidRDefault="00BE6580" w:rsidP="007468A0">
            <w:pPr>
              <w:spacing w:after="0" w:line="240" w:lineRule="auto"/>
              <w:jc w:val="right"/>
              <w:rPr>
                <w:rFonts w:ascii="Calibri" w:eastAsia="Times New Roman" w:hAnsi="Calibri" w:cs="Calibri"/>
                <w:sz w:val="24"/>
                <w:szCs w:val="24"/>
                <w:lang w:eastAsia="sk-SK"/>
              </w:rPr>
            </w:pPr>
            <w:r w:rsidRPr="00614EA3">
              <w:rPr>
                <w:rFonts w:ascii="Calibri" w:eastAsia="Times New Roman" w:hAnsi="Calibri" w:cs="Calibri"/>
                <w:sz w:val="20"/>
                <w:szCs w:val="20"/>
                <w:lang w:eastAsia="sk-SK"/>
              </w:rPr>
              <w:t>96,84</w:t>
            </w:r>
            <w:r w:rsidRPr="00614EA3">
              <w:rPr>
                <w:rFonts w:ascii="Calibri" w:eastAsia="Times New Roman" w:hAnsi="Calibri" w:cs="Calibri"/>
                <w:sz w:val="24"/>
                <w:szCs w:val="24"/>
                <w:lang w:eastAsia="sk-SK"/>
              </w:rPr>
              <w:t xml:space="preserve"> </w:t>
            </w:r>
          </w:p>
        </w:tc>
      </w:tr>
    </w:tbl>
    <w:p w14:paraId="58F7AC9F" w14:textId="77777777" w:rsidR="00BE6580" w:rsidRPr="00614EA3" w:rsidRDefault="00BE6580" w:rsidP="00BE6580">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31"/>
        <w:gridCol w:w="2031"/>
        <w:gridCol w:w="2031"/>
        <w:gridCol w:w="2046"/>
      </w:tblGrid>
      <w:tr w:rsidR="00BE6580" w:rsidRPr="00614EA3" w14:paraId="4E38253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A63C7C"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6B2A06"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sz w:val="24"/>
                <w:szCs w:val="24"/>
                <w:lang w:eastAsia="sk-SK"/>
              </w:rPr>
              <w:t>Odbor financií</w:t>
            </w:r>
            <w:r w:rsidRPr="00614EA3">
              <w:rPr>
                <w:rFonts w:ascii="Calibri" w:eastAsia="Times New Roman" w:hAnsi="Calibri" w:cs="Calibri"/>
                <w:sz w:val="24"/>
                <w:szCs w:val="24"/>
                <w:lang w:eastAsia="sk-SK"/>
              </w:rPr>
              <w:br/>
            </w:r>
          </w:p>
        </w:tc>
      </w:tr>
      <w:tr w:rsidR="00BE6580" w:rsidRPr="00614EA3" w14:paraId="0159D6E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F94EC7"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501C49"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b/>
                <w:bCs/>
                <w:sz w:val="24"/>
                <w:szCs w:val="24"/>
                <w:lang w:eastAsia="sk-SK"/>
              </w:rPr>
              <w:t>Zabezpečiť plynulý priebeh financovania úloh, potrieb a funkcií kraja v príslušnom roku</w:t>
            </w:r>
          </w:p>
        </w:tc>
      </w:tr>
      <w:tr w:rsidR="00BE6580" w:rsidRPr="00614EA3" w14:paraId="1A0761D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95AF68"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772D07"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sz w:val="24"/>
                <w:szCs w:val="24"/>
                <w:lang w:eastAsia="sk-SK"/>
              </w:rPr>
              <w:t>Počet vykonaných hodnotiacich správ o hospodárení za rok</w:t>
            </w:r>
          </w:p>
        </w:tc>
      </w:tr>
      <w:tr w:rsidR="00BE6580" w:rsidRPr="00614EA3" w14:paraId="7FE7CCA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41A8DC"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F7D064"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028FAE"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4EC9BA"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9D8AEF"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sz w:val="24"/>
                <w:szCs w:val="24"/>
                <w:lang w:eastAsia="sk-SK"/>
              </w:rPr>
              <w:t>2027</w:t>
            </w:r>
          </w:p>
        </w:tc>
      </w:tr>
      <w:tr w:rsidR="00BE6580" w:rsidRPr="00614EA3" w14:paraId="5CA023C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A3676D" w14:textId="77777777" w:rsidR="00BE6580" w:rsidRPr="00614EA3" w:rsidRDefault="00BE6580" w:rsidP="007468A0">
            <w:pPr>
              <w:spacing w:after="0" w:line="240" w:lineRule="auto"/>
              <w:rPr>
                <w:rFonts w:ascii="Calibri" w:eastAsia="Times New Roman" w:hAnsi="Calibri" w:cs="Calibri"/>
                <w:sz w:val="24"/>
                <w:szCs w:val="24"/>
                <w:lang w:eastAsia="sk-SK"/>
              </w:rPr>
            </w:pPr>
            <w:r w:rsidRPr="00614EA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C3C07F"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BCCABD"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b/>
                <w:bCs/>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BA7F25"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AC50AF" w14:textId="77777777" w:rsidR="00BE6580" w:rsidRPr="00614EA3" w:rsidRDefault="00BE6580" w:rsidP="007468A0">
            <w:pPr>
              <w:spacing w:after="0" w:line="240" w:lineRule="auto"/>
              <w:jc w:val="center"/>
              <w:rPr>
                <w:rFonts w:ascii="Calibri" w:eastAsia="Times New Roman" w:hAnsi="Calibri" w:cs="Calibri"/>
                <w:sz w:val="24"/>
                <w:szCs w:val="24"/>
                <w:lang w:eastAsia="sk-SK"/>
              </w:rPr>
            </w:pPr>
            <w:r w:rsidRPr="00614EA3">
              <w:rPr>
                <w:rFonts w:ascii="Calibri" w:eastAsia="Times New Roman" w:hAnsi="Calibri" w:cs="Calibri"/>
                <w:sz w:val="24"/>
                <w:szCs w:val="24"/>
                <w:lang w:eastAsia="sk-SK"/>
              </w:rPr>
              <w:t> 4</w:t>
            </w:r>
          </w:p>
        </w:tc>
      </w:tr>
    </w:tbl>
    <w:p w14:paraId="0689CA89" w14:textId="152E590B" w:rsidR="00BE6580" w:rsidRPr="00614EA3" w:rsidRDefault="00BE6580" w:rsidP="00BE6580">
      <w:pPr>
        <w:spacing w:before="100" w:beforeAutospacing="1" w:after="100" w:afterAutospacing="1" w:line="240" w:lineRule="auto"/>
        <w:jc w:val="both"/>
        <w:rPr>
          <w:rFonts w:ascii="Calibri" w:eastAsia="Times New Roman" w:hAnsi="Calibri" w:cs="Calibri"/>
          <w:sz w:val="24"/>
          <w:szCs w:val="24"/>
          <w:lang w:eastAsia="sk-SK"/>
        </w:rPr>
      </w:pPr>
      <w:r w:rsidRPr="00614EA3">
        <w:rPr>
          <w:rFonts w:ascii="Calibri" w:eastAsia="Times New Roman" w:hAnsi="Calibri" w:cs="Calibri"/>
          <w:b/>
          <w:bCs/>
          <w:sz w:val="24"/>
          <w:szCs w:val="24"/>
          <w:lang w:eastAsia="sk-SK"/>
        </w:rPr>
        <w:t xml:space="preserve">Komentár: </w:t>
      </w:r>
      <w:r w:rsidRPr="00614EA3">
        <w:rPr>
          <w:rFonts w:ascii="Calibri" w:eastAsia="Times New Roman" w:hAnsi="Calibri" w:cs="Calibri"/>
          <w:sz w:val="24"/>
          <w:szCs w:val="24"/>
          <w:lang w:eastAsia="sk-SK"/>
        </w:rPr>
        <w:t xml:space="preserve">V rámci tohto podprogramu zabezpečuje Bratislavský samosprávny kraj všetky úlohy spojené </w:t>
      </w:r>
      <w:r w:rsidR="00E16547">
        <w:rPr>
          <w:rFonts w:ascii="Calibri" w:eastAsia="Times New Roman" w:hAnsi="Calibri" w:cs="Calibri"/>
          <w:sz w:val="24"/>
          <w:szCs w:val="24"/>
          <w:lang w:eastAsia="sk-SK"/>
        </w:rPr>
        <w:br/>
      </w:r>
      <w:r w:rsidRPr="00614EA3">
        <w:rPr>
          <w:rFonts w:ascii="Calibri" w:eastAsia="Times New Roman" w:hAnsi="Calibri" w:cs="Calibri"/>
          <w:sz w:val="24"/>
          <w:szCs w:val="24"/>
          <w:lang w:eastAsia="sk-SK"/>
        </w:rPr>
        <w:t xml:space="preserve">s financovaním kraja vrátane zostavovania, čerpania, zmien a monitoringu rozpočtu, zostavovania </w:t>
      </w:r>
      <w:r w:rsidRPr="00614EA3">
        <w:rPr>
          <w:rFonts w:ascii="Calibri" w:eastAsia="Times New Roman" w:hAnsi="Calibri" w:cs="Calibri"/>
          <w:sz w:val="24"/>
          <w:szCs w:val="24"/>
          <w:lang w:eastAsia="sk-SK"/>
        </w:rPr>
        <w:lastRenderedPageBreak/>
        <w:t xml:space="preserve">záverečného účtu kraja, spravovania návratných zdrojov financovania, dlhovej služby kraja a ďalších úloh </w:t>
      </w:r>
      <w:r w:rsidR="009659E9">
        <w:rPr>
          <w:rFonts w:ascii="Calibri" w:eastAsia="Times New Roman" w:hAnsi="Calibri" w:cs="Calibri"/>
          <w:sz w:val="24"/>
          <w:szCs w:val="24"/>
          <w:lang w:eastAsia="sk-SK"/>
        </w:rPr>
        <w:br/>
      </w:r>
      <w:r w:rsidRPr="00614EA3">
        <w:rPr>
          <w:rFonts w:ascii="Calibri" w:eastAsia="Times New Roman" w:hAnsi="Calibri" w:cs="Calibri"/>
          <w:sz w:val="24"/>
          <w:szCs w:val="24"/>
          <w:lang w:eastAsia="sk-SK"/>
        </w:rPr>
        <w:t>v tejto oblasti. Takisto je v tomto podprograme zahrnuté účtovníctvo kraja vykonávané podľa platných predpisov, vrátane zostavovania individuálnej a konsolidovanej účtovnej závierky kraja, pokladničných operácií, vykonávania inventarizácie finančných prostriedkov a zdrojov, pohľadávok a záväzkov, archivácie účtovných dokladov a ďalších úloh v tejto oblasti.</w:t>
      </w:r>
    </w:p>
    <w:p w14:paraId="5023BC26" w14:textId="77777777" w:rsidR="00B950CB" w:rsidRPr="00867F69" w:rsidRDefault="00B950CB" w:rsidP="00B950CB">
      <w:pPr>
        <w:spacing w:before="100" w:beforeAutospacing="1" w:after="100" w:afterAutospacing="1" w:line="240" w:lineRule="auto"/>
        <w:outlineLvl w:val="2"/>
        <w:rPr>
          <w:rFonts w:ascii="Calibri" w:eastAsia="Times New Roman" w:hAnsi="Calibri" w:cs="Calibri"/>
          <w:b/>
          <w:bCs/>
          <w:sz w:val="27"/>
          <w:szCs w:val="27"/>
          <w:lang w:eastAsia="sk-SK"/>
        </w:rPr>
      </w:pPr>
      <w:r w:rsidRPr="00867F69">
        <w:rPr>
          <w:rFonts w:ascii="Calibri" w:eastAsia="Times New Roman" w:hAnsi="Calibri" w:cs="Calibri"/>
          <w:b/>
          <w:bCs/>
          <w:color w:val="0000FF"/>
          <w:sz w:val="27"/>
          <w:szCs w:val="27"/>
          <w:lang w:eastAsia="sk-SK"/>
        </w:rPr>
        <w:t>Podprogram 1.6: Právne služby</w:t>
      </w:r>
      <w:r w:rsidRPr="00867F69">
        <w:rPr>
          <w:rFonts w:ascii="Calibri" w:eastAsia="Times New Roman" w:hAnsi="Calibri" w:cs="Calibri"/>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
        <w:gridCol w:w="2119"/>
        <w:gridCol w:w="1571"/>
        <w:gridCol w:w="1571"/>
        <w:gridCol w:w="548"/>
        <w:gridCol w:w="1405"/>
        <w:gridCol w:w="548"/>
        <w:gridCol w:w="1406"/>
        <w:gridCol w:w="664"/>
      </w:tblGrid>
      <w:tr w:rsidR="00B950CB" w:rsidRPr="00867F69" w14:paraId="45A34C7D"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5F5E6C8"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b/>
                <w:bCs/>
                <w:i/>
                <w:iCs/>
                <w:sz w:val="24"/>
                <w:szCs w:val="24"/>
                <w:lang w:eastAsia="sk-SK"/>
              </w:rPr>
              <w:t>Rozpočet v EUR</w:t>
            </w:r>
          </w:p>
        </w:tc>
      </w:tr>
      <w:tr w:rsidR="00B950CB" w:rsidRPr="00867F69" w14:paraId="3318974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4BA3C57"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A9A2C9"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1D6AFF1"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4288FDD"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323C690"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E853B69"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844EE5B"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78F047"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5A697C1"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w:t>
            </w:r>
          </w:p>
        </w:tc>
      </w:tr>
      <w:tr w:rsidR="00B950CB" w:rsidRPr="00867F69" w14:paraId="5C7C178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70B2FF"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8FB48E"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Výdavky celkom</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0E9637"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476 000,00</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A55B60"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130 000,00</w:t>
            </w:r>
            <w:r w:rsidRPr="00867F69">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AF4FD7"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27,31</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96AD0B"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60 000,00</w:t>
            </w:r>
            <w:r w:rsidRPr="00867F69">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67952D7"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46,15</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76BE5C2"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60 000,00</w:t>
            </w:r>
            <w:r w:rsidRPr="00867F69">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5A33A4"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100,00</w:t>
            </w:r>
            <w:r w:rsidRPr="00867F69">
              <w:rPr>
                <w:rFonts w:ascii="Calibri" w:eastAsia="Times New Roman" w:hAnsi="Calibri" w:cs="Calibri"/>
                <w:sz w:val="24"/>
                <w:szCs w:val="24"/>
                <w:lang w:eastAsia="sk-SK"/>
              </w:rPr>
              <w:t xml:space="preserve"> </w:t>
            </w:r>
          </w:p>
        </w:tc>
      </w:tr>
      <w:tr w:rsidR="00B950CB" w:rsidRPr="00867F69" w14:paraId="2F7E563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A0A1E4"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600</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6F729B"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Bežné výdavky</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8C88C9"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476 000,00</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68772F"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130 000,00</w:t>
            </w:r>
            <w:r w:rsidRPr="00867F69">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B14320"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27,31</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6928F9"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60 000,00</w:t>
            </w:r>
            <w:r w:rsidRPr="00867F69">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55A627"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46,15</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D4343C"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60 000,00</w:t>
            </w:r>
            <w:r w:rsidRPr="00867F69">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E4A443"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b/>
                <w:bCs/>
                <w:sz w:val="20"/>
                <w:szCs w:val="20"/>
                <w:lang w:eastAsia="sk-SK"/>
              </w:rPr>
              <w:t>100,00</w:t>
            </w:r>
            <w:r w:rsidRPr="00867F69">
              <w:rPr>
                <w:rFonts w:ascii="Calibri" w:eastAsia="Times New Roman" w:hAnsi="Calibri" w:cs="Calibri"/>
                <w:sz w:val="24"/>
                <w:szCs w:val="24"/>
                <w:lang w:eastAsia="sk-SK"/>
              </w:rPr>
              <w:t xml:space="preserve"> </w:t>
            </w:r>
          </w:p>
        </w:tc>
      </w:tr>
      <w:tr w:rsidR="00B950CB" w:rsidRPr="00867F69" w14:paraId="1071EA8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BF28F8"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sz w:val="20"/>
                <w:szCs w:val="20"/>
                <w:lang w:eastAsia="sk-SK"/>
              </w:rPr>
              <w:t>630</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937E85"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sz w:val="20"/>
                <w:szCs w:val="20"/>
                <w:lang w:eastAsia="sk-SK"/>
              </w:rPr>
              <w:t>Tovary a služby</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6998A5"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sz w:val="20"/>
                <w:szCs w:val="20"/>
                <w:lang w:eastAsia="sk-SK"/>
              </w:rPr>
              <w:t>476 000,00</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11D42B"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sz w:val="20"/>
                <w:szCs w:val="20"/>
                <w:lang w:eastAsia="sk-SK"/>
              </w:rPr>
              <w:t>130 000,00</w:t>
            </w:r>
            <w:r w:rsidRPr="00867F69">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6057AEA"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sz w:val="20"/>
                <w:szCs w:val="20"/>
                <w:lang w:eastAsia="sk-SK"/>
              </w:rPr>
              <w:t>27,31</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49689B"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sz w:val="20"/>
                <w:szCs w:val="20"/>
                <w:lang w:eastAsia="sk-SK"/>
              </w:rPr>
              <w:t>60 000,00</w:t>
            </w:r>
            <w:r w:rsidRPr="00867F69">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A3ED70D"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sz w:val="20"/>
                <w:szCs w:val="20"/>
                <w:lang w:eastAsia="sk-SK"/>
              </w:rPr>
              <w:t>46,15</w:t>
            </w:r>
            <w:r w:rsidRPr="00867F69">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CCF846"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sz w:val="20"/>
                <w:szCs w:val="20"/>
                <w:lang w:eastAsia="sk-SK"/>
              </w:rPr>
              <w:t>60 000,00</w:t>
            </w:r>
            <w:r w:rsidRPr="00867F69">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D5D5425" w14:textId="77777777" w:rsidR="00B950CB" w:rsidRPr="00867F69" w:rsidRDefault="00B950CB" w:rsidP="007468A0">
            <w:pPr>
              <w:spacing w:after="0" w:line="240" w:lineRule="auto"/>
              <w:jc w:val="right"/>
              <w:rPr>
                <w:rFonts w:ascii="Calibri" w:eastAsia="Times New Roman" w:hAnsi="Calibri" w:cs="Calibri"/>
                <w:sz w:val="24"/>
                <w:szCs w:val="24"/>
                <w:lang w:eastAsia="sk-SK"/>
              </w:rPr>
            </w:pPr>
            <w:r w:rsidRPr="00867F69">
              <w:rPr>
                <w:rFonts w:ascii="Calibri" w:eastAsia="Times New Roman" w:hAnsi="Calibri" w:cs="Calibri"/>
                <w:sz w:val="20"/>
                <w:szCs w:val="20"/>
                <w:lang w:eastAsia="sk-SK"/>
              </w:rPr>
              <w:t>100,00</w:t>
            </w:r>
            <w:r w:rsidRPr="00867F69">
              <w:rPr>
                <w:rFonts w:ascii="Calibri" w:eastAsia="Times New Roman" w:hAnsi="Calibri" w:cs="Calibri"/>
                <w:sz w:val="24"/>
                <w:szCs w:val="24"/>
                <w:lang w:eastAsia="sk-SK"/>
              </w:rPr>
              <w:t xml:space="preserve"> </w:t>
            </w:r>
          </w:p>
        </w:tc>
      </w:tr>
    </w:tbl>
    <w:p w14:paraId="7D401EA0" w14:textId="77777777" w:rsidR="00B950CB" w:rsidRPr="00867F69" w:rsidRDefault="00B950CB" w:rsidP="00B950CB">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63"/>
        <w:gridCol w:w="1993"/>
        <w:gridCol w:w="1993"/>
        <w:gridCol w:w="1993"/>
        <w:gridCol w:w="2008"/>
      </w:tblGrid>
      <w:tr w:rsidR="00B950CB" w:rsidRPr="00867F69" w14:paraId="5FE3C77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E3E68C"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105D9B"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sz w:val="24"/>
                <w:szCs w:val="24"/>
                <w:lang w:eastAsia="sk-SK"/>
              </w:rPr>
              <w:t>Oddelenie právne</w:t>
            </w:r>
          </w:p>
        </w:tc>
      </w:tr>
      <w:tr w:rsidR="00B950CB" w:rsidRPr="00867F69" w14:paraId="0F91B2B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6911DA"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DEB350"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b/>
                <w:bCs/>
                <w:sz w:val="24"/>
                <w:szCs w:val="24"/>
                <w:lang w:eastAsia="sk-SK"/>
              </w:rPr>
              <w:t>Zabezpečiť internú právnu podporu činností úradu BSK.</w:t>
            </w:r>
          </w:p>
        </w:tc>
      </w:tr>
      <w:tr w:rsidR="00B950CB" w:rsidRPr="00867F69" w14:paraId="6713945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830314"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1A1139"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sz w:val="24"/>
                <w:szCs w:val="24"/>
                <w:lang w:eastAsia="sk-SK"/>
              </w:rPr>
              <w:t>Priemerný počet dní potrebných na spracovanie právneho stanoviska za rok</w:t>
            </w:r>
          </w:p>
        </w:tc>
      </w:tr>
      <w:tr w:rsidR="00B950CB" w:rsidRPr="00867F69" w14:paraId="0F98CEE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2DD4BE"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477DBF"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B00AFD"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A25677"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DBE2CD"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sz w:val="24"/>
                <w:szCs w:val="24"/>
                <w:lang w:eastAsia="sk-SK"/>
              </w:rPr>
              <w:t>2027</w:t>
            </w:r>
          </w:p>
        </w:tc>
      </w:tr>
      <w:tr w:rsidR="00B950CB" w:rsidRPr="00867F69" w14:paraId="596C505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474F0F" w14:textId="77777777" w:rsidR="00B950CB" w:rsidRPr="00867F69" w:rsidRDefault="00B950CB" w:rsidP="007468A0">
            <w:pPr>
              <w:spacing w:after="0" w:line="240" w:lineRule="auto"/>
              <w:rPr>
                <w:rFonts w:ascii="Calibri" w:eastAsia="Times New Roman" w:hAnsi="Calibri" w:cs="Calibri"/>
                <w:sz w:val="24"/>
                <w:szCs w:val="24"/>
                <w:lang w:eastAsia="sk-SK"/>
              </w:rPr>
            </w:pPr>
            <w:r w:rsidRPr="00867F69">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B0E10A"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B640BC"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b/>
                <w:bCs/>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DE28C3"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CEB116" w14:textId="77777777" w:rsidR="00B950CB" w:rsidRPr="00867F69" w:rsidRDefault="00B950CB" w:rsidP="007468A0">
            <w:pPr>
              <w:spacing w:after="0" w:line="240" w:lineRule="auto"/>
              <w:jc w:val="center"/>
              <w:rPr>
                <w:rFonts w:ascii="Calibri" w:eastAsia="Times New Roman" w:hAnsi="Calibri" w:cs="Calibri"/>
                <w:sz w:val="24"/>
                <w:szCs w:val="24"/>
                <w:lang w:eastAsia="sk-SK"/>
              </w:rPr>
            </w:pPr>
            <w:r w:rsidRPr="00867F69">
              <w:rPr>
                <w:rFonts w:ascii="Calibri" w:eastAsia="Times New Roman" w:hAnsi="Calibri" w:cs="Calibri"/>
                <w:sz w:val="24"/>
                <w:szCs w:val="24"/>
                <w:lang w:eastAsia="sk-SK"/>
              </w:rPr>
              <w:t> 5</w:t>
            </w:r>
          </w:p>
        </w:tc>
      </w:tr>
    </w:tbl>
    <w:p w14:paraId="69D6FAAE" w14:textId="4F5A54B8" w:rsidR="00CE589B" w:rsidRPr="00FB2ABF" w:rsidRDefault="00B950CB" w:rsidP="00FB2ABF">
      <w:pPr>
        <w:spacing w:before="100" w:beforeAutospacing="1" w:after="100" w:afterAutospacing="1" w:line="240" w:lineRule="auto"/>
        <w:jc w:val="both"/>
        <w:rPr>
          <w:rFonts w:ascii="Calibri" w:eastAsia="Times New Roman" w:hAnsi="Calibri" w:cs="Calibri"/>
          <w:sz w:val="24"/>
          <w:szCs w:val="24"/>
          <w:lang w:eastAsia="sk-SK"/>
        </w:rPr>
      </w:pPr>
      <w:r w:rsidRPr="00867F69">
        <w:rPr>
          <w:rFonts w:ascii="Calibri" w:eastAsia="Times New Roman" w:hAnsi="Calibri" w:cs="Calibri"/>
          <w:b/>
          <w:bCs/>
          <w:sz w:val="24"/>
          <w:szCs w:val="24"/>
          <w:lang w:eastAsia="sk-SK"/>
        </w:rPr>
        <w:t xml:space="preserve">Komentár: </w:t>
      </w:r>
      <w:r w:rsidRPr="00867F69">
        <w:rPr>
          <w:rFonts w:ascii="Calibri" w:eastAsia="Times New Roman" w:hAnsi="Calibri" w:cs="Calibri"/>
          <w:sz w:val="24"/>
          <w:szCs w:val="24"/>
          <w:lang w:eastAsia="sk-SK"/>
        </w:rPr>
        <w:t>V podprograme sú zahrnuté výdavky na právne služby, poradenstvo a zastupovanie v súdnych sporoch, ale aj rezerva k prebiehajúcim súdnym sporom. Spracovanie právneho stanoviska, ktoré poskytuje právne oddelenie v rámci úradu BSK je v rokoch 2025 - 2027 plánované na 5 dní.</w:t>
      </w:r>
    </w:p>
    <w:p w14:paraId="17A90357" w14:textId="77777777" w:rsidR="0054649D" w:rsidRPr="004612C5" w:rsidRDefault="0054649D" w:rsidP="0054649D">
      <w:pPr>
        <w:spacing w:before="100" w:beforeAutospacing="1" w:after="100" w:afterAutospacing="1" w:line="240" w:lineRule="auto"/>
        <w:outlineLvl w:val="2"/>
        <w:rPr>
          <w:rFonts w:eastAsia="Times New Roman" w:cstheme="minorHAnsi"/>
          <w:b/>
          <w:bCs/>
          <w:color w:val="0000FF"/>
          <w:sz w:val="27"/>
          <w:szCs w:val="27"/>
          <w:lang w:eastAsia="sk-SK"/>
        </w:rPr>
      </w:pPr>
      <w:r w:rsidRPr="004612C5">
        <w:rPr>
          <w:rFonts w:eastAsia="Times New Roman" w:cstheme="minorHAnsi"/>
          <w:b/>
          <w:bCs/>
          <w:color w:val="0000FF"/>
          <w:sz w:val="27"/>
          <w:szCs w:val="27"/>
          <w:lang w:eastAsia="sk-SK"/>
        </w:rPr>
        <w:t xml:space="preserve">Podprogram 1.7: </w:t>
      </w:r>
      <w:proofErr w:type="spellStart"/>
      <w:r w:rsidRPr="004612C5">
        <w:rPr>
          <w:rFonts w:eastAsia="Times New Roman" w:cstheme="minorHAnsi"/>
          <w:b/>
          <w:bCs/>
          <w:color w:val="0000FF"/>
          <w:sz w:val="27"/>
          <w:szCs w:val="27"/>
          <w:lang w:eastAsia="sk-SK"/>
        </w:rPr>
        <w:t>Interact</w:t>
      </w:r>
      <w:proofErr w:type="spellEnd"/>
      <w:r w:rsidRPr="004612C5">
        <w:rPr>
          <w:rFonts w:eastAsia="Times New Roman" w:cstheme="minorHAnsi"/>
          <w:b/>
          <w:bCs/>
          <w:color w:val="0000FF"/>
          <w:sz w:val="27"/>
          <w:szCs w:val="27"/>
          <w:lang w:eastAsia="sk-SK"/>
        </w:rPr>
        <w:t xml:space="preserve"> III </w:t>
      </w:r>
    </w:p>
    <w:p w14:paraId="49F1D4FB" w14:textId="1A03C410" w:rsidR="0054649D" w:rsidRPr="0054649D" w:rsidRDefault="0054649D" w:rsidP="0054649D">
      <w:pPr>
        <w:spacing w:before="100" w:beforeAutospacing="1" w:after="100" w:afterAutospacing="1" w:line="240" w:lineRule="auto"/>
        <w:jc w:val="both"/>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 xml:space="preserve">Zámer: </w:t>
      </w:r>
      <w:r w:rsidRPr="0054649D">
        <w:rPr>
          <w:rFonts w:ascii="Calibri" w:eastAsia="Times New Roman" w:hAnsi="Calibri" w:cs="Calibri"/>
          <w:sz w:val="24"/>
          <w:szCs w:val="24"/>
          <w:lang w:eastAsia="sk-SK"/>
        </w:rPr>
        <w:t xml:space="preserve">: Program </w:t>
      </w:r>
      <w:proofErr w:type="spellStart"/>
      <w:r w:rsidRPr="0054649D">
        <w:rPr>
          <w:rFonts w:ascii="Calibri" w:eastAsia="Times New Roman" w:hAnsi="Calibri" w:cs="Calibri"/>
          <w:sz w:val="24"/>
          <w:szCs w:val="24"/>
          <w:lang w:eastAsia="sk-SK"/>
        </w:rPr>
        <w:t>Interact</w:t>
      </w:r>
      <w:proofErr w:type="spellEnd"/>
      <w:r w:rsidRPr="0054649D">
        <w:rPr>
          <w:rFonts w:ascii="Calibri" w:eastAsia="Times New Roman" w:hAnsi="Calibri" w:cs="Calibri"/>
          <w:sz w:val="24"/>
          <w:szCs w:val="24"/>
          <w:lang w:eastAsia="sk-SK"/>
        </w:rPr>
        <w:t xml:space="preserve"> vznikol v roku 2002 s cieľom posilniť inštitucionálne kapacity orgánov verejnej správy a zainteresovaných strán a efektivitu verejnej správy podporovaním výmeny skúseností týkajúcich sa identifikácie, prenosu a šírenia osvedčených postupov a inovatívnych prístupov v súvislosti s realizáciou programov územnej spolupráce (EÚS alebo </w:t>
      </w:r>
      <w:proofErr w:type="spellStart"/>
      <w:r w:rsidRPr="0054649D">
        <w:rPr>
          <w:rFonts w:ascii="Calibri" w:eastAsia="Times New Roman" w:hAnsi="Calibri" w:cs="Calibri"/>
          <w:sz w:val="24"/>
          <w:szCs w:val="24"/>
          <w:lang w:eastAsia="sk-SK"/>
        </w:rPr>
        <w:t>Interreg</w:t>
      </w:r>
      <w:proofErr w:type="spellEnd"/>
      <w:r w:rsidRPr="0054649D">
        <w:rPr>
          <w:rFonts w:ascii="Calibri" w:eastAsia="Times New Roman" w:hAnsi="Calibri" w:cs="Calibri"/>
          <w:sz w:val="24"/>
          <w:szCs w:val="24"/>
          <w:lang w:eastAsia="sk-SK"/>
        </w:rPr>
        <w:t xml:space="preserve">) a činnosťami súvisiacimi s územnou spoluprácou a využitím Európskych zoskupení územnej spolupráce (EZÚS). </w:t>
      </w:r>
      <w:proofErr w:type="spellStart"/>
      <w:r w:rsidRPr="0054649D">
        <w:rPr>
          <w:rFonts w:ascii="Calibri" w:eastAsia="Times New Roman" w:hAnsi="Calibri" w:cs="Calibri"/>
          <w:sz w:val="24"/>
          <w:szCs w:val="24"/>
          <w:lang w:eastAsia="sk-SK"/>
        </w:rPr>
        <w:t>Interact</w:t>
      </w:r>
      <w:proofErr w:type="spellEnd"/>
      <w:r w:rsidRPr="0054649D">
        <w:rPr>
          <w:rFonts w:ascii="Calibri" w:eastAsia="Times New Roman" w:hAnsi="Calibri" w:cs="Calibri"/>
          <w:sz w:val="24"/>
          <w:szCs w:val="24"/>
          <w:lang w:eastAsia="sk-SK"/>
        </w:rPr>
        <w:t xml:space="preserve"> je program spolufinancovaný </w:t>
      </w:r>
      <w:r w:rsidR="001E7931">
        <w:rPr>
          <w:rFonts w:ascii="Calibri" w:eastAsia="Times New Roman" w:hAnsi="Calibri" w:cs="Calibri"/>
          <w:sz w:val="24"/>
          <w:szCs w:val="24"/>
          <w:lang w:eastAsia="sk-SK"/>
        </w:rPr>
        <w:br/>
      </w:r>
      <w:r w:rsidRPr="0054649D">
        <w:rPr>
          <w:rFonts w:ascii="Calibri" w:eastAsia="Times New Roman" w:hAnsi="Calibri" w:cs="Calibri"/>
          <w:sz w:val="24"/>
          <w:szCs w:val="24"/>
          <w:lang w:eastAsia="sk-SK"/>
        </w:rPr>
        <w:t xml:space="preserve">z Európskeho fondu regionálneho rozvoja a pokrýva celé územie Európskej únie, Nórska a Švajčiarska. Program </w:t>
      </w:r>
      <w:proofErr w:type="spellStart"/>
      <w:r w:rsidRPr="0054649D">
        <w:rPr>
          <w:rFonts w:ascii="Calibri" w:eastAsia="Times New Roman" w:hAnsi="Calibri" w:cs="Calibri"/>
          <w:sz w:val="24"/>
          <w:szCs w:val="24"/>
          <w:lang w:eastAsia="sk-SK"/>
        </w:rPr>
        <w:t>Interact</w:t>
      </w:r>
      <w:proofErr w:type="spellEnd"/>
      <w:r w:rsidRPr="0054649D">
        <w:rPr>
          <w:rFonts w:ascii="Calibri" w:eastAsia="Times New Roman" w:hAnsi="Calibri" w:cs="Calibri"/>
          <w:sz w:val="24"/>
          <w:szCs w:val="24"/>
          <w:lang w:eastAsia="sk-SK"/>
        </w:rPr>
        <w:t xml:space="preserve"> IV 2021-2027 sa zameriava na nasledovné ciele: </w:t>
      </w:r>
    </w:p>
    <w:p w14:paraId="4AD18C02" w14:textId="336F30EE" w:rsidR="002B09C7" w:rsidRDefault="0054649D" w:rsidP="002B09C7">
      <w:pPr>
        <w:spacing w:after="0" w:line="240" w:lineRule="auto"/>
        <w:jc w:val="both"/>
        <w:rPr>
          <w:rFonts w:ascii="Calibri" w:eastAsia="Times New Roman" w:hAnsi="Calibri" w:cs="Calibri"/>
          <w:sz w:val="24"/>
          <w:szCs w:val="24"/>
          <w:lang w:eastAsia="sk-SK"/>
        </w:rPr>
      </w:pPr>
      <w:r w:rsidRPr="0054649D">
        <w:rPr>
          <w:rFonts w:ascii="Calibri" w:eastAsia="Times New Roman" w:hAnsi="Calibri" w:cs="Calibri"/>
          <w:sz w:val="24"/>
          <w:szCs w:val="24"/>
          <w:lang w:eastAsia="sk-SK"/>
        </w:rPr>
        <w:t xml:space="preserve">a) Zvyšovanie kvality riadenia </w:t>
      </w:r>
      <w:proofErr w:type="spellStart"/>
      <w:r w:rsidRPr="0054649D">
        <w:rPr>
          <w:rFonts w:ascii="Calibri" w:eastAsia="Times New Roman" w:hAnsi="Calibri" w:cs="Calibri"/>
          <w:sz w:val="24"/>
          <w:szCs w:val="24"/>
          <w:lang w:eastAsia="sk-SK"/>
        </w:rPr>
        <w:t>Interreg</w:t>
      </w:r>
      <w:proofErr w:type="spellEnd"/>
      <w:r w:rsidRPr="0054649D">
        <w:rPr>
          <w:rFonts w:ascii="Calibri" w:eastAsia="Times New Roman" w:hAnsi="Calibri" w:cs="Calibri"/>
          <w:sz w:val="24"/>
          <w:szCs w:val="24"/>
          <w:lang w:eastAsia="sk-SK"/>
        </w:rPr>
        <w:t xml:space="preserve"> programov, zlepšovanie zručností jednotlivcov, ktorí pracujú v </w:t>
      </w:r>
      <w:proofErr w:type="spellStart"/>
      <w:r w:rsidRPr="0054649D">
        <w:rPr>
          <w:rFonts w:ascii="Calibri" w:eastAsia="Times New Roman" w:hAnsi="Calibri" w:cs="Calibri"/>
          <w:sz w:val="24"/>
          <w:szCs w:val="24"/>
          <w:lang w:eastAsia="sk-SK"/>
        </w:rPr>
        <w:t>Interreg</w:t>
      </w:r>
      <w:proofErr w:type="spellEnd"/>
      <w:r w:rsidRPr="0054649D">
        <w:rPr>
          <w:rFonts w:ascii="Calibri" w:eastAsia="Times New Roman" w:hAnsi="Calibri" w:cs="Calibri"/>
          <w:sz w:val="24"/>
          <w:szCs w:val="24"/>
          <w:lang w:eastAsia="sk-SK"/>
        </w:rPr>
        <w:t xml:space="preserve"> programoch, posilňovanie kapacity programov zachytiť a propagovať svoje výsledky</w:t>
      </w:r>
      <w:r w:rsidR="00233886">
        <w:rPr>
          <w:rFonts w:ascii="Calibri" w:eastAsia="Times New Roman" w:hAnsi="Calibri" w:cs="Calibri"/>
          <w:sz w:val="24"/>
          <w:szCs w:val="24"/>
          <w:lang w:eastAsia="sk-SK"/>
        </w:rPr>
        <w:t>,</w:t>
      </w:r>
      <w:r w:rsidRPr="0054649D">
        <w:rPr>
          <w:rFonts w:ascii="Calibri" w:eastAsia="Times New Roman" w:hAnsi="Calibri" w:cs="Calibri"/>
          <w:sz w:val="24"/>
          <w:szCs w:val="24"/>
          <w:lang w:eastAsia="sk-SK"/>
        </w:rPr>
        <w:t xml:space="preserve"> </w:t>
      </w:r>
    </w:p>
    <w:p w14:paraId="3E3F890D" w14:textId="4BB4F8F2" w:rsidR="0054649D" w:rsidRPr="0054649D" w:rsidRDefault="0054649D" w:rsidP="002B09C7">
      <w:pPr>
        <w:spacing w:after="0" w:line="240" w:lineRule="auto"/>
        <w:jc w:val="both"/>
        <w:rPr>
          <w:rFonts w:ascii="Calibri" w:eastAsia="Times New Roman" w:hAnsi="Calibri" w:cs="Calibri"/>
          <w:sz w:val="24"/>
          <w:szCs w:val="24"/>
          <w:lang w:eastAsia="sk-SK"/>
        </w:rPr>
      </w:pPr>
      <w:r w:rsidRPr="0054649D">
        <w:rPr>
          <w:rFonts w:ascii="Calibri" w:eastAsia="Times New Roman" w:hAnsi="Calibri" w:cs="Calibri"/>
          <w:sz w:val="24"/>
          <w:szCs w:val="24"/>
          <w:lang w:eastAsia="sk-SK"/>
        </w:rPr>
        <w:t>b) Zabezpečovanie výmeny vedomostí, skúseností a príkladov dobrej praxe</w:t>
      </w:r>
      <w:r w:rsidR="00233886">
        <w:rPr>
          <w:rFonts w:ascii="Calibri" w:eastAsia="Times New Roman" w:hAnsi="Calibri" w:cs="Calibri"/>
          <w:sz w:val="24"/>
          <w:szCs w:val="24"/>
          <w:lang w:eastAsia="sk-SK"/>
        </w:rPr>
        <w:t>,</w:t>
      </w:r>
      <w:r w:rsidRPr="0054649D">
        <w:rPr>
          <w:rFonts w:ascii="Calibri" w:eastAsia="Times New Roman" w:hAnsi="Calibri" w:cs="Calibri"/>
          <w:sz w:val="24"/>
          <w:szCs w:val="24"/>
          <w:lang w:eastAsia="sk-SK"/>
        </w:rPr>
        <w:t xml:space="preserve"> </w:t>
      </w:r>
    </w:p>
    <w:p w14:paraId="26798A72" w14:textId="4071C54F" w:rsidR="0054649D" w:rsidRPr="0054649D" w:rsidRDefault="0054649D" w:rsidP="002B09C7">
      <w:pPr>
        <w:spacing w:after="0" w:line="240" w:lineRule="auto"/>
        <w:jc w:val="both"/>
        <w:rPr>
          <w:rFonts w:ascii="Calibri" w:eastAsia="Times New Roman" w:hAnsi="Calibri" w:cs="Calibri"/>
          <w:sz w:val="24"/>
          <w:szCs w:val="24"/>
          <w:lang w:eastAsia="sk-SK"/>
        </w:rPr>
      </w:pPr>
      <w:r w:rsidRPr="0054649D">
        <w:rPr>
          <w:rFonts w:ascii="Calibri" w:eastAsia="Times New Roman" w:hAnsi="Calibri" w:cs="Calibri"/>
          <w:sz w:val="24"/>
          <w:szCs w:val="24"/>
          <w:lang w:eastAsia="sk-SK"/>
        </w:rPr>
        <w:t xml:space="preserve">c) Podporovanie spolupráce a partnerstiev medzi EÚ a tretími krajinami, ktoré sú zapojené v </w:t>
      </w:r>
      <w:proofErr w:type="spellStart"/>
      <w:r w:rsidRPr="0054649D">
        <w:rPr>
          <w:rFonts w:ascii="Calibri" w:eastAsia="Times New Roman" w:hAnsi="Calibri" w:cs="Calibri"/>
          <w:sz w:val="24"/>
          <w:szCs w:val="24"/>
          <w:lang w:eastAsia="sk-SK"/>
        </w:rPr>
        <w:t>Interreg</w:t>
      </w:r>
      <w:proofErr w:type="spellEnd"/>
      <w:r w:rsidRPr="0054649D">
        <w:rPr>
          <w:rFonts w:ascii="Calibri" w:eastAsia="Times New Roman" w:hAnsi="Calibri" w:cs="Calibri"/>
          <w:sz w:val="24"/>
          <w:szCs w:val="24"/>
          <w:lang w:eastAsia="sk-SK"/>
        </w:rPr>
        <w:t xml:space="preserve"> programoch, vrátane krajín IPA a</w:t>
      </w:r>
      <w:r w:rsidR="00233886">
        <w:rPr>
          <w:rFonts w:ascii="Calibri" w:eastAsia="Times New Roman" w:hAnsi="Calibri" w:cs="Calibri"/>
          <w:sz w:val="24"/>
          <w:szCs w:val="24"/>
          <w:lang w:eastAsia="sk-SK"/>
        </w:rPr>
        <w:t> </w:t>
      </w:r>
      <w:r w:rsidRPr="0054649D">
        <w:rPr>
          <w:rFonts w:ascii="Calibri" w:eastAsia="Times New Roman" w:hAnsi="Calibri" w:cs="Calibri"/>
          <w:sz w:val="24"/>
          <w:szCs w:val="24"/>
          <w:lang w:eastAsia="sk-SK"/>
        </w:rPr>
        <w:t>NEXT</w:t>
      </w:r>
      <w:r w:rsidR="00233886">
        <w:rPr>
          <w:rFonts w:ascii="Calibri" w:eastAsia="Times New Roman" w:hAnsi="Calibri" w:cs="Calibri"/>
          <w:sz w:val="24"/>
          <w:szCs w:val="24"/>
          <w:lang w:eastAsia="sk-SK"/>
        </w:rPr>
        <w:t>.</w:t>
      </w:r>
    </w:p>
    <w:p w14:paraId="1FC0FF46" w14:textId="77777777" w:rsidR="0054649D" w:rsidRPr="0054649D" w:rsidRDefault="0054649D" w:rsidP="0054649D">
      <w:pPr>
        <w:spacing w:before="100" w:beforeAutospacing="1" w:after="100" w:afterAutospacing="1" w:line="240" w:lineRule="auto"/>
        <w:jc w:val="both"/>
        <w:rPr>
          <w:rFonts w:ascii="Calibri" w:eastAsia="Times New Roman" w:hAnsi="Calibri" w:cs="Calibri"/>
          <w:sz w:val="24"/>
          <w:szCs w:val="24"/>
          <w:lang w:eastAsia="sk-SK"/>
        </w:rPr>
      </w:pPr>
      <w:r w:rsidRPr="0054649D">
        <w:rPr>
          <w:rFonts w:ascii="Calibri" w:eastAsia="Times New Roman" w:hAnsi="Calibri" w:cs="Calibri"/>
          <w:sz w:val="24"/>
          <w:szCs w:val="24"/>
          <w:lang w:eastAsia="sk-SK"/>
        </w:rPr>
        <w:t xml:space="preserve">Svoje služby poskytuje </w:t>
      </w:r>
      <w:proofErr w:type="spellStart"/>
      <w:r w:rsidRPr="0054649D">
        <w:rPr>
          <w:rFonts w:ascii="Calibri" w:eastAsia="Times New Roman" w:hAnsi="Calibri" w:cs="Calibri"/>
          <w:sz w:val="24"/>
          <w:szCs w:val="24"/>
          <w:lang w:eastAsia="sk-SK"/>
        </w:rPr>
        <w:t>Interact</w:t>
      </w:r>
      <w:proofErr w:type="spellEnd"/>
      <w:r w:rsidRPr="0054649D">
        <w:rPr>
          <w:rFonts w:ascii="Calibri" w:eastAsia="Times New Roman" w:hAnsi="Calibri" w:cs="Calibri"/>
          <w:sz w:val="24"/>
          <w:szCs w:val="24"/>
          <w:lang w:eastAsia="sk-SK"/>
        </w:rPr>
        <w:t xml:space="preserve"> prostredníctvom kancelárií vo Viedni, Valencii, </w:t>
      </w:r>
      <w:proofErr w:type="spellStart"/>
      <w:r w:rsidRPr="0054649D">
        <w:rPr>
          <w:rFonts w:ascii="Calibri" w:eastAsia="Times New Roman" w:hAnsi="Calibri" w:cs="Calibri"/>
          <w:sz w:val="24"/>
          <w:szCs w:val="24"/>
          <w:lang w:eastAsia="sk-SK"/>
        </w:rPr>
        <w:t>Turku</w:t>
      </w:r>
      <w:proofErr w:type="spellEnd"/>
      <w:r w:rsidRPr="0054649D">
        <w:rPr>
          <w:rFonts w:ascii="Calibri" w:eastAsia="Times New Roman" w:hAnsi="Calibri" w:cs="Calibri"/>
          <w:sz w:val="24"/>
          <w:szCs w:val="24"/>
          <w:lang w:eastAsia="sk-SK"/>
        </w:rPr>
        <w:t xml:space="preserve"> a vo </w:t>
      </w:r>
      <w:proofErr w:type="spellStart"/>
      <w:r w:rsidRPr="0054649D">
        <w:rPr>
          <w:rFonts w:ascii="Calibri" w:eastAsia="Times New Roman" w:hAnsi="Calibri" w:cs="Calibri"/>
          <w:sz w:val="24"/>
          <w:szCs w:val="24"/>
          <w:lang w:eastAsia="sk-SK"/>
        </w:rPr>
        <w:t>Viborgu</w:t>
      </w:r>
      <w:proofErr w:type="spellEnd"/>
      <w:r w:rsidRPr="0054649D">
        <w:rPr>
          <w:rFonts w:ascii="Calibri" w:eastAsia="Times New Roman" w:hAnsi="Calibri" w:cs="Calibri"/>
          <w:sz w:val="24"/>
          <w:szCs w:val="24"/>
          <w:lang w:eastAsia="sk-SK"/>
        </w:rPr>
        <w:t>.</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8"/>
        <w:gridCol w:w="2269"/>
        <w:gridCol w:w="1563"/>
        <w:gridCol w:w="1506"/>
        <w:gridCol w:w="649"/>
        <w:gridCol w:w="1145"/>
        <w:gridCol w:w="659"/>
        <w:gridCol w:w="1145"/>
        <w:gridCol w:w="676"/>
      </w:tblGrid>
      <w:tr w:rsidR="0054649D" w:rsidRPr="0054649D" w14:paraId="10A3D027" w14:textId="77777777" w:rsidTr="00D2442C">
        <w:trPr>
          <w:trHeight w:val="291"/>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0DDB53" w14:textId="77777777" w:rsidR="0054649D" w:rsidRPr="0054649D" w:rsidRDefault="0054649D" w:rsidP="0054649D">
            <w:pPr>
              <w:spacing w:after="0" w:line="240" w:lineRule="auto"/>
              <w:jc w:val="center"/>
              <w:rPr>
                <w:rFonts w:ascii="Calibri" w:eastAsia="Times New Roman" w:hAnsi="Calibri" w:cs="Calibri"/>
                <w:sz w:val="24"/>
                <w:szCs w:val="24"/>
                <w:lang w:eastAsia="sk-SK"/>
              </w:rPr>
            </w:pPr>
            <w:r w:rsidRPr="0054649D">
              <w:rPr>
                <w:rFonts w:ascii="Calibri" w:eastAsia="Times New Roman" w:hAnsi="Calibri" w:cs="Calibri"/>
                <w:b/>
                <w:bCs/>
                <w:i/>
                <w:iCs/>
                <w:sz w:val="24"/>
                <w:szCs w:val="24"/>
                <w:lang w:eastAsia="sk-SK"/>
              </w:rPr>
              <w:t>Rozpočet v EUR</w:t>
            </w:r>
          </w:p>
        </w:tc>
      </w:tr>
      <w:tr w:rsidR="00D2442C" w:rsidRPr="0054649D" w14:paraId="4D893977" w14:textId="77777777" w:rsidTr="00C6214F">
        <w:trPr>
          <w:tblCellSpacing w:w="15" w:type="dxa"/>
        </w:trPr>
        <w:tc>
          <w:tcPr>
            <w:tcW w:w="37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7752934" w14:textId="77777777" w:rsidR="00D2442C" w:rsidRPr="0054649D" w:rsidRDefault="00D2442C" w:rsidP="00D2442C">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0"/>
                <w:szCs w:val="20"/>
                <w:lang w:eastAsia="sk-SK"/>
              </w:rPr>
              <w:t>EK</w:t>
            </w:r>
          </w:p>
        </w:tc>
        <w:tc>
          <w:tcPr>
            <w:tcW w:w="107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4BAA334" w14:textId="77777777" w:rsidR="00D2442C" w:rsidRPr="0054649D" w:rsidRDefault="00D2442C" w:rsidP="00D2442C">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0"/>
                <w:szCs w:val="20"/>
                <w:lang w:eastAsia="sk-SK"/>
              </w:rPr>
              <w:t>Ekonomická klasifikácia</w:t>
            </w:r>
          </w:p>
        </w:tc>
        <w:tc>
          <w:tcPr>
            <w:tcW w:w="73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713F0B5" w14:textId="1E8A1693" w:rsidR="00D2442C" w:rsidRPr="0054649D" w:rsidRDefault="00D2442C" w:rsidP="00D2442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b/>
                <w:bCs/>
                <w:sz w:val="20"/>
                <w:szCs w:val="20"/>
              </w:rPr>
              <w:t>2024</w:t>
            </w:r>
          </w:p>
        </w:tc>
        <w:tc>
          <w:tcPr>
            <w:tcW w:w="70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3064266" w14:textId="750E8189" w:rsidR="00D2442C" w:rsidRPr="0054649D" w:rsidRDefault="00D2442C" w:rsidP="00D2442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b/>
                <w:bCs/>
                <w:sz w:val="20"/>
                <w:szCs w:val="20"/>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2DF316" w14:textId="4D974FCB" w:rsidR="00D2442C" w:rsidRPr="0054649D" w:rsidRDefault="00D2442C" w:rsidP="00D2442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b/>
                <w:bCs/>
                <w:sz w:val="20"/>
                <w:szCs w:val="20"/>
              </w:rPr>
              <w:t>%</w:t>
            </w:r>
          </w:p>
        </w:tc>
        <w:tc>
          <w:tcPr>
            <w:tcW w:w="53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D35707" w14:textId="76A41665" w:rsidR="00D2442C" w:rsidRPr="0054649D" w:rsidRDefault="00D2442C" w:rsidP="00D2442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b/>
                <w:bCs/>
                <w:sz w:val="20"/>
                <w:szCs w:val="20"/>
              </w:rPr>
              <w:t>2026</w:t>
            </w:r>
          </w:p>
        </w:tc>
        <w:tc>
          <w:tcPr>
            <w:tcW w:w="30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1BE95B0" w14:textId="574D19F0" w:rsidR="00D2442C" w:rsidRPr="0054649D" w:rsidRDefault="00D2442C" w:rsidP="00D2442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b/>
                <w:bCs/>
                <w:sz w:val="20"/>
                <w:szCs w:val="20"/>
              </w:rPr>
              <w:t>%</w:t>
            </w:r>
          </w:p>
        </w:tc>
        <w:tc>
          <w:tcPr>
            <w:tcW w:w="53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7815B39" w14:textId="5C1D6610" w:rsidR="00D2442C" w:rsidRPr="0054649D" w:rsidRDefault="00D2442C" w:rsidP="00D2442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b/>
                <w:bCs/>
                <w:sz w:val="20"/>
                <w:szCs w:val="20"/>
              </w:rPr>
              <w:t>2027</w:t>
            </w:r>
          </w:p>
        </w:tc>
        <w:tc>
          <w:tcPr>
            <w:tcW w:w="30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8959530" w14:textId="56249D8D" w:rsidR="00D2442C" w:rsidRPr="0054649D" w:rsidRDefault="00D2442C" w:rsidP="00D2442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b/>
                <w:bCs/>
                <w:sz w:val="20"/>
                <w:szCs w:val="20"/>
              </w:rPr>
              <w:t>%</w:t>
            </w:r>
          </w:p>
        </w:tc>
      </w:tr>
      <w:tr w:rsidR="00C6214F" w:rsidRPr="0054649D" w14:paraId="55FEF910" w14:textId="77777777" w:rsidTr="00C6214F">
        <w:trPr>
          <w:tblCellSpacing w:w="15" w:type="dxa"/>
        </w:trPr>
        <w:tc>
          <w:tcPr>
            <w:tcW w:w="37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6E5AB5" w14:textId="77777777" w:rsidR="00C6214F" w:rsidRPr="0054649D" w:rsidRDefault="00C6214F" w:rsidP="00C6214F">
            <w:pPr>
              <w:spacing w:after="0" w:line="240" w:lineRule="auto"/>
              <w:jc w:val="center"/>
              <w:rPr>
                <w:rFonts w:ascii="Calibri" w:eastAsia="Times New Roman" w:hAnsi="Calibri" w:cs="Calibri"/>
                <w:sz w:val="24"/>
                <w:szCs w:val="24"/>
                <w:lang w:eastAsia="sk-SK"/>
              </w:rPr>
            </w:pPr>
          </w:p>
        </w:tc>
        <w:tc>
          <w:tcPr>
            <w:tcW w:w="107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9A8861" w14:textId="77777777" w:rsidR="00C6214F" w:rsidRPr="0054649D" w:rsidRDefault="00C6214F" w:rsidP="00C6214F">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0"/>
                <w:szCs w:val="20"/>
                <w:lang w:eastAsia="sk-SK"/>
              </w:rPr>
              <w:t>Výdavky celkom</w:t>
            </w:r>
            <w:r w:rsidRPr="0054649D">
              <w:rPr>
                <w:rFonts w:ascii="Calibri" w:eastAsia="Times New Roman" w:hAnsi="Calibri" w:cs="Calibri"/>
                <w:sz w:val="24"/>
                <w:szCs w:val="24"/>
                <w:lang w:eastAsia="sk-SK"/>
              </w:rPr>
              <w:t xml:space="preserve"> </w:t>
            </w:r>
          </w:p>
        </w:tc>
        <w:tc>
          <w:tcPr>
            <w:tcW w:w="733"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1B6EB4AD" w14:textId="5E28A0C5"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1 373 248,18</w:t>
            </w:r>
            <w:r w:rsidRPr="00121894">
              <w:rPr>
                <w:rFonts w:ascii="Calibri" w:eastAsia="Times New Roman" w:hAnsi="Calibri" w:cs="Calibri"/>
              </w:rPr>
              <w:t xml:space="preserve"> </w:t>
            </w:r>
          </w:p>
        </w:tc>
        <w:tc>
          <w:tcPr>
            <w:tcW w:w="70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0116169C" w14:textId="132441FA"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1 542 942,15</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476E1645" w14:textId="3B1B0819"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112,36</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6559265D" w14:textId="3B58F5E0"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1 261 015,45</w:t>
            </w:r>
            <w:r w:rsidRPr="00121894">
              <w:rPr>
                <w:rFonts w:ascii="Calibri" w:eastAsia="Times New Roman" w:hAnsi="Calibri" w:cs="Calibri"/>
              </w:rPr>
              <w:t xml:space="preserve"> </w:t>
            </w:r>
          </w:p>
        </w:tc>
        <w:tc>
          <w:tcPr>
            <w:tcW w:w="301"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2821A629" w14:textId="6BDE7612"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81,73</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2DF04DB6" w14:textId="38998E3E"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1 279 816,73</w:t>
            </w:r>
            <w:r w:rsidRPr="00121894">
              <w:rPr>
                <w:rFonts w:ascii="Calibri" w:eastAsia="Times New Roman" w:hAnsi="Calibri" w:cs="Calibri"/>
              </w:rPr>
              <w:t xml:space="preserve"> </w:t>
            </w:r>
          </w:p>
        </w:tc>
        <w:tc>
          <w:tcPr>
            <w:tcW w:w="302"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76E1F849" w14:textId="7B74387F"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101,49</w:t>
            </w:r>
            <w:r w:rsidRPr="00121894">
              <w:rPr>
                <w:rFonts w:ascii="Calibri" w:eastAsia="Times New Roman" w:hAnsi="Calibri" w:cs="Calibri"/>
              </w:rPr>
              <w:t xml:space="preserve"> </w:t>
            </w:r>
          </w:p>
        </w:tc>
      </w:tr>
      <w:tr w:rsidR="00C6214F" w:rsidRPr="0054649D" w14:paraId="6B296861" w14:textId="77777777" w:rsidTr="00C6214F">
        <w:trPr>
          <w:tblCellSpacing w:w="15" w:type="dxa"/>
        </w:trPr>
        <w:tc>
          <w:tcPr>
            <w:tcW w:w="37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A5AE0F" w14:textId="77777777" w:rsidR="00C6214F" w:rsidRPr="0054649D" w:rsidRDefault="00C6214F" w:rsidP="00C6214F">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0"/>
                <w:szCs w:val="20"/>
                <w:lang w:eastAsia="sk-SK"/>
              </w:rPr>
              <w:t>600</w:t>
            </w:r>
            <w:r w:rsidRPr="0054649D">
              <w:rPr>
                <w:rFonts w:ascii="Calibri" w:eastAsia="Times New Roman" w:hAnsi="Calibri" w:cs="Calibri"/>
                <w:sz w:val="24"/>
                <w:szCs w:val="24"/>
                <w:lang w:eastAsia="sk-SK"/>
              </w:rPr>
              <w:t xml:space="preserve"> </w:t>
            </w:r>
          </w:p>
        </w:tc>
        <w:tc>
          <w:tcPr>
            <w:tcW w:w="107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1347B9" w14:textId="77777777" w:rsidR="00C6214F" w:rsidRPr="0054649D" w:rsidRDefault="00C6214F" w:rsidP="00C6214F">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0"/>
                <w:szCs w:val="20"/>
                <w:lang w:eastAsia="sk-SK"/>
              </w:rPr>
              <w:t>Bežné výdavky</w:t>
            </w:r>
            <w:r w:rsidRPr="0054649D">
              <w:rPr>
                <w:rFonts w:ascii="Calibri" w:eastAsia="Times New Roman" w:hAnsi="Calibri" w:cs="Calibri"/>
                <w:sz w:val="24"/>
                <w:szCs w:val="24"/>
                <w:lang w:eastAsia="sk-SK"/>
              </w:rPr>
              <w:t xml:space="preserve"> </w:t>
            </w:r>
          </w:p>
        </w:tc>
        <w:tc>
          <w:tcPr>
            <w:tcW w:w="733"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4AB3489E" w14:textId="3B8D2F74"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1 023 248,18</w:t>
            </w:r>
            <w:r w:rsidRPr="00121894">
              <w:rPr>
                <w:rFonts w:ascii="Calibri" w:eastAsia="Times New Roman" w:hAnsi="Calibri" w:cs="Calibri"/>
              </w:rPr>
              <w:t xml:space="preserve"> </w:t>
            </w:r>
          </w:p>
        </w:tc>
        <w:tc>
          <w:tcPr>
            <w:tcW w:w="70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5AF5A904" w14:textId="022351D9"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1 255 497,30</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1D61F392" w14:textId="617FEC4F"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122,70</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51C9D7D8" w14:textId="34244AEC"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1 214 425,30</w:t>
            </w:r>
            <w:r w:rsidRPr="00121894">
              <w:rPr>
                <w:rFonts w:ascii="Calibri" w:eastAsia="Times New Roman" w:hAnsi="Calibri" w:cs="Calibri"/>
              </w:rPr>
              <w:t xml:space="preserve"> </w:t>
            </w:r>
          </w:p>
        </w:tc>
        <w:tc>
          <w:tcPr>
            <w:tcW w:w="301"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476A4EF6" w14:textId="116496F2"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96,73</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546416DF" w14:textId="14EB5324"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1 233 226,57</w:t>
            </w:r>
            <w:r w:rsidRPr="00121894">
              <w:rPr>
                <w:rFonts w:ascii="Calibri" w:eastAsia="Times New Roman" w:hAnsi="Calibri" w:cs="Calibri"/>
              </w:rPr>
              <w:t xml:space="preserve"> </w:t>
            </w:r>
          </w:p>
        </w:tc>
        <w:tc>
          <w:tcPr>
            <w:tcW w:w="302"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1ECE4B3F" w14:textId="38C2A011" w:rsidR="00C6214F" w:rsidRPr="0054649D" w:rsidRDefault="00C6214F" w:rsidP="00C6214F">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101,55</w:t>
            </w:r>
            <w:r w:rsidRPr="00121894">
              <w:rPr>
                <w:rFonts w:ascii="Calibri" w:eastAsia="Times New Roman" w:hAnsi="Calibri" w:cs="Calibri"/>
              </w:rPr>
              <w:t xml:space="preserve"> </w:t>
            </w:r>
          </w:p>
        </w:tc>
      </w:tr>
      <w:tr w:rsidR="00C6214F" w:rsidRPr="0054649D" w14:paraId="6EF6640F" w14:textId="77777777" w:rsidTr="00C6214F">
        <w:trPr>
          <w:tblCellSpacing w:w="15" w:type="dxa"/>
        </w:trPr>
        <w:tc>
          <w:tcPr>
            <w:tcW w:w="379" w:type="pct"/>
            <w:tcBorders>
              <w:top w:val="outset" w:sz="6" w:space="0" w:color="000000"/>
              <w:left w:val="outset" w:sz="6" w:space="0" w:color="000000"/>
              <w:bottom w:val="outset" w:sz="6" w:space="0" w:color="000000"/>
              <w:right w:val="outset" w:sz="6" w:space="0" w:color="000000"/>
            </w:tcBorders>
            <w:noWrap/>
            <w:vAlign w:val="center"/>
            <w:hideMark/>
          </w:tcPr>
          <w:p w14:paraId="2E964FCB" w14:textId="77777777" w:rsidR="00C6214F" w:rsidRPr="0054649D" w:rsidRDefault="00C6214F" w:rsidP="00C6214F">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0"/>
                <w:szCs w:val="20"/>
                <w:lang w:eastAsia="sk-SK"/>
              </w:rPr>
              <w:t>610</w:t>
            </w:r>
            <w:r w:rsidRPr="0054649D">
              <w:rPr>
                <w:rFonts w:ascii="Calibri" w:eastAsia="Times New Roman" w:hAnsi="Calibri" w:cs="Calibri"/>
                <w:sz w:val="24"/>
                <w:szCs w:val="24"/>
                <w:lang w:eastAsia="sk-SK"/>
              </w:rPr>
              <w:t xml:space="preserve"> </w:t>
            </w:r>
          </w:p>
        </w:tc>
        <w:tc>
          <w:tcPr>
            <w:tcW w:w="1071" w:type="pct"/>
            <w:tcBorders>
              <w:top w:val="outset" w:sz="6" w:space="0" w:color="000000"/>
              <w:left w:val="outset" w:sz="6" w:space="0" w:color="000000"/>
              <w:bottom w:val="outset" w:sz="6" w:space="0" w:color="000000"/>
              <w:right w:val="outset" w:sz="6" w:space="0" w:color="000000"/>
            </w:tcBorders>
            <w:vAlign w:val="center"/>
            <w:hideMark/>
          </w:tcPr>
          <w:p w14:paraId="577FF0A4" w14:textId="77777777" w:rsidR="00C6214F" w:rsidRPr="0054649D" w:rsidRDefault="00C6214F" w:rsidP="00C6214F">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0"/>
                <w:szCs w:val="20"/>
                <w:lang w:eastAsia="sk-SK"/>
              </w:rPr>
              <w:t>Mzdy, platy, ...</w:t>
            </w:r>
            <w:r w:rsidRPr="0054649D">
              <w:rPr>
                <w:rFonts w:ascii="Calibri" w:eastAsia="Times New Roman" w:hAnsi="Calibri" w:cs="Calibri"/>
                <w:sz w:val="24"/>
                <w:szCs w:val="24"/>
                <w:lang w:eastAsia="sk-SK"/>
              </w:rPr>
              <w:t xml:space="preserve"> </w:t>
            </w:r>
          </w:p>
        </w:tc>
        <w:tc>
          <w:tcPr>
            <w:tcW w:w="733" w:type="pct"/>
            <w:tcBorders>
              <w:top w:val="outset" w:sz="6" w:space="0" w:color="000000"/>
              <w:left w:val="outset" w:sz="6" w:space="0" w:color="000000"/>
              <w:bottom w:val="outset" w:sz="6" w:space="0" w:color="000000"/>
              <w:right w:val="outset" w:sz="6" w:space="0" w:color="000000"/>
            </w:tcBorders>
            <w:noWrap/>
            <w:vAlign w:val="center"/>
          </w:tcPr>
          <w:p w14:paraId="623FB1DF" w14:textId="5740B593"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557 016,95</w:t>
            </w:r>
            <w:r w:rsidRPr="00121894">
              <w:rPr>
                <w:rFonts w:ascii="Calibri" w:eastAsia="Times New Roman" w:hAnsi="Calibri" w:cs="Calibri"/>
              </w:rPr>
              <w:t xml:space="preserve"> </w:t>
            </w:r>
          </w:p>
        </w:tc>
        <w:tc>
          <w:tcPr>
            <w:tcW w:w="706" w:type="pct"/>
            <w:tcBorders>
              <w:top w:val="outset" w:sz="6" w:space="0" w:color="000000"/>
              <w:left w:val="outset" w:sz="6" w:space="0" w:color="000000"/>
              <w:bottom w:val="outset" w:sz="6" w:space="0" w:color="000000"/>
              <w:right w:val="outset" w:sz="6" w:space="0" w:color="000000"/>
            </w:tcBorders>
            <w:noWrap/>
            <w:vAlign w:val="center"/>
          </w:tcPr>
          <w:p w14:paraId="4097A03D" w14:textId="7A290D11"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615 787,61</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tcPr>
          <w:p w14:paraId="13EB110A" w14:textId="2960775E"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110,55</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noWrap/>
            <w:vAlign w:val="center"/>
          </w:tcPr>
          <w:p w14:paraId="3BF96E0C" w14:textId="6EE3368A"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627 487,61</w:t>
            </w:r>
            <w:r w:rsidRPr="00121894">
              <w:rPr>
                <w:rFonts w:ascii="Calibri" w:eastAsia="Times New Roman" w:hAnsi="Calibri" w:cs="Calibri"/>
              </w:rPr>
              <w:t xml:space="preserve"> </w:t>
            </w:r>
          </w:p>
        </w:tc>
        <w:tc>
          <w:tcPr>
            <w:tcW w:w="301" w:type="pct"/>
            <w:tcBorders>
              <w:top w:val="outset" w:sz="6" w:space="0" w:color="000000"/>
              <w:left w:val="outset" w:sz="6" w:space="0" w:color="000000"/>
              <w:bottom w:val="outset" w:sz="6" w:space="0" w:color="000000"/>
              <w:right w:val="outset" w:sz="6" w:space="0" w:color="000000"/>
            </w:tcBorders>
            <w:noWrap/>
            <w:vAlign w:val="center"/>
          </w:tcPr>
          <w:p w14:paraId="6AFF8BC9" w14:textId="0DD5235B"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101,90</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noWrap/>
            <w:vAlign w:val="center"/>
          </w:tcPr>
          <w:p w14:paraId="68A29E85" w14:textId="3315D661"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639 937,61</w:t>
            </w:r>
            <w:r w:rsidRPr="00121894">
              <w:rPr>
                <w:rFonts w:ascii="Calibri" w:eastAsia="Times New Roman" w:hAnsi="Calibri" w:cs="Calibri"/>
              </w:rPr>
              <w:t xml:space="preserve"> </w:t>
            </w:r>
          </w:p>
        </w:tc>
        <w:tc>
          <w:tcPr>
            <w:tcW w:w="302" w:type="pct"/>
            <w:tcBorders>
              <w:top w:val="outset" w:sz="6" w:space="0" w:color="000000"/>
              <w:left w:val="outset" w:sz="6" w:space="0" w:color="000000"/>
              <w:bottom w:val="outset" w:sz="6" w:space="0" w:color="000000"/>
              <w:right w:val="outset" w:sz="6" w:space="0" w:color="000000"/>
            </w:tcBorders>
            <w:noWrap/>
            <w:vAlign w:val="center"/>
          </w:tcPr>
          <w:p w14:paraId="41A841F0" w14:textId="67FD8346"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101,98</w:t>
            </w:r>
            <w:r w:rsidRPr="00121894">
              <w:rPr>
                <w:rFonts w:ascii="Calibri" w:eastAsia="Times New Roman" w:hAnsi="Calibri" w:cs="Calibri"/>
              </w:rPr>
              <w:t xml:space="preserve"> </w:t>
            </w:r>
          </w:p>
        </w:tc>
      </w:tr>
      <w:tr w:rsidR="00C6214F" w:rsidRPr="0054649D" w14:paraId="2BACC5C3" w14:textId="77777777" w:rsidTr="00C6214F">
        <w:trPr>
          <w:tblCellSpacing w:w="15" w:type="dxa"/>
        </w:trPr>
        <w:tc>
          <w:tcPr>
            <w:tcW w:w="379" w:type="pct"/>
            <w:tcBorders>
              <w:top w:val="outset" w:sz="6" w:space="0" w:color="000000"/>
              <w:left w:val="outset" w:sz="6" w:space="0" w:color="000000"/>
              <w:bottom w:val="outset" w:sz="6" w:space="0" w:color="000000"/>
              <w:right w:val="outset" w:sz="6" w:space="0" w:color="000000"/>
            </w:tcBorders>
            <w:noWrap/>
            <w:vAlign w:val="center"/>
            <w:hideMark/>
          </w:tcPr>
          <w:p w14:paraId="7D698569" w14:textId="77777777" w:rsidR="00C6214F" w:rsidRPr="0054649D" w:rsidRDefault="00C6214F" w:rsidP="00C6214F">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0"/>
                <w:szCs w:val="20"/>
                <w:lang w:eastAsia="sk-SK"/>
              </w:rPr>
              <w:lastRenderedPageBreak/>
              <w:t>620</w:t>
            </w:r>
            <w:r w:rsidRPr="0054649D">
              <w:rPr>
                <w:rFonts w:ascii="Calibri" w:eastAsia="Times New Roman" w:hAnsi="Calibri" w:cs="Calibri"/>
                <w:sz w:val="24"/>
                <w:szCs w:val="24"/>
                <w:lang w:eastAsia="sk-SK"/>
              </w:rPr>
              <w:t xml:space="preserve"> </w:t>
            </w:r>
          </w:p>
        </w:tc>
        <w:tc>
          <w:tcPr>
            <w:tcW w:w="1071" w:type="pct"/>
            <w:tcBorders>
              <w:top w:val="outset" w:sz="6" w:space="0" w:color="000000"/>
              <w:left w:val="outset" w:sz="6" w:space="0" w:color="000000"/>
              <w:bottom w:val="outset" w:sz="6" w:space="0" w:color="000000"/>
              <w:right w:val="outset" w:sz="6" w:space="0" w:color="000000"/>
            </w:tcBorders>
            <w:vAlign w:val="center"/>
            <w:hideMark/>
          </w:tcPr>
          <w:p w14:paraId="543017FC" w14:textId="77777777" w:rsidR="00C6214F" w:rsidRPr="0054649D" w:rsidRDefault="00C6214F" w:rsidP="00C6214F">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0"/>
                <w:szCs w:val="20"/>
                <w:lang w:eastAsia="sk-SK"/>
              </w:rPr>
              <w:t>Poistné do poisťovní</w:t>
            </w:r>
            <w:r w:rsidRPr="0054649D">
              <w:rPr>
                <w:rFonts w:ascii="Calibri" w:eastAsia="Times New Roman" w:hAnsi="Calibri" w:cs="Calibri"/>
                <w:sz w:val="24"/>
                <w:szCs w:val="24"/>
                <w:lang w:eastAsia="sk-SK"/>
              </w:rPr>
              <w:t xml:space="preserve"> </w:t>
            </w:r>
          </w:p>
        </w:tc>
        <w:tc>
          <w:tcPr>
            <w:tcW w:w="733" w:type="pct"/>
            <w:tcBorders>
              <w:top w:val="outset" w:sz="6" w:space="0" w:color="000000"/>
              <w:left w:val="outset" w:sz="6" w:space="0" w:color="000000"/>
              <w:bottom w:val="outset" w:sz="6" w:space="0" w:color="000000"/>
              <w:right w:val="outset" w:sz="6" w:space="0" w:color="000000"/>
            </w:tcBorders>
            <w:noWrap/>
            <w:vAlign w:val="center"/>
          </w:tcPr>
          <w:p w14:paraId="54150EB7" w14:textId="7A57CF88"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203 104,08</w:t>
            </w:r>
            <w:r w:rsidRPr="00121894">
              <w:rPr>
                <w:rFonts w:ascii="Calibri" w:eastAsia="Times New Roman" w:hAnsi="Calibri" w:cs="Calibri"/>
              </w:rPr>
              <w:t xml:space="preserve"> </w:t>
            </w:r>
          </w:p>
        </w:tc>
        <w:tc>
          <w:tcPr>
            <w:tcW w:w="706" w:type="pct"/>
            <w:tcBorders>
              <w:top w:val="outset" w:sz="6" w:space="0" w:color="000000"/>
              <w:left w:val="outset" w:sz="6" w:space="0" w:color="000000"/>
              <w:bottom w:val="outset" w:sz="6" w:space="0" w:color="000000"/>
              <w:right w:val="outset" w:sz="6" w:space="0" w:color="000000"/>
            </w:tcBorders>
            <w:noWrap/>
            <w:vAlign w:val="center"/>
          </w:tcPr>
          <w:p w14:paraId="46E25919" w14:textId="3D2A251C"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202 034,55</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tcPr>
          <w:p w14:paraId="7480ED05" w14:textId="33806F84"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99,47</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noWrap/>
            <w:vAlign w:val="center"/>
          </w:tcPr>
          <w:p w14:paraId="1111C9F6" w14:textId="60DB3FBC"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206 123,70</w:t>
            </w:r>
            <w:r w:rsidRPr="00121894">
              <w:rPr>
                <w:rFonts w:ascii="Calibri" w:eastAsia="Times New Roman" w:hAnsi="Calibri" w:cs="Calibri"/>
              </w:rPr>
              <w:t xml:space="preserve"> </w:t>
            </w:r>
          </w:p>
        </w:tc>
        <w:tc>
          <w:tcPr>
            <w:tcW w:w="301" w:type="pct"/>
            <w:tcBorders>
              <w:top w:val="outset" w:sz="6" w:space="0" w:color="000000"/>
              <w:left w:val="outset" w:sz="6" w:space="0" w:color="000000"/>
              <w:bottom w:val="outset" w:sz="6" w:space="0" w:color="000000"/>
              <w:right w:val="outset" w:sz="6" w:space="0" w:color="000000"/>
            </w:tcBorders>
            <w:noWrap/>
            <w:vAlign w:val="center"/>
          </w:tcPr>
          <w:p w14:paraId="727DA0A1" w14:textId="7DEBAE33"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102,02</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noWrap/>
            <w:vAlign w:val="center"/>
          </w:tcPr>
          <w:p w14:paraId="58883E84" w14:textId="2E490EB9"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210 474,97</w:t>
            </w:r>
            <w:r w:rsidRPr="00121894">
              <w:rPr>
                <w:rFonts w:ascii="Calibri" w:eastAsia="Times New Roman" w:hAnsi="Calibri" w:cs="Calibri"/>
              </w:rPr>
              <w:t xml:space="preserve"> </w:t>
            </w:r>
          </w:p>
        </w:tc>
        <w:tc>
          <w:tcPr>
            <w:tcW w:w="302" w:type="pct"/>
            <w:tcBorders>
              <w:top w:val="outset" w:sz="6" w:space="0" w:color="000000"/>
              <w:left w:val="outset" w:sz="6" w:space="0" w:color="000000"/>
              <w:bottom w:val="outset" w:sz="6" w:space="0" w:color="000000"/>
              <w:right w:val="outset" w:sz="6" w:space="0" w:color="000000"/>
            </w:tcBorders>
            <w:noWrap/>
            <w:vAlign w:val="center"/>
          </w:tcPr>
          <w:p w14:paraId="7DD33BDF" w14:textId="3644AF0F"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102,11</w:t>
            </w:r>
            <w:r w:rsidRPr="00121894">
              <w:rPr>
                <w:rFonts w:ascii="Calibri" w:eastAsia="Times New Roman" w:hAnsi="Calibri" w:cs="Calibri"/>
              </w:rPr>
              <w:t xml:space="preserve"> </w:t>
            </w:r>
          </w:p>
        </w:tc>
      </w:tr>
      <w:tr w:rsidR="00C6214F" w:rsidRPr="0054649D" w14:paraId="282AF4F4" w14:textId="77777777" w:rsidTr="00C6214F">
        <w:trPr>
          <w:tblCellSpacing w:w="15" w:type="dxa"/>
        </w:trPr>
        <w:tc>
          <w:tcPr>
            <w:tcW w:w="379" w:type="pct"/>
            <w:tcBorders>
              <w:top w:val="outset" w:sz="6" w:space="0" w:color="000000"/>
              <w:left w:val="outset" w:sz="6" w:space="0" w:color="000000"/>
              <w:bottom w:val="outset" w:sz="6" w:space="0" w:color="000000"/>
              <w:right w:val="outset" w:sz="6" w:space="0" w:color="000000"/>
            </w:tcBorders>
            <w:noWrap/>
            <w:vAlign w:val="center"/>
            <w:hideMark/>
          </w:tcPr>
          <w:p w14:paraId="1E2B851C" w14:textId="77777777" w:rsidR="00C6214F" w:rsidRPr="0054649D" w:rsidRDefault="00C6214F" w:rsidP="00C6214F">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0"/>
                <w:szCs w:val="20"/>
                <w:lang w:eastAsia="sk-SK"/>
              </w:rPr>
              <w:t>630</w:t>
            </w:r>
            <w:r w:rsidRPr="0054649D">
              <w:rPr>
                <w:rFonts w:ascii="Calibri" w:eastAsia="Times New Roman" w:hAnsi="Calibri" w:cs="Calibri"/>
                <w:sz w:val="24"/>
                <w:szCs w:val="24"/>
                <w:lang w:eastAsia="sk-SK"/>
              </w:rPr>
              <w:t xml:space="preserve"> </w:t>
            </w:r>
          </w:p>
        </w:tc>
        <w:tc>
          <w:tcPr>
            <w:tcW w:w="1071" w:type="pct"/>
            <w:tcBorders>
              <w:top w:val="outset" w:sz="6" w:space="0" w:color="000000"/>
              <w:left w:val="outset" w:sz="6" w:space="0" w:color="000000"/>
              <w:bottom w:val="outset" w:sz="6" w:space="0" w:color="000000"/>
              <w:right w:val="outset" w:sz="6" w:space="0" w:color="000000"/>
            </w:tcBorders>
            <w:vAlign w:val="center"/>
            <w:hideMark/>
          </w:tcPr>
          <w:p w14:paraId="069E50A7" w14:textId="77777777" w:rsidR="00C6214F" w:rsidRPr="0054649D" w:rsidRDefault="00C6214F" w:rsidP="00C6214F">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0"/>
                <w:szCs w:val="20"/>
                <w:lang w:eastAsia="sk-SK"/>
              </w:rPr>
              <w:t>Tovary a služby</w:t>
            </w:r>
            <w:r w:rsidRPr="0054649D">
              <w:rPr>
                <w:rFonts w:ascii="Calibri" w:eastAsia="Times New Roman" w:hAnsi="Calibri" w:cs="Calibri"/>
                <w:sz w:val="24"/>
                <w:szCs w:val="24"/>
                <w:lang w:eastAsia="sk-SK"/>
              </w:rPr>
              <w:t xml:space="preserve"> </w:t>
            </w:r>
          </w:p>
        </w:tc>
        <w:tc>
          <w:tcPr>
            <w:tcW w:w="733" w:type="pct"/>
            <w:tcBorders>
              <w:top w:val="outset" w:sz="6" w:space="0" w:color="000000"/>
              <w:left w:val="outset" w:sz="6" w:space="0" w:color="000000"/>
              <w:bottom w:val="outset" w:sz="6" w:space="0" w:color="000000"/>
              <w:right w:val="outset" w:sz="6" w:space="0" w:color="000000"/>
            </w:tcBorders>
            <w:noWrap/>
            <w:vAlign w:val="center"/>
          </w:tcPr>
          <w:p w14:paraId="0288C31B" w14:textId="0F4AC5FB"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263 127,15</w:t>
            </w:r>
            <w:r w:rsidRPr="00121894">
              <w:rPr>
                <w:rFonts w:ascii="Calibri" w:eastAsia="Times New Roman" w:hAnsi="Calibri" w:cs="Calibri"/>
              </w:rPr>
              <w:t xml:space="preserve"> </w:t>
            </w:r>
          </w:p>
        </w:tc>
        <w:tc>
          <w:tcPr>
            <w:tcW w:w="706" w:type="pct"/>
            <w:tcBorders>
              <w:top w:val="outset" w:sz="6" w:space="0" w:color="000000"/>
              <w:left w:val="outset" w:sz="6" w:space="0" w:color="000000"/>
              <w:bottom w:val="outset" w:sz="6" w:space="0" w:color="000000"/>
              <w:right w:val="outset" w:sz="6" w:space="0" w:color="000000"/>
            </w:tcBorders>
            <w:noWrap/>
            <w:vAlign w:val="center"/>
          </w:tcPr>
          <w:p w14:paraId="53B18B45" w14:textId="256CF6D1"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437 675,14</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tcPr>
          <w:p w14:paraId="5D38B334" w14:textId="64B4ED8A"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166,34</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noWrap/>
            <w:vAlign w:val="center"/>
          </w:tcPr>
          <w:p w14:paraId="633FBA44" w14:textId="6C28B752"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380 813,99</w:t>
            </w:r>
            <w:r w:rsidRPr="00121894">
              <w:rPr>
                <w:rFonts w:ascii="Calibri" w:eastAsia="Times New Roman" w:hAnsi="Calibri" w:cs="Calibri"/>
              </w:rPr>
              <w:t xml:space="preserve"> </w:t>
            </w:r>
          </w:p>
        </w:tc>
        <w:tc>
          <w:tcPr>
            <w:tcW w:w="301" w:type="pct"/>
            <w:tcBorders>
              <w:top w:val="outset" w:sz="6" w:space="0" w:color="000000"/>
              <w:left w:val="outset" w:sz="6" w:space="0" w:color="000000"/>
              <w:bottom w:val="outset" w:sz="6" w:space="0" w:color="000000"/>
              <w:right w:val="outset" w:sz="6" w:space="0" w:color="000000"/>
            </w:tcBorders>
            <w:noWrap/>
            <w:vAlign w:val="center"/>
          </w:tcPr>
          <w:p w14:paraId="1ED99D85" w14:textId="35069B95"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87,01</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noWrap/>
            <w:vAlign w:val="center"/>
          </w:tcPr>
          <w:p w14:paraId="1D7CB07D" w14:textId="52F6396D"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382 813,99</w:t>
            </w:r>
            <w:r w:rsidRPr="00121894">
              <w:rPr>
                <w:rFonts w:ascii="Calibri" w:eastAsia="Times New Roman" w:hAnsi="Calibri" w:cs="Calibri"/>
              </w:rPr>
              <w:t xml:space="preserve"> </w:t>
            </w:r>
          </w:p>
        </w:tc>
        <w:tc>
          <w:tcPr>
            <w:tcW w:w="302" w:type="pct"/>
            <w:tcBorders>
              <w:top w:val="outset" w:sz="6" w:space="0" w:color="000000"/>
              <w:left w:val="outset" w:sz="6" w:space="0" w:color="000000"/>
              <w:bottom w:val="outset" w:sz="6" w:space="0" w:color="000000"/>
              <w:right w:val="outset" w:sz="6" w:space="0" w:color="000000"/>
            </w:tcBorders>
            <w:noWrap/>
            <w:vAlign w:val="center"/>
          </w:tcPr>
          <w:p w14:paraId="538B7597" w14:textId="3D781E95" w:rsidR="00C6214F" w:rsidRPr="0054649D" w:rsidRDefault="00C6214F" w:rsidP="00C6214F">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100,53</w:t>
            </w:r>
            <w:r w:rsidRPr="00121894">
              <w:rPr>
                <w:rFonts w:ascii="Calibri" w:eastAsia="Times New Roman" w:hAnsi="Calibri" w:cs="Calibri"/>
              </w:rPr>
              <w:t xml:space="preserve"> </w:t>
            </w:r>
          </w:p>
        </w:tc>
      </w:tr>
      <w:tr w:rsidR="006477EE" w:rsidRPr="0054649D" w14:paraId="0E1D8293" w14:textId="77777777" w:rsidTr="00C6214F">
        <w:trPr>
          <w:tblCellSpacing w:w="15" w:type="dxa"/>
        </w:trPr>
        <w:tc>
          <w:tcPr>
            <w:tcW w:w="37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03F8FA" w14:textId="77777777" w:rsidR="006477EE" w:rsidRPr="0054649D" w:rsidRDefault="006477EE" w:rsidP="006477EE">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0"/>
                <w:szCs w:val="20"/>
                <w:lang w:eastAsia="sk-SK"/>
              </w:rPr>
              <w:t>700</w:t>
            </w:r>
            <w:r w:rsidRPr="0054649D">
              <w:rPr>
                <w:rFonts w:ascii="Calibri" w:eastAsia="Times New Roman" w:hAnsi="Calibri" w:cs="Calibri"/>
                <w:sz w:val="24"/>
                <w:szCs w:val="24"/>
                <w:lang w:eastAsia="sk-SK"/>
              </w:rPr>
              <w:t xml:space="preserve"> </w:t>
            </w:r>
          </w:p>
        </w:tc>
        <w:tc>
          <w:tcPr>
            <w:tcW w:w="107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735B79" w14:textId="77777777" w:rsidR="006477EE" w:rsidRPr="0054649D" w:rsidRDefault="006477EE" w:rsidP="006477EE">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0"/>
                <w:szCs w:val="20"/>
                <w:lang w:eastAsia="sk-SK"/>
              </w:rPr>
              <w:t>Kapitálové výdavky</w:t>
            </w:r>
            <w:r w:rsidRPr="0054649D">
              <w:rPr>
                <w:rFonts w:ascii="Calibri" w:eastAsia="Times New Roman" w:hAnsi="Calibri" w:cs="Calibri"/>
                <w:sz w:val="24"/>
                <w:szCs w:val="24"/>
                <w:lang w:eastAsia="sk-SK"/>
              </w:rPr>
              <w:t xml:space="preserve"> </w:t>
            </w:r>
          </w:p>
        </w:tc>
        <w:tc>
          <w:tcPr>
            <w:tcW w:w="733"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568903D4" w14:textId="62DF0561" w:rsidR="006477EE" w:rsidRPr="0054649D" w:rsidRDefault="006477EE" w:rsidP="006477EE">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350 000,00</w:t>
            </w:r>
            <w:r w:rsidRPr="00121894">
              <w:rPr>
                <w:rFonts w:ascii="Calibri" w:eastAsia="Times New Roman" w:hAnsi="Calibri" w:cs="Calibri"/>
              </w:rPr>
              <w:t xml:space="preserve"> </w:t>
            </w:r>
          </w:p>
        </w:tc>
        <w:tc>
          <w:tcPr>
            <w:tcW w:w="70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6164B1CF" w14:textId="08B1673C" w:rsidR="006477EE" w:rsidRPr="0054649D" w:rsidRDefault="006477EE" w:rsidP="006477EE">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287 444,85</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6F062B36" w14:textId="4D49157C" w:rsidR="006477EE" w:rsidRPr="0054649D" w:rsidRDefault="006477EE" w:rsidP="006477EE">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82,13</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5AB4AEBA" w14:textId="6D408F9A" w:rsidR="006477EE" w:rsidRPr="0054649D" w:rsidRDefault="006477EE" w:rsidP="006477EE">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46 590,15</w:t>
            </w:r>
            <w:r w:rsidRPr="00121894">
              <w:rPr>
                <w:rFonts w:ascii="Calibri" w:eastAsia="Times New Roman" w:hAnsi="Calibri" w:cs="Calibri"/>
              </w:rPr>
              <w:t xml:space="preserve"> </w:t>
            </w:r>
          </w:p>
        </w:tc>
        <w:tc>
          <w:tcPr>
            <w:tcW w:w="301"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609FF600" w14:textId="70BA38F8" w:rsidR="006477EE" w:rsidRPr="0054649D" w:rsidRDefault="006477EE" w:rsidP="006477EE">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16,21</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73AD556F" w14:textId="30AEB6E0" w:rsidR="006477EE" w:rsidRPr="0054649D" w:rsidRDefault="006477EE" w:rsidP="006477EE">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46 590,16</w:t>
            </w:r>
            <w:r w:rsidRPr="00121894">
              <w:rPr>
                <w:rFonts w:ascii="Calibri" w:eastAsia="Times New Roman" w:hAnsi="Calibri" w:cs="Calibri"/>
              </w:rPr>
              <w:t xml:space="preserve"> </w:t>
            </w:r>
          </w:p>
        </w:tc>
        <w:tc>
          <w:tcPr>
            <w:tcW w:w="302"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5BB371B1" w14:textId="5F086D05" w:rsidR="006477EE" w:rsidRPr="0054649D" w:rsidRDefault="006477EE" w:rsidP="006477EE">
            <w:pPr>
              <w:spacing w:after="0" w:line="240" w:lineRule="auto"/>
              <w:jc w:val="right"/>
              <w:rPr>
                <w:rFonts w:ascii="Calibri" w:eastAsia="Times New Roman" w:hAnsi="Calibri" w:cs="Calibri"/>
                <w:b/>
                <w:bCs/>
                <w:sz w:val="20"/>
                <w:szCs w:val="20"/>
                <w:lang w:eastAsia="sk-SK"/>
              </w:rPr>
            </w:pPr>
            <w:r w:rsidRPr="00121894">
              <w:rPr>
                <w:rFonts w:ascii="Calibri" w:eastAsia="Times New Roman" w:hAnsi="Calibri" w:cs="Calibri"/>
                <w:b/>
                <w:bCs/>
                <w:sz w:val="20"/>
                <w:szCs w:val="20"/>
              </w:rPr>
              <w:t>100,00</w:t>
            </w:r>
            <w:r w:rsidRPr="00121894">
              <w:rPr>
                <w:rFonts w:ascii="Calibri" w:eastAsia="Times New Roman" w:hAnsi="Calibri" w:cs="Calibri"/>
              </w:rPr>
              <w:t xml:space="preserve"> </w:t>
            </w:r>
          </w:p>
        </w:tc>
      </w:tr>
      <w:tr w:rsidR="006477EE" w:rsidRPr="0054649D" w14:paraId="2F3C44F2" w14:textId="77777777" w:rsidTr="00C6214F">
        <w:trPr>
          <w:tblCellSpacing w:w="15" w:type="dxa"/>
        </w:trPr>
        <w:tc>
          <w:tcPr>
            <w:tcW w:w="379" w:type="pct"/>
            <w:tcBorders>
              <w:top w:val="outset" w:sz="6" w:space="0" w:color="000000"/>
              <w:left w:val="outset" w:sz="6" w:space="0" w:color="000000"/>
              <w:bottom w:val="outset" w:sz="6" w:space="0" w:color="000000"/>
              <w:right w:val="outset" w:sz="6" w:space="0" w:color="000000"/>
            </w:tcBorders>
            <w:noWrap/>
            <w:vAlign w:val="center"/>
            <w:hideMark/>
          </w:tcPr>
          <w:p w14:paraId="1D26EAC4" w14:textId="77777777" w:rsidR="006477EE" w:rsidRPr="0054649D" w:rsidRDefault="006477EE" w:rsidP="006477EE">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0"/>
                <w:szCs w:val="20"/>
                <w:lang w:eastAsia="sk-SK"/>
              </w:rPr>
              <w:t>710</w:t>
            </w:r>
            <w:r w:rsidRPr="0054649D">
              <w:rPr>
                <w:rFonts w:ascii="Calibri" w:eastAsia="Times New Roman" w:hAnsi="Calibri" w:cs="Calibri"/>
                <w:sz w:val="24"/>
                <w:szCs w:val="24"/>
                <w:lang w:eastAsia="sk-SK"/>
              </w:rPr>
              <w:t xml:space="preserve"> </w:t>
            </w:r>
          </w:p>
        </w:tc>
        <w:tc>
          <w:tcPr>
            <w:tcW w:w="1071" w:type="pct"/>
            <w:tcBorders>
              <w:top w:val="outset" w:sz="6" w:space="0" w:color="000000"/>
              <w:left w:val="outset" w:sz="6" w:space="0" w:color="000000"/>
              <w:bottom w:val="outset" w:sz="6" w:space="0" w:color="000000"/>
              <w:right w:val="outset" w:sz="6" w:space="0" w:color="000000"/>
            </w:tcBorders>
            <w:vAlign w:val="center"/>
            <w:hideMark/>
          </w:tcPr>
          <w:p w14:paraId="79091EDE" w14:textId="77777777" w:rsidR="006477EE" w:rsidRPr="0054649D" w:rsidRDefault="006477EE" w:rsidP="006477EE">
            <w:pPr>
              <w:spacing w:after="0" w:line="240" w:lineRule="auto"/>
              <w:rPr>
                <w:rFonts w:ascii="Calibri" w:eastAsia="Times New Roman" w:hAnsi="Calibri" w:cs="Calibri"/>
                <w:sz w:val="24"/>
                <w:szCs w:val="24"/>
                <w:lang w:eastAsia="sk-SK"/>
              </w:rPr>
            </w:pPr>
            <w:proofErr w:type="spellStart"/>
            <w:r w:rsidRPr="0054649D">
              <w:rPr>
                <w:rFonts w:ascii="Calibri" w:eastAsia="Times New Roman" w:hAnsi="Calibri" w:cs="Calibri"/>
                <w:sz w:val="20"/>
                <w:szCs w:val="20"/>
                <w:lang w:eastAsia="sk-SK"/>
              </w:rPr>
              <w:t>Obst</w:t>
            </w:r>
            <w:proofErr w:type="spellEnd"/>
            <w:r w:rsidRPr="0054649D">
              <w:rPr>
                <w:rFonts w:ascii="Calibri" w:eastAsia="Times New Roman" w:hAnsi="Calibri" w:cs="Calibri"/>
                <w:sz w:val="20"/>
                <w:szCs w:val="20"/>
                <w:lang w:eastAsia="sk-SK"/>
              </w:rPr>
              <w:t xml:space="preserve">. </w:t>
            </w:r>
            <w:proofErr w:type="spellStart"/>
            <w:r w:rsidRPr="0054649D">
              <w:rPr>
                <w:rFonts w:ascii="Calibri" w:eastAsia="Times New Roman" w:hAnsi="Calibri" w:cs="Calibri"/>
                <w:sz w:val="20"/>
                <w:szCs w:val="20"/>
                <w:lang w:eastAsia="sk-SK"/>
              </w:rPr>
              <w:t>kapit</w:t>
            </w:r>
            <w:proofErr w:type="spellEnd"/>
            <w:r w:rsidRPr="0054649D">
              <w:rPr>
                <w:rFonts w:ascii="Calibri" w:eastAsia="Times New Roman" w:hAnsi="Calibri" w:cs="Calibri"/>
                <w:sz w:val="20"/>
                <w:szCs w:val="20"/>
                <w:lang w:eastAsia="sk-SK"/>
              </w:rPr>
              <w:t>. aktív</w:t>
            </w:r>
            <w:r w:rsidRPr="0054649D">
              <w:rPr>
                <w:rFonts w:ascii="Calibri" w:eastAsia="Times New Roman" w:hAnsi="Calibri" w:cs="Calibri"/>
                <w:sz w:val="24"/>
                <w:szCs w:val="24"/>
                <w:lang w:eastAsia="sk-SK"/>
              </w:rPr>
              <w:t xml:space="preserve"> </w:t>
            </w:r>
          </w:p>
        </w:tc>
        <w:tc>
          <w:tcPr>
            <w:tcW w:w="733" w:type="pct"/>
            <w:tcBorders>
              <w:top w:val="outset" w:sz="6" w:space="0" w:color="000000"/>
              <w:left w:val="outset" w:sz="6" w:space="0" w:color="000000"/>
              <w:bottom w:val="outset" w:sz="6" w:space="0" w:color="000000"/>
              <w:right w:val="outset" w:sz="6" w:space="0" w:color="000000"/>
            </w:tcBorders>
            <w:noWrap/>
            <w:vAlign w:val="center"/>
          </w:tcPr>
          <w:p w14:paraId="6DF2174B" w14:textId="20A05DA4" w:rsidR="006477EE" w:rsidRPr="0054649D" w:rsidRDefault="006477EE" w:rsidP="006477EE">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350 000,00</w:t>
            </w:r>
            <w:r w:rsidRPr="00121894">
              <w:rPr>
                <w:rFonts w:ascii="Calibri" w:eastAsia="Times New Roman" w:hAnsi="Calibri" w:cs="Calibri"/>
              </w:rPr>
              <w:t xml:space="preserve"> </w:t>
            </w:r>
          </w:p>
        </w:tc>
        <w:tc>
          <w:tcPr>
            <w:tcW w:w="706" w:type="pct"/>
            <w:tcBorders>
              <w:top w:val="outset" w:sz="6" w:space="0" w:color="000000"/>
              <w:left w:val="outset" w:sz="6" w:space="0" w:color="000000"/>
              <w:bottom w:val="outset" w:sz="6" w:space="0" w:color="000000"/>
              <w:right w:val="outset" w:sz="6" w:space="0" w:color="000000"/>
            </w:tcBorders>
            <w:noWrap/>
            <w:vAlign w:val="center"/>
          </w:tcPr>
          <w:p w14:paraId="7B7480C5" w14:textId="66F4CC67" w:rsidR="006477EE" w:rsidRPr="0054649D" w:rsidRDefault="006477EE" w:rsidP="006477EE">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287 444,85</w:t>
            </w:r>
            <w:r w:rsidRPr="00121894">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tcPr>
          <w:p w14:paraId="3F7CEE64" w14:textId="6C624261" w:rsidR="006477EE" w:rsidRPr="0054649D" w:rsidRDefault="006477EE" w:rsidP="006477EE">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82,13</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noWrap/>
            <w:vAlign w:val="center"/>
          </w:tcPr>
          <w:p w14:paraId="36D250AA" w14:textId="69211CBA" w:rsidR="006477EE" w:rsidRPr="0054649D" w:rsidRDefault="006477EE" w:rsidP="006477EE">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46 590,15</w:t>
            </w:r>
            <w:r w:rsidRPr="00121894">
              <w:rPr>
                <w:rFonts w:ascii="Calibri" w:eastAsia="Times New Roman" w:hAnsi="Calibri" w:cs="Calibri"/>
              </w:rPr>
              <w:t xml:space="preserve"> </w:t>
            </w:r>
          </w:p>
        </w:tc>
        <w:tc>
          <w:tcPr>
            <w:tcW w:w="301" w:type="pct"/>
            <w:tcBorders>
              <w:top w:val="outset" w:sz="6" w:space="0" w:color="000000"/>
              <w:left w:val="outset" w:sz="6" w:space="0" w:color="000000"/>
              <w:bottom w:val="outset" w:sz="6" w:space="0" w:color="000000"/>
              <w:right w:val="outset" w:sz="6" w:space="0" w:color="000000"/>
            </w:tcBorders>
            <w:noWrap/>
            <w:vAlign w:val="center"/>
          </w:tcPr>
          <w:p w14:paraId="3D6D5789" w14:textId="6A979ECC" w:rsidR="006477EE" w:rsidRPr="0054649D" w:rsidRDefault="006477EE" w:rsidP="006477EE">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16,21</w:t>
            </w:r>
            <w:r w:rsidRPr="00121894">
              <w:rPr>
                <w:rFonts w:ascii="Calibri" w:eastAsia="Times New Roman" w:hAnsi="Calibri" w:cs="Calibri"/>
              </w:rPr>
              <w:t xml:space="preserve"> </w:t>
            </w:r>
          </w:p>
        </w:tc>
        <w:tc>
          <w:tcPr>
            <w:tcW w:w="533" w:type="pct"/>
            <w:tcBorders>
              <w:top w:val="outset" w:sz="6" w:space="0" w:color="000000"/>
              <w:left w:val="outset" w:sz="6" w:space="0" w:color="000000"/>
              <w:bottom w:val="outset" w:sz="6" w:space="0" w:color="000000"/>
              <w:right w:val="outset" w:sz="6" w:space="0" w:color="000000"/>
            </w:tcBorders>
            <w:noWrap/>
            <w:vAlign w:val="center"/>
          </w:tcPr>
          <w:p w14:paraId="26C3EB14" w14:textId="7338D304" w:rsidR="006477EE" w:rsidRPr="0054649D" w:rsidRDefault="006477EE" w:rsidP="006477EE">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46 590,16</w:t>
            </w:r>
            <w:r w:rsidRPr="00121894">
              <w:rPr>
                <w:rFonts w:ascii="Calibri" w:eastAsia="Times New Roman" w:hAnsi="Calibri" w:cs="Calibri"/>
              </w:rPr>
              <w:t xml:space="preserve"> </w:t>
            </w:r>
          </w:p>
        </w:tc>
        <w:tc>
          <w:tcPr>
            <w:tcW w:w="302" w:type="pct"/>
            <w:tcBorders>
              <w:top w:val="outset" w:sz="6" w:space="0" w:color="000000"/>
              <w:left w:val="outset" w:sz="6" w:space="0" w:color="000000"/>
              <w:bottom w:val="outset" w:sz="6" w:space="0" w:color="000000"/>
              <w:right w:val="outset" w:sz="6" w:space="0" w:color="000000"/>
            </w:tcBorders>
            <w:noWrap/>
            <w:vAlign w:val="center"/>
          </w:tcPr>
          <w:p w14:paraId="451E1C9B" w14:textId="4D4DD20D" w:rsidR="006477EE" w:rsidRPr="0054649D" w:rsidRDefault="006477EE" w:rsidP="006477EE">
            <w:pPr>
              <w:spacing w:after="0" w:line="240" w:lineRule="auto"/>
              <w:jc w:val="right"/>
              <w:rPr>
                <w:rFonts w:ascii="Calibri" w:eastAsia="Times New Roman" w:hAnsi="Calibri" w:cs="Calibri"/>
                <w:sz w:val="20"/>
                <w:szCs w:val="20"/>
                <w:lang w:eastAsia="sk-SK"/>
              </w:rPr>
            </w:pPr>
            <w:r w:rsidRPr="00121894">
              <w:rPr>
                <w:rFonts w:ascii="Calibri" w:eastAsia="Times New Roman" w:hAnsi="Calibri" w:cs="Calibri"/>
                <w:sz w:val="20"/>
                <w:szCs w:val="20"/>
              </w:rPr>
              <w:t>100,00</w:t>
            </w:r>
            <w:r w:rsidRPr="00121894">
              <w:rPr>
                <w:rFonts w:ascii="Calibri" w:eastAsia="Times New Roman" w:hAnsi="Calibri" w:cs="Calibri"/>
              </w:rPr>
              <w:t xml:space="preserve"> </w:t>
            </w:r>
          </w:p>
        </w:tc>
      </w:tr>
    </w:tbl>
    <w:p w14:paraId="362DBB33" w14:textId="77777777" w:rsidR="0054649D" w:rsidRPr="0054649D" w:rsidRDefault="0054649D" w:rsidP="0054649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58"/>
        <w:gridCol w:w="1920"/>
        <w:gridCol w:w="1919"/>
        <w:gridCol w:w="1919"/>
        <w:gridCol w:w="1934"/>
      </w:tblGrid>
      <w:tr w:rsidR="0054649D" w:rsidRPr="0054649D" w14:paraId="3E49CF56"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7371B7"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DE3952"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4"/>
                <w:szCs w:val="24"/>
                <w:lang w:eastAsia="sk-SK"/>
              </w:rPr>
              <w:t>Odbor INTERACT</w:t>
            </w:r>
          </w:p>
        </w:tc>
      </w:tr>
      <w:tr w:rsidR="0054649D" w:rsidRPr="0054649D" w14:paraId="3E98659A"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A3FA33"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C235D8"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Rozvoj a poskytovanie služieb</w:t>
            </w:r>
          </w:p>
        </w:tc>
      </w:tr>
      <w:tr w:rsidR="0054649D" w:rsidRPr="0054649D" w14:paraId="7AA3ECF6"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7E9F61"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B555A8"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4"/>
                <w:szCs w:val="24"/>
                <w:lang w:eastAsia="sk-SK"/>
              </w:rPr>
              <w:t>Účasť na spoločných cezhraničných schémach</w:t>
            </w:r>
          </w:p>
        </w:tc>
      </w:tr>
      <w:tr w:rsidR="00083EDA" w:rsidRPr="0054649D" w14:paraId="3F25E678"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C69EE3" w14:textId="77777777" w:rsidR="00083EDA" w:rsidRPr="0054649D" w:rsidRDefault="00083EDA" w:rsidP="00083EDA">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CA5EAE" w14:textId="24FF42EC" w:rsidR="00083EDA" w:rsidRPr="000B7B5C" w:rsidRDefault="00083EDA" w:rsidP="00083EDA">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9F0890" w14:textId="610FB06B" w:rsidR="00083EDA" w:rsidRPr="000B7B5C" w:rsidRDefault="00083EDA" w:rsidP="00083EDA">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b/>
                <w:bCs/>
                <w:sz w:val="24"/>
                <w:szCs w:val="24"/>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183D81" w14:textId="5BD1BAFD" w:rsidR="00083EDA" w:rsidRPr="000B7B5C" w:rsidRDefault="00083EDA" w:rsidP="00083EDA">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FC3264" w14:textId="3DEA85FC" w:rsidR="00083EDA" w:rsidRPr="000B7B5C" w:rsidRDefault="00083EDA" w:rsidP="00083EDA">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2027</w:t>
            </w:r>
          </w:p>
        </w:tc>
      </w:tr>
      <w:tr w:rsidR="00083EDA" w:rsidRPr="0054649D" w14:paraId="28358778"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074FA7" w14:textId="77777777" w:rsidR="00083EDA" w:rsidRPr="0054649D" w:rsidRDefault="00083EDA" w:rsidP="00083EDA">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878D24" w14:textId="7CAA176D" w:rsidR="00083EDA" w:rsidRPr="000B7B5C" w:rsidRDefault="00083EDA" w:rsidP="00083EDA">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3 045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3E5EE3" w14:textId="6C014557" w:rsidR="00083EDA" w:rsidRPr="000B7B5C" w:rsidRDefault="00083EDA" w:rsidP="00083EDA">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b/>
                <w:bCs/>
                <w:sz w:val="24"/>
                <w:szCs w:val="24"/>
              </w:rPr>
              <w:t>3 136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CB2F3D" w14:textId="05805010" w:rsidR="00083EDA" w:rsidRPr="000B7B5C" w:rsidRDefault="00083EDA" w:rsidP="00083EDA">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3 230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E00BE7" w14:textId="676F8C34" w:rsidR="00083EDA" w:rsidRPr="000B7B5C" w:rsidRDefault="00083EDA" w:rsidP="00083EDA">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3 230</w:t>
            </w:r>
          </w:p>
        </w:tc>
      </w:tr>
      <w:tr w:rsidR="0054649D" w:rsidRPr="0054649D" w14:paraId="3D5FFA9B"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9AC54F"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9042D0"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4"/>
                <w:szCs w:val="24"/>
                <w:lang w:eastAsia="sk-SK"/>
              </w:rPr>
              <w:t>Účasť na spoločných vzdelávacích schémach</w:t>
            </w:r>
          </w:p>
        </w:tc>
      </w:tr>
      <w:tr w:rsidR="000B7B5C" w:rsidRPr="0054649D" w14:paraId="29099F92"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1DEC5E" w14:textId="77777777" w:rsidR="000B7B5C" w:rsidRPr="0054649D" w:rsidRDefault="000B7B5C" w:rsidP="000B7B5C">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01A6BE" w14:textId="30508DE5" w:rsidR="000B7B5C" w:rsidRPr="000B7B5C" w:rsidRDefault="000B7B5C" w:rsidP="000B7B5C">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66A3A3" w14:textId="15913C97" w:rsidR="000B7B5C" w:rsidRPr="000B7B5C" w:rsidRDefault="000B7B5C" w:rsidP="000B7B5C">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b/>
                <w:bCs/>
                <w:sz w:val="24"/>
                <w:szCs w:val="24"/>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A06B2B" w14:textId="238FB979" w:rsidR="000B7B5C" w:rsidRPr="000B7B5C" w:rsidRDefault="000B7B5C" w:rsidP="000B7B5C">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3C5159" w14:textId="1A1F362F" w:rsidR="000B7B5C" w:rsidRPr="000B7B5C" w:rsidRDefault="000B7B5C" w:rsidP="000B7B5C">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2027</w:t>
            </w:r>
          </w:p>
        </w:tc>
      </w:tr>
      <w:tr w:rsidR="000B7B5C" w:rsidRPr="0054649D" w14:paraId="1B3776B1"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3B6E84" w14:textId="77777777" w:rsidR="000B7B5C" w:rsidRPr="0054649D" w:rsidRDefault="000B7B5C" w:rsidP="000B7B5C">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0BACED" w14:textId="3A1D39A6" w:rsidR="000B7B5C" w:rsidRPr="000B7B5C" w:rsidRDefault="000B7B5C" w:rsidP="000B7B5C">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353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F5B406" w14:textId="4CB46CC0" w:rsidR="000B7B5C" w:rsidRPr="000B7B5C" w:rsidRDefault="000B7B5C" w:rsidP="000B7B5C">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b/>
                <w:bCs/>
                <w:sz w:val="24"/>
                <w:szCs w:val="24"/>
              </w:rPr>
              <w:t>396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081F4D" w14:textId="29607499" w:rsidR="000B7B5C" w:rsidRPr="000B7B5C" w:rsidRDefault="000B7B5C" w:rsidP="000B7B5C">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396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A58DA2" w14:textId="00AFD1D5" w:rsidR="000B7B5C" w:rsidRPr="000B7B5C" w:rsidRDefault="000B7B5C" w:rsidP="000B7B5C">
            <w:pPr>
              <w:spacing w:after="0" w:line="240" w:lineRule="auto"/>
              <w:jc w:val="center"/>
              <w:rPr>
                <w:rFonts w:ascii="Calibri" w:eastAsia="Times New Roman" w:hAnsi="Calibri" w:cs="Calibri"/>
                <w:sz w:val="24"/>
                <w:szCs w:val="24"/>
                <w:lang w:eastAsia="sk-SK"/>
              </w:rPr>
            </w:pPr>
            <w:r w:rsidRPr="000B7B5C">
              <w:rPr>
                <w:rFonts w:ascii="Calibri" w:eastAsia="Times New Roman" w:hAnsi="Calibri" w:cs="Calibri"/>
                <w:sz w:val="24"/>
                <w:szCs w:val="24"/>
              </w:rPr>
              <w:t>396</w:t>
            </w:r>
          </w:p>
        </w:tc>
      </w:tr>
      <w:tr w:rsidR="0054649D" w:rsidRPr="0054649D" w14:paraId="51948287"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D11AED"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02B989"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4"/>
                <w:szCs w:val="24"/>
                <w:lang w:eastAsia="sk-SK"/>
              </w:rPr>
              <w:t>Spoločne vyvinuté riešenia</w:t>
            </w:r>
          </w:p>
        </w:tc>
      </w:tr>
      <w:tr w:rsidR="0018613A" w:rsidRPr="0054649D" w14:paraId="13076B17"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605301" w14:textId="77777777" w:rsidR="0018613A" w:rsidRPr="0054649D" w:rsidRDefault="0018613A" w:rsidP="0018613A">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5D1EAA" w14:textId="167D86BC" w:rsidR="0018613A" w:rsidRPr="0018613A" w:rsidRDefault="0018613A" w:rsidP="0018613A">
            <w:pPr>
              <w:spacing w:after="0" w:line="240" w:lineRule="auto"/>
              <w:jc w:val="center"/>
              <w:rPr>
                <w:rFonts w:ascii="Calibri" w:eastAsia="Times New Roman" w:hAnsi="Calibri" w:cs="Calibri"/>
                <w:sz w:val="24"/>
                <w:szCs w:val="24"/>
                <w:lang w:eastAsia="sk-SK"/>
              </w:rPr>
            </w:pPr>
            <w:r w:rsidRPr="0018613A">
              <w:rPr>
                <w:rFonts w:ascii="Calibri" w:eastAsia="Times New Roman" w:hAnsi="Calibri" w:cs="Calibri"/>
                <w:sz w:val="24"/>
                <w:szCs w:val="24"/>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6E164F" w14:textId="57E1BEE1" w:rsidR="0018613A" w:rsidRPr="0018613A" w:rsidRDefault="0018613A" w:rsidP="0018613A">
            <w:pPr>
              <w:spacing w:after="0" w:line="240" w:lineRule="auto"/>
              <w:jc w:val="center"/>
              <w:rPr>
                <w:rFonts w:ascii="Calibri" w:eastAsia="Times New Roman" w:hAnsi="Calibri" w:cs="Calibri"/>
                <w:sz w:val="24"/>
                <w:szCs w:val="24"/>
                <w:lang w:eastAsia="sk-SK"/>
              </w:rPr>
            </w:pPr>
            <w:r w:rsidRPr="0018613A">
              <w:rPr>
                <w:rFonts w:ascii="Calibri" w:eastAsia="Times New Roman" w:hAnsi="Calibri" w:cs="Calibri"/>
                <w:b/>
                <w:bCs/>
                <w:sz w:val="24"/>
                <w:szCs w:val="24"/>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5A912A" w14:textId="4F4EA37D" w:rsidR="0018613A" w:rsidRPr="0018613A" w:rsidRDefault="0018613A" w:rsidP="0018613A">
            <w:pPr>
              <w:spacing w:after="0" w:line="240" w:lineRule="auto"/>
              <w:jc w:val="center"/>
              <w:rPr>
                <w:rFonts w:ascii="Calibri" w:eastAsia="Times New Roman" w:hAnsi="Calibri" w:cs="Calibri"/>
                <w:sz w:val="24"/>
                <w:szCs w:val="24"/>
                <w:lang w:eastAsia="sk-SK"/>
              </w:rPr>
            </w:pPr>
            <w:r w:rsidRPr="0018613A">
              <w:rPr>
                <w:rFonts w:ascii="Calibri" w:eastAsia="Times New Roman" w:hAnsi="Calibri" w:cs="Calibri"/>
                <w:sz w:val="24"/>
                <w:szCs w:val="24"/>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7FE881" w14:textId="18ADE34D" w:rsidR="0018613A" w:rsidRPr="0018613A" w:rsidRDefault="0018613A" w:rsidP="0018613A">
            <w:pPr>
              <w:spacing w:after="0" w:line="240" w:lineRule="auto"/>
              <w:jc w:val="center"/>
              <w:rPr>
                <w:rFonts w:ascii="Calibri" w:eastAsia="Times New Roman" w:hAnsi="Calibri" w:cs="Calibri"/>
                <w:sz w:val="24"/>
                <w:szCs w:val="24"/>
                <w:lang w:eastAsia="sk-SK"/>
              </w:rPr>
            </w:pPr>
            <w:r w:rsidRPr="0018613A">
              <w:rPr>
                <w:rFonts w:ascii="Calibri" w:eastAsia="Times New Roman" w:hAnsi="Calibri" w:cs="Calibri"/>
                <w:sz w:val="24"/>
                <w:szCs w:val="24"/>
              </w:rPr>
              <w:t>2027</w:t>
            </w:r>
          </w:p>
        </w:tc>
      </w:tr>
      <w:tr w:rsidR="0018613A" w:rsidRPr="0054649D" w14:paraId="2DF387E2"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A41D1C" w14:textId="77777777" w:rsidR="0018613A" w:rsidRPr="0054649D" w:rsidRDefault="0018613A" w:rsidP="0018613A">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FD8727" w14:textId="2A6EAD92" w:rsidR="0018613A" w:rsidRPr="0018613A" w:rsidRDefault="0018613A" w:rsidP="0018613A">
            <w:pPr>
              <w:spacing w:after="0" w:line="240" w:lineRule="auto"/>
              <w:jc w:val="center"/>
              <w:rPr>
                <w:rFonts w:ascii="Calibri" w:eastAsia="Times New Roman" w:hAnsi="Calibri" w:cs="Calibri"/>
                <w:sz w:val="24"/>
                <w:szCs w:val="24"/>
                <w:lang w:eastAsia="sk-SK"/>
              </w:rPr>
            </w:pPr>
            <w:r w:rsidRPr="0018613A">
              <w:rPr>
                <w:rFonts w:ascii="Calibri" w:eastAsia="Times New Roman" w:hAnsi="Calibri" w:cs="Calibri"/>
                <w:sz w:val="24"/>
                <w:szCs w:val="24"/>
              </w:rPr>
              <w:t>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369DB0" w14:textId="36ADFFEE" w:rsidR="0018613A" w:rsidRPr="0018613A" w:rsidRDefault="0018613A" w:rsidP="0018613A">
            <w:pPr>
              <w:spacing w:after="0" w:line="240" w:lineRule="auto"/>
              <w:jc w:val="center"/>
              <w:rPr>
                <w:rFonts w:ascii="Calibri" w:eastAsia="Times New Roman" w:hAnsi="Calibri" w:cs="Calibri"/>
                <w:sz w:val="24"/>
                <w:szCs w:val="24"/>
                <w:lang w:eastAsia="sk-SK"/>
              </w:rPr>
            </w:pPr>
            <w:r w:rsidRPr="0018613A">
              <w:rPr>
                <w:rFonts w:ascii="Calibri" w:eastAsia="Times New Roman" w:hAnsi="Calibri" w:cs="Calibri"/>
                <w:b/>
                <w:bCs/>
                <w:sz w:val="24"/>
                <w:szCs w:val="24"/>
              </w:rPr>
              <w:t>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4C3D75" w14:textId="53840E67" w:rsidR="0018613A" w:rsidRPr="0018613A" w:rsidRDefault="0018613A" w:rsidP="0018613A">
            <w:pPr>
              <w:spacing w:after="0" w:line="240" w:lineRule="auto"/>
              <w:jc w:val="center"/>
              <w:rPr>
                <w:rFonts w:ascii="Calibri" w:eastAsia="Times New Roman" w:hAnsi="Calibri" w:cs="Calibri"/>
                <w:sz w:val="24"/>
                <w:szCs w:val="24"/>
                <w:lang w:eastAsia="sk-SK"/>
              </w:rPr>
            </w:pPr>
            <w:r w:rsidRPr="0018613A">
              <w:rPr>
                <w:rFonts w:ascii="Calibri" w:eastAsia="Times New Roman" w:hAnsi="Calibri" w:cs="Calibri"/>
                <w:sz w:val="24"/>
                <w:szCs w:val="24"/>
              </w:rPr>
              <w:t>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DE8727" w14:textId="2CB65BF1" w:rsidR="0018613A" w:rsidRPr="0018613A" w:rsidRDefault="0018613A" w:rsidP="0018613A">
            <w:pPr>
              <w:spacing w:after="0" w:line="240" w:lineRule="auto"/>
              <w:jc w:val="center"/>
              <w:rPr>
                <w:rFonts w:ascii="Calibri" w:eastAsia="Times New Roman" w:hAnsi="Calibri" w:cs="Calibri"/>
                <w:sz w:val="24"/>
                <w:szCs w:val="24"/>
                <w:lang w:eastAsia="sk-SK"/>
              </w:rPr>
            </w:pPr>
            <w:r w:rsidRPr="0018613A">
              <w:rPr>
                <w:rFonts w:ascii="Calibri" w:eastAsia="Times New Roman" w:hAnsi="Calibri" w:cs="Calibri"/>
                <w:sz w:val="24"/>
                <w:szCs w:val="24"/>
              </w:rPr>
              <w:t>50</w:t>
            </w:r>
          </w:p>
        </w:tc>
      </w:tr>
      <w:tr w:rsidR="0054649D" w:rsidRPr="0054649D" w14:paraId="6957D53F"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B0C317"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393FF9"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Technická pomoc</w:t>
            </w:r>
          </w:p>
        </w:tc>
      </w:tr>
      <w:tr w:rsidR="0054649D" w:rsidRPr="0054649D" w14:paraId="1564FEB7"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9CCF04"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BECA55"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4"/>
                <w:szCs w:val="24"/>
                <w:lang w:eastAsia="sk-SK"/>
              </w:rPr>
              <w:t>Zasadnutia monitorovacieho výboru</w:t>
            </w:r>
          </w:p>
        </w:tc>
      </w:tr>
      <w:tr w:rsidR="00447676" w:rsidRPr="0054649D" w14:paraId="1AD8DEB9"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8C722B" w14:textId="77777777" w:rsidR="00447676" w:rsidRPr="0054649D" w:rsidRDefault="00447676" w:rsidP="00447676">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04C498" w14:textId="43CC80AE" w:rsidR="00447676" w:rsidRPr="0054649D" w:rsidRDefault="00447676" w:rsidP="00447676">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F6E76A" w14:textId="751B2145" w:rsidR="00447676" w:rsidRPr="0054649D" w:rsidRDefault="00447676" w:rsidP="00447676">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18B26F" w14:textId="035C1EDA" w:rsidR="00447676" w:rsidRPr="0054649D" w:rsidRDefault="00447676" w:rsidP="00447676">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823FDD" w14:textId="3B9408BD" w:rsidR="00447676" w:rsidRPr="0054649D" w:rsidRDefault="00447676" w:rsidP="00447676">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2027</w:t>
            </w:r>
          </w:p>
        </w:tc>
      </w:tr>
      <w:tr w:rsidR="00447676" w:rsidRPr="0054649D" w14:paraId="688E8152"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E52618" w14:textId="77777777" w:rsidR="00447676" w:rsidRPr="0054649D" w:rsidRDefault="00447676" w:rsidP="00447676">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F313C0" w14:textId="1D2FC3CA" w:rsidR="00447676" w:rsidRPr="0054649D" w:rsidRDefault="00447676" w:rsidP="00447676">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498CF6" w14:textId="04F15E05" w:rsidR="00447676" w:rsidRPr="0054649D" w:rsidRDefault="00447676" w:rsidP="00447676">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b/>
                <w:bCs/>
              </w:rPr>
              <w:t>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B17588" w14:textId="24EFB8AB" w:rsidR="00447676" w:rsidRPr="0054649D" w:rsidRDefault="00447676" w:rsidP="00447676">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F6DD24" w14:textId="6F2313B4" w:rsidR="00447676" w:rsidRPr="0054649D" w:rsidRDefault="00447676" w:rsidP="00447676">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2</w:t>
            </w:r>
          </w:p>
        </w:tc>
      </w:tr>
      <w:tr w:rsidR="0054649D" w:rsidRPr="0054649D" w14:paraId="239AE959"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041F6D"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365D02" w14:textId="77777777" w:rsidR="0054649D" w:rsidRPr="0054649D" w:rsidRDefault="0054649D" w:rsidP="0054649D">
            <w:pPr>
              <w:spacing w:after="0" w:line="240" w:lineRule="auto"/>
              <w:rPr>
                <w:rFonts w:ascii="Calibri" w:eastAsia="Times New Roman" w:hAnsi="Calibri" w:cs="Calibri"/>
                <w:sz w:val="24"/>
                <w:szCs w:val="24"/>
                <w:lang w:eastAsia="sk-SK"/>
              </w:rPr>
            </w:pPr>
            <w:r w:rsidRPr="0054649D">
              <w:rPr>
                <w:rFonts w:ascii="Calibri" w:eastAsia="Times New Roman" w:hAnsi="Calibri" w:cs="Calibri"/>
                <w:sz w:val="24"/>
                <w:szCs w:val="24"/>
                <w:lang w:eastAsia="sk-SK"/>
              </w:rPr>
              <w:t>Vypracovanie výročnej správy o realizovaní programu spolupráce</w:t>
            </w:r>
          </w:p>
        </w:tc>
      </w:tr>
      <w:tr w:rsidR="0021446C" w:rsidRPr="0054649D" w14:paraId="117B5A7B"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F6CA16" w14:textId="77777777" w:rsidR="0021446C" w:rsidRPr="0054649D" w:rsidRDefault="0021446C" w:rsidP="0021446C">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B35DCB" w14:textId="7182238E" w:rsidR="0021446C" w:rsidRPr="0054649D" w:rsidRDefault="0021446C" w:rsidP="0021446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22309A" w14:textId="5964A8C9" w:rsidR="0021446C" w:rsidRPr="0054649D" w:rsidRDefault="0021446C" w:rsidP="0021446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AF6787" w14:textId="35D744FF" w:rsidR="0021446C" w:rsidRPr="0054649D" w:rsidRDefault="0021446C" w:rsidP="0021446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2368E1" w14:textId="7DE5C947" w:rsidR="0021446C" w:rsidRPr="0054649D" w:rsidRDefault="0021446C" w:rsidP="0021446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2027</w:t>
            </w:r>
          </w:p>
        </w:tc>
      </w:tr>
      <w:tr w:rsidR="0021446C" w:rsidRPr="0054649D" w14:paraId="5886E96C"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4AD2E3" w14:textId="77777777" w:rsidR="0021446C" w:rsidRPr="0054649D" w:rsidRDefault="0021446C" w:rsidP="0021446C">
            <w:pPr>
              <w:spacing w:after="0" w:line="240" w:lineRule="auto"/>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891CC5" w14:textId="68CE4759" w:rsidR="0021446C" w:rsidRPr="0054649D" w:rsidRDefault="0021446C" w:rsidP="0021446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215DEC" w14:textId="66340057" w:rsidR="0021446C" w:rsidRPr="0054649D" w:rsidRDefault="0021446C" w:rsidP="0021446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b/>
                <w:bCs/>
              </w:rPr>
              <w:t>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1D14F4" w14:textId="729A6994" w:rsidR="0021446C" w:rsidRPr="0054649D" w:rsidRDefault="0021446C" w:rsidP="0021446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B9B5F8" w14:textId="7DD0EF39" w:rsidR="0021446C" w:rsidRPr="0054649D" w:rsidRDefault="0021446C" w:rsidP="0021446C">
            <w:pPr>
              <w:spacing w:after="0" w:line="240" w:lineRule="auto"/>
              <w:jc w:val="center"/>
              <w:rPr>
                <w:rFonts w:ascii="Calibri" w:eastAsia="Times New Roman" w:hAnsi="Calibri" w:cs="Calibri"/>
                <w:sz w:val="24"/>
                <w:szCs w:val="24"/>
                <w:lang w:eastAsia="sk-SK"/>
              </w:rPr>
            </w:pPr>
            <w:r w:rsidRPr="00121894">
              <w:rPr>
                <w:rFonts w:ascii="Calibri" w:eastAsia="Times New Roman" w:hAnsi="Calibri" w:cs="Calibri"/>
              </w:rPr>
              <w:t>0</w:t>
            </w:r>
          </w:p>
        </w:tc>
      </w:tr>
    </w:tbl>
    <w:p w14:paraId="4AB5B7AA" w14:textId="70F953F6" w:rsidR="0054649D" w:rsidRPr="0054649D" w:rsidRDefault="0054649D" w:rsidP="0054649D">
      <w:pPr>
        <w:spacing w:before="100" w:beforeAutospacing="1" w:after="100" w:afterAutospacing="1" w:line="240" w:lineRule="auto"/>
        <w:jc w:val="both"/>
        <w:rPr>
          <w:rFonts w:ascii="Calibri" w:eastAsia="Times New Roman" w:hAnsi="Calibri" w:cs="Calibri"/>
          <w:sz w:val="24"/>
          <w:szCs w:val="24"/>
          <w:lang w:eastAsia="sk-SK"/>
        </w:rPr>
      </w:pPr>
      <w:r w:rsidRPr="0054649D">
        <w:rPr>
          <w:rFonts w:ascii="Calibri" w:eastAsia="Times New Roman" w:hAnsi="Calibri" w:cs="Calibri"/>
          <w:b/>
          <w:bCs/>
          <w:sz w:val="24"/>
          <w:szCs w:val="24"/>
          <w:lang w:eastAsia="sk-SK"/>
        </w:rPr>
        <w:t xml:space="preserve">Komentár: </w:t>
      </w:r>
      <w:r w:rsidRPr="0054649D">
        <w:rPr>
          <w:rFonts w:ascii="Calibri" w:eastAsia="Times New Roman" w:hAnsi="Calibri" w:cs="Calibri"/>
          <w:sz w:val="24"/>
          <w:szCs w:val="24"/>
          <w:lang w:eastAsia="sk-SK"/>
        </w:rPr>
        <w:t>Rok 202</w:t>
      </w:r>
      <w:r w:rsidR="006840EC">
        <w:rPr>
          <w:rFonts w:ascii="Calibri" w:eastAsia="Times New Roman" w:hAnsi="Calibri" w:cs="Calibri"/>
          <w:sz w:val="24"/>
          <w:szCs w:val="24"/>
          <w:lang w:eastAsia="sk-SK"/>
        </w:rPr>
        <w:t>5</w:t>
      </w:r>
      <w:r w:rsidRPr="0054649D">
        <w:rPr>
          <w:rFonts w:ascii="Calibri" w:eastAsia="Times New Roman" w:hAnsi="Calibri" w:cs="Calibri"/>
          <w:sz w:val="24"/>
          <w:szCs w:val="24"/>
          <w:lang w:eastAsia="sk-SK"/>
        </w:rPr>
        <w:t xml:space="preserve"> bude naďalej v znamení implementácie nového programu </w:t>
      </w:r>
      <w:proofErr w:type="spellStart"/>
      <w:r w:rsidRPr="0054649D">
        <w:rPr>
          <w:rFonts w:ascii="Calibri" w:eastAsia="Times New Roman" w:hAnsi="Calibri" w:cs="Calibri"/>
          <w:sz w:val="24"/>
          <w:szCs w:val="24"/>
          <w:lang w:eastAsia="sk-SK"/>
        </w:rPr>
        <w:t>Interact</w:t>
      </w:r>
      <w:proofErr w:type="spellEnd"/>
      <w:r w:rsidRPr="0054649D">
        <w:rPr>
          <w:rFonts w:ascii="Calibri" w:eastAsia="Times New Roman" w:hAnsi="Calibri" w:cs="Calibri"/>
          <w:sz w:val="24"/>
          <w:szCs w:val="24"/>
          <w:lang w:eastAsia="sk-SK"/>
        </w:rPr>
        <w:t xml:space="preserve"> IV 2021-2027.</w:t>
      </w:r>
    </w:p>
    <w:p w14:paraId="39C6F30D" w14:textId="77777777" w:rsidR="0005542D" w:rsidRPr="00CE17DD" w:rsidRDefault="0005542D" w:rsidP="0005542D">
      <w:pPr>
        <w:pStyle w:val="Normlnywebov"/>
        <w:jc w:val="both"/>
        <w:rPr>
          <w:rFonts w:asciiTheme="minorHAnsi" w:hAnsiTheme="minorHAnsi" w:cstheme="minorHAnsi"/>
        </w:rPr>
      </w:pPr>
      <w:r w:rsidRPr="00E300BA">
        <w:rPr>
          <w:rFonts w:asciiTheme="minorHAnsi" w:hAnsiTheme="minorHAnsi" w:cstheme="minorHAnsi"/>
          <w:u w:val="single"/>
        </w:rPr>
        <w:t>POSKYTOVANIE SLUŽIEB - PODUJATIA</w:t>
      </w:r>
      <w:r w:rsidRPr="00CE17DD">
        <w:rPr>
          <w:rFonts w:asciiTheme="minorHAnsi" w:hAnsiTheme="minorHAnsi" w:cstheme="minorHAnsi"/>
        </w:rPr>
        <w:t xml:space="preserve"> (účasť na spoločných cezhraničných a vzdelávacích schémach)</w:t>
      </w:r>
    </w:p>
    <w:p w14:paraId="20670660" w14:textId="77777777" w:rsidR="0005542D" w:rsidRPr="00CE17DD" w:rsidRDefault="0005542D" w:rsidP="001E61E3">
      <w:pPr>
        <w:pStyle w:val="Normlnywebov"/>
        <w:spacing w:before="0" w:beforeAutospacing="0" w:after="0" w:afterAutospacing="0"/>
        <w:jc w:val="both"/>
        <w:rPr>
          <w:rFonts w:asciiTheme="minorHAnsi" w:hAnsiTheme="minorHAnsi" w:cstheme="minorHAnsi"/>
        </w:rPr>
      </w:pPr>
      <w:r w:rsidRPr="00CE17DD">
        <w:rPr>
          <w:rFonts w:asciiTheme="minorHAnsi" w:hAnsiTheme="minorHAnsi" w:cstheme="minorHAnsi"/>
        </w:rPr>
        <w:t xml:space="preserve">1) </w:t>
      </w:r>
      <w:proofErr w:type="spellStart"/>
      <w:r w:rsidRPr="00CE17DD">
        <w:rPr>
          <w:rFonts w:asciiTheme="minorHAnsi" w:hAnsiTheme="minorHAnsi" w:cstheme="minorHAnsi"/>
        </w:rPr>
        <w:t>Interreg</w:t>
      </w:r>
      <w:proofErr w:type="spellEnd"/>
      <w:r w:rsidRPr="00CE17DD">
        <w:rPr>
          <w:rFonts w:asciiTheme="minorHAnsi" w:hAnsiTheme="minorHAnsi" w:cstheme="minorHAnsi"/>
        </w:rPr>
        <w:t xml:space="preserve"> </w:t>
      </w:r>
      <w:proofErr w:type="spellStart"/>
      <w:r w:rsidRPr="00CE17DD">
        <w:rPr>
          <w:rFonts w:asciiTheme="minorHAnsi" w:hAnsiTheme="minorHAnsi" w:cstheme="minorHAnsi"/>
        </w:rPr>
        <w:t>Knowledge</w:t>
      </w:r>
      <w:proofErr w:type="spellEnd"/>
      <w:r w:rsidRPr="00CE17DD">
        <w:rPr>
          <w:rFonts w:asciiTheme="minorHAnsi" w:hAnsiTheme="minorHAnsi" w:cstheme="minorHAnsi"/>
        </w:rPr>
        <w:t xml:space="preserve"> Fair je v roku 2025 naplánovaný ako dvojdňové podujatie na október alebo november. V prvý deň je naplánovaných niekoľko paralelne prebiehajúcich workshopov a prednášok s témou implementácie, programového a finančného manažmentu aktuálneho programového obdobia. Druhý deň bude zameraný na nastavenie programového obdobia 2028-2035 v súvislosti s novou legislatívou, ktorá by mala byť v tom čase známa.</w:t>
      </w:r>
    </w:p>
    <w:p w14:paraId="2B6C63BF" w14:textId="77777777" w:rsidR="0005542D" w:rsidRPr="00CE17DD" w:rsidRDefault="0005542D" w:rsidP="001E61E3">
      <w:pPr>
        <w:pStyle w:val="Normlnywebov"/>
        <w:spacing w:before="0" w:beforeAutospacing="0" w:after="0" w:afterAutospacing="0"/>
        <w:jc w:val="both"/>
        <w:rPr>
          <w:rFonts w:asciiTheme="minorHAnsi" w:hAnsiTheme="minorHAnsi" w:cstheme="minorHAnsi"/>
        </w:rPr>
      </w:pPr>
      <w:r w:rsidRPr="00CE17DD">
        <w:rPr>
          <w:rFonts w:asciiTheme="minorHAnsi" w:hAnsiTheme="minorHAnsi" w:cstheme="minorHAnsi"/>
        </w:rPr>
        <w:t xml:space="preserve">2) V marci 2025 bude </w:t>
      </w:r>
      <w:proofErr w:type="spellStart"/>
      <w:r w:rsidRPr="00CE17DD">
        <w:rPr>
          <w:rFonts w:asciiTheme="minorHAnsi" w:hAnsiTheme="minorHAnsi" w:cstheme="minorHAnsi"/>
        </w:rPr>
        <w:t>Interact</w:t>
      </w:r>
      <w:proofErr w:type="spellEnd"/>
      <w:r w:rsidRPr="00CE17DD">
        <w:rPr>
          <w:rFonts w:asciiTheme="minorHAnsi" w:hAnsiTheme="minorHAnsi" w:cstheme="minorHAnsi"/>
        </w:rPr>
        <w:t xml:space="preserve"> aktívne participovať na podujatí organizovanom Európskou komisiou "</w:t>
      </w:r>
      <w:proofErr w:type="spellStart"/>
      <w:r w:rsidRPr="00CE17DD">
        <w:rPr>
          <w:rFonts w:asciiTheme="minorHAnsi" w:hAnsiTheme="minorHAnsi" w:cstheme="minorHAnsi"/>
        </w:rPr>
        <w:t>Interreg</w:t>
      </w:r>
      <w:proofErr w:type="spellEnd"/>
      <w:r w:rsidRPr="00CE17DD">
        <w:rPr>
          <w:rFonts w:asciiTheme="minorHAnsi" w:hAnsiTheme="minorHAnsi" w:cstheme="minorHAnsi"/>
        </w:rPr>
        <w:t xml:space="preserve"> Go", v rámci ktorého budú prezentované prvé náčrty nasledujúceho programového obdobia v nadväznosti na závery konzultácií s </w:t>
      </w:r>
      <w:proofErr w:type="spellStart"/>
      <w:r w:rsidRPr="00CE17DD">
        <w:rPr>
          <w:rFonts w:asciiTheme="minorHAnsi" w:hAnsiTheme="minorHAnsi" w:cstheme="minorHAnsi"/>
        </w:rPr>
        <w:t>Interreg</w:t>
      </w:r>
      <w:proofErr w:type="spellEnd"/>
      <w:r w:rsidRPr="00CE17DD">
        <w:rPr>
          <w:rFonts w:asciiTheme="minorHAnsi" w:hAnsiTheme="minorHAnsi" w:cstheme="minorHAnsi"/>
        </w:rPr>
        <w:t xml:space="preserve"> programami ohľadom potrieb v ďalšom programovom období.</w:t>
      </w:r>
    </w:p>
    <w:p w14:paraId="30D73C22" w14:textId="295A2C21" w:rsidR="001E61E3" w:rsidRPr="00CE17DD" w:rsidRDefault="0005542D" w:rsidP="001E61E3">
      <w:pPr>
        <w:pStyle w:val="Normlnywebov"/>
        <w:spacing w:before="0" w:beforeAutospacing="0" w:after="0" w:afterAutospacing="0"/>
        <w:jc w:val="both"/>
        <w:rPr>
          <w:rFonts w:asciiTheme="minorHAnsi" w:hAnsiTheme="minorHAnsi" w:cstheme="minorHAnsi"/>
        </w:rPr>
      </w:pPr>
      <w:r w:rsidRPr="00CE17DD">
        <w:rPr>
          <w:rFonts w:asciiTheme="minorHAnsi" w:hAnsiTheme="minorHAnsi" w:cstheme="minorHAnsi"/>
        </w:rPr>
        <w:t>3) V roku 2025 bude naďalej venovaná pozornosť organizácii podujatí na rôzne témy finančného riadenia, najmä na overovanie výdavkov s rizikovo orientovaným prístupom a auditu, takisto oblasti riadenia projektov a tiež komunikácie.</w:t>
      </w:r>
    </w:p>
    <w:p w14:paraId="1AB1F9BA" w14:textId="77777777" w:rsidR="0005542D" w:rsidRPr="00CE17DD" w:rsidRDefault="0005542D" w:rsidP="0005542D">
      <w:pPr>
        <w:pStyle w:val="Normlnywebov"/>
        <w:jc w:val="both"/>
        <w:rPr>
          <w:rFonts w:asciiTheme="minorHAnsi" w:hAnsiTheme="minorHAnsi" w:cstheme="minorHAnsi"/>
        </w:rPr>
      </w:pPr>
      <w:r w:rsidRPr="00E300BA">
        <w:rPr>
          <w:rFonts w:asciiTheme="minorHAnsi" w:hAnsiTheme="minorHAnsi" w:cstheme="minorHAnsi"/>
          <w:u w:val="single"/>
        </w:rPr>
        <w:t>POSKYTOVANIE SLUŽIEB – NÁSTROJE</w:t>
      </w:r>
      <w:r w:rsidRPr="00CE17DD">
        <w:rPr>
          <w:rFonts w:asciiTheme="minorHAnsi" w:hAnsiTheme="minorHAnsi" w:cstheme="minorHAnsi"/>
        </w:rPr>
        <w:t xml:space="preserve"> (spoločne vyvinuté riešenia)</w:t>
      </w:r>
    </w:p>
    <w:p w14:paraId="38C62651" w14:textId="77777777" w:rsidR="0005542D" w:rsidRPr="00CE17DD" w:rsidRDefault="0005542D" w:rsidP="001E61E3">
      <w:pPr>
        <w:pStyle w:val="Normlnywebov"/>
        <w:spacing w:before="0" w:beforeAutospacing="0" w:after="0" w:afterAutospacing="0"/>
        <w:jc w:val="both"/>
        <w:rPr>
          <w:rFonts w:asciiTheme="minorHAnsi" w:hAnsiTheme="minorHAnsi" w:cstheme="minorHAnsi"/>
        </w:rPr>
      </w:pPr>
      <w:r w:rsidRPr="00CE17DD">
        <w:rPr>
          <w:rFonts w:asciiTheme="minorHAnsi" w:hAnsiTheme="minorHAnsi" w:cstheme="minorHAnsi"/>
        </w:rPr>
        <w:t xml:space="preserve">1) </w:t>
      </w:r>
      <w:proofErr w:type="spellStart"/>
      <w:r w:rsidRPr="00CE17DD">
        <w:rPr>
          <w:rFonts w:asciiTheme="minorHAnsi" w:hAnsiTheme="minorHAnsi" w:cstheme="minorHAnsi"/>
        </w:rPr>
        <w:t>Interact</w:t>
      </w:r>
      <w:proofErr w:type="spellEnd"/>
      <w:r w:rsidRPr="00CE17DD">
        <w:rPr>
          <w:rFonts w:asciiTheme="minorHAnsi" w:hAnsiTheme="minorHAnsi" w:cstheme="minorHAnsi"/>
        </w:rPr>
        <w:t xml:space="preserve"> predstaví inovovanú verziu webovej lokality interreg.eu s príťažlivejším vizuálom, novými funkcionalitami a uľahčením orientácie a prehľadnosťou informácií pre užívateľov.</w:t>
      </w:r>
    </w:p>
    <w:p w14:paraId="24B8D1C9" w14:textId="77777777" w:rsidR="0005542D" w:rsidRPr="00CE17DD" w:rsidRDefault="0005542D" w:rsidP="001E61E3">
      <w:pPr>
        <w:pStyle w:val="Normlnywebov"/>
        <w:spacing w:before="0" w:beforeAutospacing="0" w:after="0" w:afterAutospacing="0"/>
        <w:jc w:val="both"/>
        <w:rPr>
          <w:rFonts w:asciiTheme="minorHAnsi" w:hAnsiTheme="minorHAnsi" w:cstheme="minorHAnsi"/>
        </w:rPr>
      </w:pPr>
      <w:r w:rsidRPr="00CE17DD">
        <w:rPr>
          <w:rFonts w:asciiTheme="minorHAnsi" w:hAnsiTheme="minorHAnsi" w:cstheme="minorHAnsi"/>
        </w:rPr>
        <w:lastRenderedPageBreak/>
        <w:t xml:space="preserve">2) </w:t>
      </w:r>
      <w:proofErr w:type="spellStart"/>
      <w:r w:rsidRPr="00CE17DD">
        <w:rPr>
          <w:rFonts w:asciiTheme="minorHAnsi" w:hAnsiTheme="minorHAnsi" w:cstheme="minorHAnsi"/>
        </w:rPr>
        <w:t>Interact</w:t>
      </w:r>
      <w:proofErr w:type="spellEnd"/>
      <w:r w:rsidRPr="00CE17DD">
        <w:rPr>
          <w:rFonts w:asciiTheme="minorHAnsi" w:hAnsiTheme="minorHAnsi" w:cstheme="minorHAnsi"/>
        </w:rPr>
        <w:t xml:space="preserve"> naďalej aktualizuje nový elektronický monitorovací systém pre programové obdobie 2021-2027 s</w:t>
      </w:r>
      <w:r>
        <w:rPr>
          <w:rFonts w:asciiTheme="minorHAnsi" w:hAnsiTheme="minorHAnsi" w:cstheme="minorHAnsi"/>
        </w:rPr>
        <w:t> </w:t>
      </w:r>
      <w:r w:rsidRPr="00CE17DD">
        <w:rPr>
          <w:rFonts w:asciiTheme="minorHAnsi" w:hAnsiTheme="minorHAnsi" w:cstheme="minorHAnsi"/>
        </w:rPr>
        <w:t xml:space="preserve">názvom </w:t>
      </w:r>
      <w:proofErr w:type="spellStart"/>
      <w:r w:rsidRPr="00CE17DD">
        <w:rPr>
          <w:rFonts w:asciiTheme="minorHAnsi" w:hAnsiTheme="minorHAnsi" w:cstheme="minorHAnsi"/>
        </w:rPr>
        <w:t>Jems</w:t>
      </w:r>
      <w:proofErr w:type="spellEnd"/>
      <w:r w:rsidRPr="00CE17DD">
        <w:rPr>
          <w:rFonts w:asciiTheme="minorHAnsi" w:hAnsiTheme="minorHAnsi" w:cstheme="minorHAnsi"/>
        </w:rPr>
        <w:t xml:space="preserve">, ktorý budú môcť bezodplatne využívať všetky </w:t>
      </w:r>
      <w:proofErr w:type="spellStart"/>
      <w:r w:rsidRPr="00CE17DD">
        <w:rPr>
          <w:rFonts w:asciiTheme="minorHAnsi" w:hAnsiTheme="minorHAnsi" w:cstheme="minorHAnsi"/>
        </w:rPr>
        <w:t>Interreg</w:t>
      </w:r>
      <w:proofErr w:type="spellEnd"/>
      <w:r w:rsidRPr="00CE17DD">
        <w:rPr>
          <w:rFonts w:asciiTheme="minorHAnsi" w:hAnsiTheme="minorHAnsi" w:cstheme="minorHAnsi"/>
        </w:rPr>
        <w:t xml:space="preserve"> programy a ktorého prvé moduly boli k dispozícii už na jar 2021.</w:t>
      </w:r>
    </w:p>
    <w:p w14:paraId="6154D61F" w14:textId="77777777" w:rsidR="0005542D" w:rsidRPr="00CE17DD" w:rsidRDefault="0005542D" w:rsidP="001E61E3">
      <w:pPr>
        <w:pStyle w:val="Normlnywebov"/>
        <w:spacing w:before="0" w:beforeAutospacing="0" w:after="0" w:afterAutospacing="0"/>
        <w:jc w:val="both"/>
        <w:rPr>
          <w:rFonts w:asciiTheme="minorHAnsi" w:hAnsiTheme="minorHAnsi" w:cstheme="minorHAnsi"/>
        </w:rPr>
      </w:pPr>
      <w:r w:rsidRPr="00CE17DD">
        <w:rPr>
          <w:rFonts w:asciiTheme="minorHAnsi" w:hAnsiTheme="minorHAnsi" w:cstheme="minorHAnsi"/>
        </w:rPr>
        <w:t xml:space="preserve">3) </w:t>
      </w:r>
      <w:proofErr w:type="spellStart"/>
      <w:r w:rsidRPr="00CE17DD">
        <w:rPr>
          <w:rFonts w:asciiTheme="minorHAnsi" w:hAnsiTheme="minorHAnsi" w:cstheme="minorHAnsi"/>
        </w:rPr>
        <w:t>Interact</w:t>
      </w:r>
      <w:proofErr w:type="spellEnd"/>
      <w:r w:rsidRPr="00CE17DD">
        <w:rPr>
          <w:rFonts w:asciiTheme="minorHAnsi" w:hAnsiTheme="minorHAnsi" w:cstheme="minorHAnsi"/>
        </w:rPr>
        <w:t xml:space="preserve"> prostredníctvom svojej </w:t>
      </w:r>
      <w:proofErr w:type="spellStart"/>
      <w:r w:rsidRPr="00CE17DD">
        <w:rPr>
          <w:rFonts w:asciiTheme="minorHAnsi" w:hAnsiTheme="minorHAnsi" w:cstheme="minorHAnsi"/>
        </w:rPr>
        <w:t>Interact</w:t>
      </w:r>
      <w:proofErr w:type="spellEnd"/>
      <w:r w:rsidRPr="00CE17DD">
        <w:rPr>
          <w:rFonts w:asciiTheme="minorHAnsi" w:hAnsiTheme="minorHAnsi" w:cstheme="minorHAnsi"/>
        </w:rPr>
        <w:t xml:space="preserve"> </w:t>
      </w:r>
      <w:proofErr w:type="spellStart"/>
      <w:r w:rsidRPr="00CE17DD">
        <w:rPr>
          <w:rFonts w:asciiTheme="minorHAnsi" w:hAnsiTheme="minorHAnsi" w:cstheme="minorHAnsi"/>
        </w:rPr>
        <w:t>Academy</w:t>
      </w:r>
      <w:proofErr w:type="spellEnd"/>
      <w:r w:rsidRPr="00CE17DD">
        <w:rPr>
          <w:rFonts w:asciiTheme="minorHAnsi" w:hAnsiTheme="minorHAnsi" w:cstheme="minorHAnsi"/>
        </w:rPr>
        <w:t xml:space="preserve"> ponúkne nové vzdelávacie online kurzy z oblasti programového a finančného manažmentu </w:t>
      </w:r>
      <w:proofErr w:type="spellStart"/>
      <w:r w:rsidRPr="00CE17DD">
        <w:rPr>
          <w:rFonts w:asciiTheme="minorHAnsi" w:hAnsiTheme="minorHAnsi" w:cstheme="minorHAnsi"/>
        </w:rPr>
        <w:t>Interreg</w:t>
      </w:r>
      <w:proofErr w:type="spellEnd"/>
      <w:r w:rsidRPr="00CE17DD">
        <w:rPr>
          <w:rFonts w:asciiTheme="minorHAnsi" w:hAnsiTheme="minorHAnsi" w:cstheme="minorHAnsi"/>
        </w:rPr>
        <w:t xml:space="preserve"> programov.</w:t>
      </w:r>
    </w:p>
    <w:p w14:paraId="0EA755C1" w14:textId="77777777" w:rsidR="0005542D" w:rsidRPr="00E300BA" w:rsidRDefault="0005542D" w:rsidP="0005542D">
      <w:pPr>
        <w:pStyle w:val="Normlnywebov"/>
        <w:jc w:val="both"/>
        <w:rPr>
          <w:rFonts w:asciiTheme="minorHAnsi" w:hAnsiTheme="minorHAnsi" w:cstheme="minorHAnsi"/>
          <w:u w:val="single"/>
        </w:rPr>
      </w:pPr>
      <w:r w:rsidRPr="00E300BA">
        <w:rPr>
          <w:rFonts w:asciiTheme="minorHAnsi" w:hAnsiTheme="minorHAnsi" w:cstheme="minorHAnsi"/>
          <w:u w:val="single"/>
        </w:rPr>
        <w:t>TECHNICKÁ POMOC – ZASADNUTIA MONITOROVACIEHO VÝBORU</w:t>
      </w:r>
    </w:p>
    <w:p w14:paraId="44919592" w14:textId="77777777" w:rsidR="0005542D" w:rsidRPr="00582B97" w:rsidRDefault="0005542D" w:rsidP="0005542D">
      <w:pPr>
        <w:pStyle w:val="Normlnywebov"/>
        <w:jc w:val="both"/>
        <w:rPr>
          <w:rFonts w:asciiTheme="minorHAnsi" w:hAnsiTheme="minorHAnsi" w:cstheme="minorHAnsi"/>
        </w:rPr>
      </w:pPr>
      <w:r w:rsidRPr="00CE17DD">
        <w:rPr>
          <w:rFonts w:asciiTheme="minorHAnsi" w:hAnsiTheme="minorHAnsi" w:cstheme="minorHAnsi"/>
        </w:rPr>
        <w:t xml:space="preserve">Na základe schváleného rokovacieho poriadku monitorovacieho výboru programu </w:t>
      </w:r>
      <w:proofErr w:type="spellStart"/>
      <w:r w:rsidRPr="00CE17DD">
        <w:rPr>
          <w:rFonts w:asciiTheme="minorHAnsi" w:hAnsiTheme="minorHAnsi" w:cstheme="minorHAnsi"/>
        </w:rPr>
        <w:t>Interact</w:t>
      </w:r>
      <w:proofErr w:type="spellEnd"/>
      <w:r w:rsidRPr="00CE17DD">
        <w:rPr>
          <w:rFonts w:asciiTheme="minorHAnsi" w:hAnsiTheme="minorHAnsi" w:cstheme="minorHAnsi"/>
        </w:rPr>
        <w:t xml:space="preserve"> organizuje riadiaci orgán / </w:t>
      </w:r>
      <w:proofErr w:type="spellStart"/>
      <w:r w:rsidRPr="00CE17DD">
        <w:rPr>
          <w:rFonts w:asciiTheme="minorHAnsi" w:hAnsiTheme="minorHAnsi" w:cstheme="minorHAnsi"/>
        </w:rPr>
        <w:t>Interact</w:t>
      </w:r>
      <w:proofErr w:type="spellEnd"/>
      <w:r w:rsidRPr="00CE17DD">
        <w:rPr>
          <w:rFonts w:asciiTheme="minorHAnsi" w:hAnsiTheme="minorHAnsi" w:cstheme="minorHAnsi"/>
        </w:rPr>
        <w:t xml:space="preserve"> Sekretariát 2 x ročne zasadnutie monitorovacieho výboru, pričom vzhľadom na</w:t>
      </w:r>
      <w:r>
        <w:rPr>
          <w:rFonts w:asciiTheme="minorHAnsi" w:hAnsiTheme="minorHAnsi" w:cstheme="minorHAnsi"/>
        </w:rPr>
        <w:t> </w:t>
      </w:r>
      <w:r w:rsidRPr="00CE17DD">
        <w:rPr>
          <w:rFonts w:asciiTheme="minorHAnsi" w:hAnsiTheme="minorHAnsi" w:cstheme="minorHAnsi"/>
        </w:rPr>
        <w:t>celosvetový ekonomicko-geopolitický vývoj a s ohľadom na environmentálne dopady rozhodne monitorovací výbor vždy s predstihom, či sa zasadnutie uskutoční fyzicky, hybridným spôsobom alebo online formou. Jarný monitorovací výbor by sa mal uskutočniť pod vedením maďarského predsedníctva a jesenný monitorovací výbor sa uskutoční v priebehu decembra v rámci poľského predsedníctva.</w:t>
      </w:r>
    </w:p>
    <w:p w14:paraId="1CFEA9C3" w14:textId="77777777" w:rsidR="00C3138C" w:rsidRDefault="00F44FE9" w:rsidP="00C3138C">
      <w:pPr>
        <w:spacing w:after="0" w:line="240" w:lineRule="auto"/>
        <w:outlineLvl w:val="2"/>
        <w:rPr>
          <w:rFonts w:eastAsia="Times New Roman" w:cstheme="minorHAnsi"/>
          <w:b/>
          <w:bCs/>
          <w:sz w:val="27"/>
          <w:szCs w:val="27"/>
          <w:lang w:eastAsia="sk-SK"/>
        </w:rPr>
      </w:pPr>
      <w:r w:rsidRPr="00C3138C">
        <w:rPr>
          <w:rFonts w:eastAsia="Times New Roman" w:cstheme="minorHAnsi"/>
          <w:b/>
          <w:bCs/>
          <w:color w:val="0000FF"/>
          <w:sz w:val="27"/>
          <w:szCs w:val="27"/>
          <w:lang w:eastAsia="sk-SK"/>
        </w:rPr>
        <w:t xml:space="preserve">Podprogram 1.8: </w:t>
      </w:r>
      <w:r w:rsidR="00C3138C" w:rsidRPr="00C3138C">
        <w:rPr>
          <w:rFonts w:eastAsia="Times New Roman" w:cstheme="minorHAnsi"/>
          <w:b/>
          <w:bCs/>
          <w:color w:val="0000FF"/>
          <w:sz w:val="27"/>
          <w:szCs w:val="27"/>
          <w:lang w:eastAsia="sk-SK"/>
        </w:rPr>
        <w:t>Udržateľnosť projektov IROP a implementácia integrovaného územného rozvoja</w:t>
      </w:r>
    </w:p>
    <w:p w14:paraId="5F079186" w14:textId="626A2447" w:rsidR="00F44FE9" w:rsidRPr="00C3138C" w:rsidRDefault="00F44FE9" w:rsidP="00C3138C">
      <w:pPr>
        <w:spacing w:after="0" w:line="240" w:lineRule="auto"/>
        <w:outlineLvl w:val="2"/>
        <w:rPr>
          <w:rFonts w:eastAsia="Times New Roman" w:cstheme="minorHAnsi"/>
          <w:b/>
          <w:bCs/>
          <w:sz w:val="27"/>
          <w:szCs w:val="27"/>
          <w:lang w:eastAsia="sk-SK"/>
        </w:rPr>
      </w:pPr>
      <w:r w:rsidRPr="00F44FE9">
        <w:rPr>
          <w:rFonts w:eastAsiaTheme="minorEastAsia" w:cstheme="minorHAnsi"/>
          <w:b/>
          <w:bCs/>
          <w:sz w:val="24"/>
          <w:szCs w:val="24"/>
          <w:lang w:eastAsia="sk-SK"/>
        </w:rPr>
        <w:t xml:space="preserve">Zámer: </w:t>
      </w:r>
      <w:r w:rsidRPr="00F44FE9">
        <w:rPr>
          <w:rFonts w:eastAsiaTheme="minorEastAsia" w:cstheme="minorHAnsi"/>
          <w:sz w:val="24"/>
          <w:szCs w:val="24"/>
          <w:lang w:eastAsia="sk-SK"/>
        </w:rPr>
        <w:t>Implementácia projektov OPBK a IROP</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9"/>
        <w:gridCol w:w="2142"/>
        <w:gridCol w:w="1429"/>
        <w:gridCol w:w="1429"/>
        <w:gridCol w:w="649"/>
        <w:gridCol w:w="1429"/>
        <w:gridCol w:w="649"/>
        <w:gridCol w:w="1430"/>
        <w:gridCol w:w="664"/>
      </w:tblGrid>
      <w:tr w:rsidR="00F44FE9" w:rsidRPr="00F44FE9" w14:paraId="3CBC3FBA" w14:textId="77777777" w:rsidTr="0090478F">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4066A45C" w14:textId="77777777" w:rsidR="00F44FE9" w:rsidRPr="00F44FE9" w:rsidRDefault="00F44FE9" w:rsidP="00F44FE9">
            <w:pPr>
              <w:spacing w:after="0" w:line="240" w:lineRule="auto"/>
              <w:jc w:val="center"/>
              <w:rPr>
                <w:rFonts w:eastAsia="Times New Roman" w:cstheme="minorHAnsi"/>
                <w:sz w:val="24"/>
                <w:szCs w:val="24"/>
                <w:lang w:eastAsia="sk-SK"/>
              </w:rPr>
            </w:pPr>
            <w:r w:rsidRPr="00F44FE9">
              <w:rPr>
                <w:rFonts w:eastAsia="Times New Roman" w:cstheme="minorHAnsi"/>
                <w:b/>
                <w:bCs/>
                <w:i/>
                <w:iCs/>
                <w:sz w:val="24"/>
                <w:szCs w:val="24"/>
                <w:lang w:eastAsia="sk-SK"/>
              </w:rPr>
              <w:t>Rozpočet v EUR</w:t>
            </w:r>
          </w:p>
        </w:tc>
      </w:tr>
      <w:tr w:rsidR="00F44FE9" w:rsidRPr="00F44FE9" w14:paraId="5F0341E6" w14:textId="77777777" w:rsidTr="0023718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1CE5A866"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b/>
                <w:bCs/>
                <w:sz w:val="20"/>
                <w:szCs w:val="20"/>
                <w:lang w:eastAsia="sk-SK"/>
              </w:rPr>
              <w:t>EK</w:t>
            </w:r>
          </w:p>
        </w:tc>
        <w:tc>
          <w:tcPr>
            <w:tcW w:w="1045" w:type="pct"/>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317A2520"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35EF0ED3" w14:textId="517793DA" w:rsidR="00F44FE9" w:rsidRPr="00F44FE9" w:rsidRDefault="00F44FE9" w:rsidP="00F44FE9">
            <w:pPr>
              <w:spacing w:after="0" w:line="240" w:lineRule="auto"/>
              <w:jc w:val="center"/>
              <w:rPr>
                <w:rFonts w:eastAsia="Times New Roman" w:cstheme="minorHAnsi"/>
                <w:sz w:val="24"/>
                <w:szCs w:val="24"/>
                <w:lang w:eastAsia="sk-SK"/>
              </w:rPr>
            </w:pPr>
            <w:r w:rsidRPr="00F44FE9">
              <w:rPr>
                <w:rFonts w:eastAsia="Times New Roman" w:cstheme="minorHAnsi"/>
                <w:b/>
                <w:bCs/>
                <w:sz w:val="20"/>
                <w:szCs w:val="20"/>
                <w:lang w:eastAsia="sk-SK"/>
              </w:rPr>
              <w:t>202</w:t>
            </w:r>
            <w:r w:rsidR="00237184">
              <w:rPr>
                <w:rFonts w:eastAsia="Times New Roman" w:cstheme="minorHAnsi"/>
                <w:b/>
                <w:bCs/>
                <w:sz w:val="20"/>
                <w:szCs w:val="20"/>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2F187218" w14:textId="2A6B082A" w:rsidR="00F44FE9" w:rsidRPr="00F44FE9" w:rsidRDefault="00F44FE9" w:rsidP="00F44FE9">
            <w:pPr>
              <w:spacing w:after="0" w:line="240" w:lineRule="auto"/>
              <w:jc w:val="center"/>
              <w:rPr>
                <w:rFonts w:eastAsia="Times New Roman" w:cstheme="minorHAnsi"/>
                <w:sz w:val="24"/>
                <w:szCs w:val="24"/>
                <w:lang w:eastAsia="sk-SK"/>
              </w:rPr>
            </w:pPr>
            <w:r w:rsidRPr="00F44FE9">
              <w:rPr>
                <w:rFonts w:eastAsia="Times New Roman" w:cstheme="minorHAnsi"/>
                <w:b/>
                <w:bCs/>
                <w:sz w:val="20"/>
                <w:szCs w:val="20"/>
                <w:lang w:eastAsia="sk-SK"/>
              </w:rPr>
              <w:t>202</w:t>
            </w:r>
            <w:r w:rsidR="00237184">
              <w:rPr>
                <w:rFonts w:eastAsia="Times New Roman" w:cstheme="minorHAnsi"/>
                <w:b/>
                <w:bCs/>
                <w:sz w:val="20"/>
                <w:szCs w:val="20"/>
                <w:lang w:eastAsia="sk-SK"/>
              </w:rPr>
              <w:t>5</w:t>
            </w:r>
          </w:p>
        </w:tc>
        <w:tc>
          <w:tcPr>
            <w:tcW w:w="296" w:type="pct"/>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57DDDA75" w14:textId="77777777" w:rsidR="00F44FE9" w:rsidRPr="00F44FE9" w:rsidRDefault="00F44FE9" w:rsidP="00F44FE9">
            <w:pPr>
              <w:spacing w:after="0" w:line="240" w:lineRule="auto"/>
              <w:jc w:val="center"/>
              <w:rPr>
                <w:rFonts w:eastAsia="Times New Roman" w:cstheme="minorHAnsi"/>
                <w:sz w:val="24"/>
                <w:szCs w:val="24"/>
                <w:lang w:eastAsia="sk-SK"/>
              </w:rPr>
            </w:pPr>
            <w:r w:rsidRPr="00F44FE9">
              <w:rPr>
                <w:rFonts w:eastAsia="Times New Roman" w:cstheme="minorHAns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7512AF3D" w14:textId="1021700A" w:rsidR="00F44FE9" w:rsidRPr="00F44FE9" w:rsidRDefault="00F44FE9" w:rsidP="00F44FE9">
            <w:pPr>
              <w:spacing w:after="0" w:line="240" w:lineRule="auto"/>
              <w:jc w:val="center"/>
              <w:rPr>
                <w:rFonts w:eastAsia="Times New Roman" w:cstheme="minorHAnsi"/>
                <w:sz w:val="24"/>
                <w:szCs w:val="24"/>
                <w:lang w:eastAsia="sk-SK"/>
              </w:rPr>
            </w:pPr>
            <w:r w:rsidRPr="00F44FE9">
              <w:rPr>
                <w:rFonts w:eastAsia="Times New Roman" w:cstheme="minorHAnsi"/>
                <w:b/>
                <w:bCs/>
                <w:sz w:val="20"/>
                <w:szCs w:val="20"/>
                <w:lang w:eastAsia="sk-SK"/>
              </w:rPr>
              <w:t>202</w:t>
            </w:r>
            <w:r w:rsidR="00237184">
              <w:rPr>
                <w:rFonts w:eastAsia="Times New Roman" w:cstheme="minorHAnsi"/>
                <w:b/>
                <w:bCs/>
                <w:sz w:val="20"/>
                <w:szCs w:val="20"/>
                <w:lang w:eastAsia="sk-SK"/>
              </w:rPr>
              <w:t>6</w:t>
            </w:r>
          </w:p>
        </w:tc>
        <w:tc>
          <w:tcPr>
            <w:tcW w:w="296" w:type="pct"/>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68D9B736" w14:textId="77777777" w:rsidR="00F44FE9" w:rsidRPr="00F44FE9" w:rsidRDefault="00F44FE9" w:rsidP="00F44FE9">
            <w:pPr>
              <w:spacing w:after="0" w:line="240" w:lineRule="auto"/>
              <w:jc w:val="center"/>
              <w:rPr>
                <w:rFonts w:eastAsia="Times New Roman" w:cstheme="minorHAnsi"/>
                <w:sz w:val="24"/>
                <w:szCs w:val="24"/>
                <w:lang w:eastAsia="sk-SK"/>
              </w:rPr>
            </w:pPr>
            <w:r w:rsidRPr="00F44FE9">
              <w:rPr>
                <w:rFonts w:eastAsia="Times New Roman" w:cstheme="minorHAns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03567CCB" w14:textId="73804911" w:rsidR="00F44FE9" w:rsidRPr="00F44FE9" w:rsidRDefault="00F44FE9" w:rsidP="00F44FE9">
            <w:pPr>
              <w:spacing w:after="0" w:line="240" w:lineRule="auto"/>
              <w:jc w:val="center"/>
              <w:rPr>
                <w:rFonts w:eastAsia="Times New Roman" w:cstheme="minorHAnsi"/>
                <w:sz w:val="24"/>
                <w:szCs w:val="24"/>
                <w:lang w:eastAsia="sk-SK"/>
              </w:rPr>
            </w:pPr>
            <w:r w:rsidRPr="00F44FE9">
              <w:rPr>
                <w:rFonts w:eastAsia="Times New Roman" w:cstheme="minorHAnsi"/>
                <w:b/>
                <w:bCs/>
                <w:sz w:val="20"/>
                <w:szCs w:val="20"/>
                <w:lang w:eastAsia="sk-SK"/>
              </w:rPr>
              <w:t>202</w:t>
            </w:r>
            <w:r w:rsidR="00237184">
              <w:rPr>
                <w:rFonts w:eastAsia="Times New Roman" w:cstheme="minorHAnsi"/>
                <w:b/>
                <w:bCs/>
                <w:sz w:val="20"/>
                <w:szCs w:val="20"/>
                <w:lang w:eastAsia="sk-SK"/>
              </w:rPr>
              <w:t>7</w:t>
            </w:r>
          </w:p>
        </w:tc>
        <w:tc>
          <w:tcPr>
            <w:tcW w:w="296" w:type="pct"/>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27FE39FC" w14:textId="77777777" w:rsidR="00F44FE9" w:rsidRPr="00F44FE9" w:rsidRDefault="00F44FE9" w:rsidP="00F44FE9">
            <w:pPr>
              <w:spacing w:after="0" w:line="240" w:lineRule="auto"/>
              <w:jc w:val="center"/>
              <w:rPr>
                <w:rFonts w:eastAsia="Times New Roman" w:cstheme="minorHAnsi"/>
                <w:sz w:val="24"/>
                <w:szCs w:val="24"/>
                <w:lang w:eastAsia="sk-SK"/>
              </w:rPr>
            </w:pPr>
            <w:r w:rsidRPr="00F44FE9">
              <w:rPr>
                <w:rFonts w:eastAsia="Times New Roman" w:cstheme="minorHAnsi"/>
                <w:b/>
                <w:bCs/>
                <w:sz w:val="20"/>
                <w:szCs w:val="20"/>
                <w:lang w:eastAsia="sk-SK"/>
              </w:rPr>
              <w:t>%</w:t>
            </w:r>
          </w:p>
        </w:tc>
      </w:tr>
      <w:tr w:rsidR="00237184" w:rsidRPr="00F44FE9" w14:paraId="4441D3FF" w14:textId="77777777" w:rsidTr="0023718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1B040E17" w14:textId="77777777" w:rsidR="00237184" w:rsidRPr="00F44FE9" w:rsidRDefault="00237184" w:rsidP="00237184">
            <w:pPr>
              <w:spacing w:after="0" w:line="240" w:lineRule="auto"/>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59D53AA" w14:textId="77777777" w:rsidR="00237184" w:rsidRPr="00F44FE9" w:rsidRDefault="00237184" w:rsidP="00237184">
            <w:pPr>
              <w:spacing w:after="0" w:line="240" w:lineRule="auto"/>
              <w:rPr>
                <w:rFonts w:eastAsia="Times New Roman" w:cstheme="minorHAnsi"/>
                <w:sz w:val="24"/>
                <w:szCs w:val="24"/>
                <w:lang w:eastAsia="sk-SK"/>
              </w:rPr>
            </w:pPr>
            <w:r w:rsidRPr="00F44FE9">
              <w:rPr>
                <w:rFonts w:eastAsia="Times New Roman" w:cstheme="minorHAnsi"/>
                <w:b/>
                <w:bCs/>
                <w:sz w:val="20"/>
                <w:szCs w:val="20"/>
                <w:lang w:eastAsia="sk-SK"/>
              </w:rPr>
              <w:t>Výdavky celkom</w:t>
            </w:r>
            <w:r w:rsidRPr="00F44FE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7F9F42EC" w14:textId="11B8C34C"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15 760,00</w:t>
            </w:r>
            <w:r w:rsidRPr="005345E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1BD75158" w14:textId="5692E488"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15 760,00</w:t>
            </w:r>
            <w:r w:rsidRPr="005345E5">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E586F51" w14:textId="6F00999F"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100,00</w:t>
            </w:r>
            <w:r w:rsidRPr="005345E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11B341CF" w14:textId="2D156BB4"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15 760,00</w:t>
            </w:r>
            <w:r w:rsidRPr="005345E5">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4F04B56" w14:textId="6C9B3402"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100,00</w:t>
            </w:r>
            <w:r w:rsidRPr="005345E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3186F15E" w14:textId="0E0E9D7D"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15 760,00</w:t>
            </w:r>
            <w:r w:rsidRPr="005345E5">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0E675CC" w14:textId="143C4911"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100,00</w:t>
            </w:r>
            <w:r w:rsidRPr="005345E5">
              <w:rPr>
                <w:rFonts w:ascii="Calibri" w:eastAsia="Times New Roman" w:hAnsi="Calibri" w:cs="Calibri"/>
              </w:rPr>
              <w:t xml:space="preserve"> </w:t>
            </w:r>
          </w:p>
        </w:tc>
      </w:tr>
      <w:tr w:rsidR="00237184" w:rsidRPr="00F44FE9" w14:paraId="57155C75" w14:textId="77777777" w:rsidTr="0023718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C6EC304" w14:textId="77777777" w:rsidR="00237184" w:rsidRPr="00F44FE9" w:rsidRDefault="00237184" w:rsidP="00237184">
            <w:pPr>
              <w:spacing w:after="0" w:line="240" w:lineRule="auto"/>
              <w:rPr>
                <w:rFonts w:eastAsia="Times New Roman" w:cstheme="minorHAnsi"/>
                <w:sz w:val="24"/>
                <w:szCs w:val="24"/>
                <w:lang w:eastAsia="sk-SK"/>
              </w:rPr>
            </w:pPr>
            <w:r w:rsidRPr="00F44FE9">
              <w:rPr>
                <w:rFonts w:eastAsia="Times New Roman" w:cstheme="minorHAnsi"/>
                <w:b/>
                <w:bCs/>
                <w:sz w:val="20"/>
                <w:szCs w:val="20"/>
                <w:lang w:eastAsia="sk-SK"/>
              </w:rPr>
              <w:t>600</w:t>
            </w:r>
            <w:r w:rsidRPr="00F44FE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303C4114" w14:textId="77777777" w:rsidR="00237184" w:rsidRPr="00F44FE9" w:rsidRDefault="00237184" w:rsidP="00237184">
            <w:pPr>
              <w:spacing w:after="0" w:line="240" w:lineRule="auto"/>
              <w:rPr>
                <w:rFonts w:eastAsia="Times New Roman" w:cstheme="minorHAnsi"/>
                <w:sz w:val="24"/>
                <w:szCs w:val="24"/>
                <w:lang w:eastAsia="sk-SK"/>
              </w:rPr>
            </w:pPr>
            <w:r w:rsidRPr="00F44FE9">
              <w:rPr>
                <w:rFonts w:eastAsia="Times New Roman" w:cstheme="minorHAnsi"/>
                <w:b/>
                <w:bCs/>
                <w:sz w:val="20"/>
                <w:szCs w:val="20"/>
                <w:lang w:eastAsia="sk-SK"/>
              </w:rPr>
              <w:t>Bežné výdavky</w:t>
            </w:r>
            <w:r w:rsidRPr="00F44FE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129960D4" w14:textId="0E77F586"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5 760,00</w:t>
            </w:r>
            <w:r w:rsidRPr="005345E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1246036" w14:textId="0E454C78"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15 760,00</w:t>
            </w:r>
            <w:r w:rsidRPr="005345E5">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B8BBE21" w14:textId="15911941"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273,61</w:t>
            </w:r>
            <w:r w:rsidRPr="005345E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B09A88C" w14:textId="007DE292"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15 760,00</w:t>
            </w:r>
            <w:r w:rsidRPr="005345E5">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C93AAF3" w14:textId="06DAAC57"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100,00</w:t>
            </w:r>
            <w:r w:rsidRPr="005345E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1811E693" w14:textId="6CEDE33F"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15 760,00</w:t>
            </w:r>
            <w:r w:rsidRPr="005345E5">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1C75505" w14:textId="484DAF47"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100,00</w:t>
            </w:r>
            <w:r w:rsidRPr="005345E5">
              <w:rPr>
                <w:rFonts w:ascii="Calibri" w:eastAsia="Times New Roman" w:hAnsi="Calibri" w:cs="Calibri"/>
              </w:rPr>
              <w:t xml:space="preserve"> </w:t>
            </w:r>
          </w:p>
        </w:tc>
      </w:tr>
      <w:tr w:rsidR="00237184" w:rsidRPr="00F44FE9" w14:paraId="65328833" w14:textId="77777777" w:rsidTr="00237184">
        <w:trPr>
          <w:tblCellSpacing w:w="15" w:type="dxa"/>
        </w:trPr>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988E4D2" w14:textId="77777777" w:rsidR="00237184" w:rsidRPr="00F44FE9" w:rsidRDefault="00237184" w:rsidP="00237184">
            <w:pPr>
              <w:spacing w:after="0" w:line="240" w:lineRule="auto"/>
              <w:rPr>
                <w:rFonts w:eastAsia="Times New Roman" w:cstheme="minorHAnsi"/>
                <w:sz w:val="24"/>
                <w:szCs w:val="24"/>
                <w:lang w:eastAsia="sk-SK"/>
              </w:rPr>
            </w:pPr>
            <w:r w:rsidRPr="00F44FE9">
              <w:rPr>
                <w:rFonts w:eastAsia="Times New Roman" w:cstheme="minorHAnsi"/>
                <w:sz w:val="20"/>
                <w:szCs w:val="20"/>
                <w:lang w:eastAsia="sk-SK"/>
              </w:rPr>
              <w:t>630</w:t>
            </w:r>
            <w:r w:rsidRPr="00F44FE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3BF47D9" w14:textId="77777777" w:rsidR="00237184" w:rsidRPr="00F44FE9" w:rsidRDefault="00237184" w:rsidP="00237184">
            <w:pPr>
              <w:spacing w:after="0" w:line="240" w:lineRule="auto"/>
              <w:rPr>
                <w:rFonts w:eastAsia="Times New Roman" w:cstheme="minorHAnsi"/>
                <w:sz w:val="24"/>
                <w:szCs w:val="24"/>
                <w:lang w:eastAsia="sk-SK"/>
              </w:rPr>
            </w:pPr>
            <w:r w:rsidRPr="00F44FE9">
              <w:rPr>
                <w:rFonts w:eastAsia="Times New Roman" w:cstheme="minorHAnsi"/>
                <w:sz w:val="20"/>
                <w:szCs w:val="20"/>
                <w:lang w:eastAsia="sk-SK"/>
              </w:rPr>
              <w:t>Tovary a služby</w:t>
            </w:r>
            <w:r w:rsidRPr="00F44FE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C341777" w14:textId="21ABCEA9"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5 760,00</w:t>
            </w:r>
            <w:r w:rsidRPr="005345E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574FC96" w14:textId="18C2C752"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15 760,00</w:t>
            </w:r>
            <w:r w:rsidRPr="005345E5">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40ABD7D" w14:textId="61249845"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273,61</w:t>
            </w:r>
            <w:r w:rsidRPr="005345E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B144AAF" w14:textId="1564A152"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15 760,00</w:t>
            </w:r>
            <w:r w:rsidRPr="005345E5">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4821975" w14:textId="5D5662DC"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100,00</w:t>
            </w:r>
            <w:r w:rsidRPr="005345E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E1756FA" w14:textId="751EA837"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15 760,00</w:t>
            </w:r>
            <w:r w:rsidRPr="005345E5">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0707483" w14:textId="079AD084"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100,00</w:t>
            </w:r>
            <w:r w:rsidRPr="005345E5">
              <w:rPr>
                <w:rFonts w:ascii="Calibri" w:eastAsia="Times New Roman" w:hAnsi="Calibri" w:cs="Calibri"/>
              </w:rPr>
              <w:t xml:space="preserve"> </w:t>
            </w:r>
          </w:p>
        </w:tc>
      </w:tr>
      <w:tr w:rsidR="00237184" w:rsidRPr="00F44FE9" w14:paraId="074493F6" w14:textId="77777777" w:rsidTr="00237184">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5E9FF8B9" w14:textId="77777777" w:rsidR="00237184" w:rsidRPr="00F44FE9" w:rsidRDefault="00237184" w:rsidP="00237184">
            <w:pPr>
              <w:spacing w:after="0" w:line="240" w:lineRule="auto"/>
              <w:rPr>
                <w:rFonts w:eastAsia="Times New Roman" w:cstheme="minorHAnsi"/>
                <w:sz w:val="24"/>
                <w:szCs w:val="24"/>
                <w:lang w:eastAsia="sk-SK"/>
              </w:rPr>
            </w:pPr>
            <w:r w:rsidRPr="00F44FE9">
              <w:rPr>
                <w:rFonts w:eastAsia="Times New Roman" w:cstheme="minorHAnsi"/>
                <w:b/>
                <w:bCs/>
                <w:sz w:val="20"/>
                <w:szCs w:val="20"/>
                <w:lang w:eastAsia="sk-SK"/>
              </w:rPr>
              <w:t>700</w:t>
            </w:r>
            <w:r w:rsidRPr="00F44FE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3A15B623" w14:textId="77777777" w:rsidR="00237184" w:rsidRPr="00F44FE9" w:rsidRDefault="00237184" w:rsidP="00237184">
            <w:pPr>
              <w:spacing w:after="0" w:line="240" w:lineRule="auto"/>
              <w:rPr>
                <w:rFonts w:eastAsia="Times New Roman" w:cstheme="minorHAnsi"/>
                <w:sz w:val="24"/>
                <w:szCs w:val="24"/>
                <w:lang w:eastAsia="sk-SK"/>
              </w:rPr>
            </w:pPr>
            <w:r w:rsidRPr="00F44FE9">
              <w:rPr>
                <w:rFonts w:eastAsia="Times New Roman" w:cstheme="minorHAnsi"/>
                <w:b/>
                <w:bCs/>
                <w:sz w:val="20"/>
                <w:szCs w:val="20"/>
                <w:lang w:eastAsia="sk-SK"/>
              </w:rPr>
              <w:t>Kapitálové výdavky</w:t>
            </w:r>
            <w:r w:rsidRPr="00F44FE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6DF929E3" w14:textId="3BB0F37D"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10 000,00</w:t>
            </w:r>
            <w:r w:rsidRPr="005345E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AC8ED1E" w14:textId="0E79D00A" w:rsidR="00237184" w:rsidRPr="00F44FE9" w:rsidRDefault="00237184" w:rsidP="00237184">
            <w:pPr>
              <w:spacing w:after="0" w:line="240" w:lineRule="auto"/>
              <w:jc w:val="right"/>
              <w:rPr>
                <w:rFonts w:eastAsia="Times New Roman" w:cstheme="minorHAnsi"/>
                <w:sz w:val="24"/>
                <w:szCs w:val="24"/>
                <w:lang w:eastAsia="sk-SK"/>
              </w:rPr>
            </w:pP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593D50EB" w14:textId="722ECA00" w:rsidR="00237184" w:rsidRPr="00F44FE9" w:rsidRDefault="00237184" w:rsidP="00237184">
            <w:pPr>
              <w:spacing w:after="0" w:line="240" w:lineRule="auto"/>
              <w:jc w:val="right"/>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05629FB" w14:textId="08084EF3" w:rsidR="00237184" w:rsidRPr="00F44FE9" w:rsidRDefault="00237184" w:rsidP="00237184">
            <w:pPr>
              <w:spacing w:after="0" w:line="240" w:lineRule="auto"/>
              <w:jc w:val="right"/>
              <w:rPr>
                <w:rFonts w:eastAsia="Times New Roman" w:cstheme="minorHAnsi"/>
                <w:sz w:val="24"/>
                <w:szCs w:val="24"/>
                <w:lang w:eastAsia="sk-SK"/>
              </w:rPr>
            </w:pP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4953729" w14:textId="41C977F3" w:rsidR="00237184" w:rsidRPr="00F44FE9" w:rsidRDefault="00237184" w:rsidP="00237184">
            <w:pPr>
              <w:spacing w:after="0" w:line="240" w:lineRule="auto"/>
              <w:jc w:val="right"/>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B71E37C" w14:textId="690B7D8A" w:rsidR="00237184" w:rsidRPr="00F44FE9" w:rsidRDefault="00237184" w:rsidP="00237184">
            <w:pPr>
              <w:spacing w:after="0" w:line="240" w:lineRule="auto"/>
              <w:jc w:val="right"/>
              <w:rPr>
                <w:rFonts w:eastAsia="Times New Roman" w:cstheme="minorHAnsi"/>
                <w:sz w:val="24"/>
                <w:szCs w:val="24"/>
                <w:lang w:eastAsia="sk-SK"/>
              </w:rPr>
            </w:pP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B30B961" w14:textId="78DC1648" w:rsidR="00237184" w:rsidRPr="00F44FE9" w:rsidRDefault="00237184" w:rsidP="00237184">
            <w:pPr>
              <w:spacing w:after="0" w:line="240" w:lineRule="auto"/>
              <w:jc w:val="right"/>
              <w:rPr>
                <w:rFonts w:eastAsia="Times New Roman" w:cstheme="minorHAnsi"/>
                <w:sz w:val="24"/>
                <w:szCs w:val="24"/>
                <w:lang w:eastAsia="sk-SK"/>
              </w:rPr>
            </w:pPr>
          </w:p>
        </w:tc>
      </w:tr>
      <w:tr w:rsidR="00237184" w:rsidRPr="00F44FE9" w14:paraId="3617E18D" w14:textId="77777777" w:rsidTr="00237184">
        <w:trPr>
          <w:tblCellSpacing w:w="15" w:type="dxa"/>
        </w:trPr>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CECF00C" w14:textId="77777777" w:rsidR="00237184" w:rsidRPr="00F44FE9" w:rsidRDefault="00237184" w:rsidP="00237184">
            <w:pPr>
              <w:spacing w:after="0" w:line="240" w:lineRule="auto"/>
              <w:rPr>
                <w:rFonts w:eastAsia="Times New Roman" w:cstheme="minorHAnsi"/>
                <w:sz w:val="24"/>
                <w:szCs w:val="24"/>
                <w:lang w:eastAsia="sk-SK"/>
              </w:rPr>
            </w:pPr>
            <w:r w:rsidRPr="00F44FE9">
              <w:rPr>
                <w:rFonts w:eastAsia="Times New Roman" w:cstheme="minorHAnsi"/>
                <w:sz w:val="20"/>
                <w:szCs w:val="20"/>
                <w:lang w:eastAsia="sk-SK"/>
              </w:rPr>
              <w:t>710</w:t>
            </w:r>
            <w:r w:rsidRPr="00F44FE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8C1F897" w14:textId="77777777" w:rsidR="00237184" w:rsidRPr="00F44FE9" w:rsidRDefault="00237184" w:rsidP="00237184">
            <w:pPr>
              <w:spacing w:after="0" w:line="240" w:lineRule="auto"/>
              <w:rPr>
                <w:rFonts w:eastAsia="Times New Roman" w:cstheme="minorHAnsi"/>
                <w:sz w:val="24"/>
                <w:szCs w:val="24"/>
                <w:lang w:eastAsia="sk-SK"/>
              </w:rPr>
            </w:pPr>
            <w:proofErr w:type="spellStart"/>
            <w:r w:rsidRPr="00F44FE9">
              <w:rPr>
                <w:rFonts w:eastAsia="Times New Roman" w:cstheme="minorHAnsi"/>
                <w:sz w:val="20"/>
                <w:szCs w:val="20"/>
                <w:lang w:eastAsia="sk-SK"/>
              </w:rPr>
              <w:t>Obst</w:t>
            </w:r>
            <w:proofErr w:type="spellEnd"/>
            <w:r w:rsidRPr="00F44FE9">
              <w:rPr>
                <w:rFonts w:eastAsia="Times New Roman" w:cstheme="minorHAnsi"/>
                <w:sz w:val="20"/>
                <w:szCs w:val="20"/>
                <w:lang w:eastAsia="sk-SK"/>
              </w:rPr>
              <w:t xml:space="preserve">. </w:t>
            </w:r>
            <w:proofErr w:type="spellStart"/>
            <w:r w:rsidRPr="00F44FE9">
              <w:rPr>
                <w:rFonts w:eastAsia="Times New Roman" w:cstheme="minorHAnsi"/>
                <w:sz w:val="20"/>
                <w:szCs w:val="20"/>
                <w:lang w:eastAsia="sk-SK"/>
              </w:rPr>
              <w:t>kapit</w:t>
            </w:r>
            <w:proofErr w:type="spellEnd"/>
            <w:r w:rsidRPr="00F44FE9">
              <w:rPr>
                <w:rFonts w:eastAsia="Times New Roman" w:cstheme="minorHAnsi"/>
                <w:sz w:val="20"/>
                <w:szCs w:val="20"/>
                <w:lang w:eastAsia="sk-SK"/>
              </w:rPr>
              <w:t>. aktív</w:t>
            </w:r>
            <w:r w:rsidRPr="00F44FE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46A98FE" w14:textId="472D92EE" w:rsidR="00237184" w:rsidRPr="00F44FE9" w:rsidRDefault="00237184" w:rsidP="00237184">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10 000,00</w:t>
            </w:r>
            <w:r w:rsidRPr="005345E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87BFD79" w14:textId="3A6A7D71" w:rsidR="00237184" w:rsidRPr="00F44FE9" w:rsidRDefault="00237184" w:rsidP="00237184">
            <w:pPr>
              <w:spacing w:after="0" w:line="240" w:lineRule="auto"/>
              <w:jc w:val="right"/>
              <w:rPr>
                <w:rFonts w:eastAsia="Times New Roman" w:cstheme="minorHAnsi"/>
                <w:sz w:val="24"/>
                <w:szCs w:val="24"/>
                <w:lang w:eastAsia="sk-SK"/>
              </w:rPr>
            </w:pP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7B7E373" w14:textId="225B2EBF" w:rsidR="00237184" w:rsidRPr="00F44FE9" w:rsidRDefault="00237184" w:rsidP="00237184">
            <w:pPr>
              <w:spacing w:after="0" w:line="240" w:lineRule="auto"/>
              <w:jc w:val="right"/>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49D7A1C" w14:textId="1F1D0EEF" w:rsidR="00237184" w:rsidRPr="00F44FE9" w:rsidRDefault="00237184" w:rsidP="00237184">
            <w:pPr>
              <w:spacing w:after="0" w:line="240" w:lineRule="auto"/>
              <w:jc w:val="right"/>
              <w:rPr>
                <w:rFonts w:eastAsia="Times New Roman" w:cstheme="minorHAnsi"/>
                <w:sz w:val="24"/>
                <w:szCs w:val="24"/>
                <w:lang w:eastAsia="sk-SK"/>
              </w:rPr>
            </w:pP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8625B03" w14:textId="38D2AD7B" w:rsidR="00237184" w:rsidRPr="00F44FE9" w:rsidRDefault="00237184" w:rsidP="00237184">
            <w:pPr>
              <w:spacing w:after="0" w:line="240" w:lineRule="auto"/>
              <w:jc w:val="right"/>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04A6FF0" w14:textId="05562C8A" w:rsidR="00237184" w:rsidRPr="00F44FE9" w:rsidRDefault="00237184" w:rsidP="00237184">
            <w:pPr>
              <w:spacing w:after="0" w:line="240" w:lineRule="auto"/>
              <w:jc w:val="right"/>
              <w:rPr>
                <w:rFonts w:eastAsia="Times New Roman" w:cstheme="minorHAnsi"/>
                <w:sz w:val="24"/>
                <w:szCs w:val="24"/>
                <w:lang w:eastAsia="sk-SK"/>
              </w:rPr>
            </w:pPr>
          </w:p>
        </w:tc>
        <w:tc>
          <w:tcPr>
            <w:tcW w:w="296" w:type="pct"/>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2B5089A" w14:textId="55F77057" w:rsidR="00237184" w:rsidRPr="00F44FE9" w:rsidRDefault="00237184" w:rsidP="00237184">
            <w:pPr>
              <w:spacing w:after="0" w:line="240" w:lineRule="auto"/>
              <w:jc w:val="right"/>
              <w:rPr>
                <w:rFonts w:eastAsia="Times New Roman" w:cstheme="minorHAnsi"/>
                <w:sz w:val="24"/>
                <w:szCs w:val="24"/>
                <w:lang w:eastAsia="sk-SK"/>
              </w:rPr>
            </w:pPr>
          </w:p>
        </w:tc>
      </w:tr>
    </w:tbl>
    <w:p w14:paraId="4D34ABC6" w14:textId="77777777" w:rsidR="00F44FE9" w:rsidRPr="00F44FE9" w:rsidRDefault="00F44FE9" w:rsidP="00F44FE9">
      <w:pPr>
        <w:spacing w:after="0" w:line="240" w:lineRule="auto"/>
        <w:rPr>
          <w:rFonts w:eastAsiaTheme="minorEastAsia" w:cstheme="minorHAns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310"/>
        <w:gridCol w:w="2032"/>
        <w:gridCol w:w="2031"/>
        <w:gridCol w:w="2031"/>
        <w:gridCol w:w="2046"/>
      </w:tblGrid>
      <w:tr w:rsidR="00F44FE9" w:rsidRPr="00F44FE9" w14:paraId="604DF2BB"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8AEA4B1"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5EF10B5E"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sz w:val="24"/>
                <w:szCs w:val="24"/>
                <w:lang w:eastAsia="sk-SK"/>
              </w:rPr>
              <w:t>Odbor implementácie operačných programov</w:t>
            </w:r>
          </w:p>
        </w:tc>
      </w:tr>
      <w:tr w:rsidR="00F44FE9" w:rsidRPr="00F44FE9" w14:paraId="15D738AF"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2965EB1E"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5F9A90D" w14:textId="15BC620E" w:rsidR="00F44FE9" w:rsidRPr="00F44FE9" w:rsidRDefault="00273EC7" w:rsidP="00F44FE9">
            <w:pPr>
              <w:spacing w:after="0" w:line="240" w:lineRule="auto"/>
              <w:rPr>
                <w:rFonts w:eastAsia="Times New Roman" w:cstheme="minorHAnsi"/>
                <w:sz w:val="24"/>
                <w:szCs w:val="24"/>
                <w:lang w:eastAsia="sk-SK"/>
              </w:rPr>
            </w:pPr>
            <w:r w:rsidRPr="005345E5">
              <w:rPr>
                <w:rFonts w:ascii="Calibri" w:eastAsia="Times New Roman" w:hAnsi="Calibri" w:cs="Calibri"/>
                <w:b/>
                <w:bCs/>
              </w:rPr>
              <w:t xml:space="preserve">Zabezpečiť </w:t>
            </w:r>
            <w:r>
              <w:rPr>
                <w:rFonts w:ascii="Calibri" w:eastAsia="Times New Roman" w:hAnsi="Calibri" w:cs="Calibri"/>
                <w:b/>
                <w:bCs/>
              </w:rPr>
              <w:t>u</w:t>
            </w:r>
            <w:r w:rsidRPr="00953EAE">
              <w:rPr>
                <w:rFonts w:ascii="Calibri" w:eastAsia="Times New Roman" w:hAnsi="Calibri" w:cs="Calibri"/>
                <w:b/>
                <w:bCs/>
              </w:rPr>
              <w:t>držateľnosť projektov IROP a implementácia integrovaného územného rozvoja</w:t>
            </w:r>
          </w:p>
        </w:tc>
      </w:tr>
      <w:tr w:rsidR="00F44FE9" w:rsidRPr="00F44FE9" w14:paraId="351B76AD"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CA646B2"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11F3128D"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sz w:val="24"/>
                <w:szCs w:val="24"/>
                <w:lang w:eastAsia="sk-SK"/>
              </w:rPr>
              <w:t>Počet zasadnutí Rady partnerstva</w:t>
            </w:r>
          </w:p>
        </w:tc>
      </w:tr>
      <w:tr w:rsidR="002A1A8A" w:rsidRPr="00F44FE9" w14:paraId="4CAC395B"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9A4A150" w14:textId="77777777" w:rsidR="002A1A8A" w:rsidRPr="00F44FE9" w:rsidRDefault="002A1A8A" w:rsidP="002A1A8A">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3BCD6B6E" w14:textId="37787025" w:rsidR="002A1A8A" w:rsidRPr="00F44FE9" w:rsidRDefault="002A1A8A" w:rsidP="002A1A8A">
            <w:pPr>
              <w:spacing w:after="0" w:line="240" w:lineRule="auto"/>
              <w:jc w:val="center"/>
              <w:rPr>
                <w:rFonts w:eastAsia="Times New Roman" w:cstheme="minorHAnsi"/>
                <w:sz w:val="24"/>
                <w:szCs w:val="24"/>
                <w:lang w:eastAsia="sk-SK"/>
              </w:rPr>
            </w:pPr>
            <w:r w:rsidRPr="005345E5">
              <w:rPr>
                <w:rFonts w:ascii="Calibri" w:eastAsia="Times New Roman" w:hAnsi="Calibri" w:cs="Calibr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529F2E0E" w14:textId="32C24B50" w:rsidR="002A1A8A" w:rsidRPr="00F44FE9" w:rsidRDefault="002A1A8A" w:rsidP="002A1A8A">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3FB6B9C9" w14:textId="6401CF4B" w:rsidR="002A1A8A" w:rsidRPr="00F44FE9" w:rsidRDefault="002A1A8A" w:rsidP="002A1A8A">
            <w:pPr>
              <w:spacing w:after="0" w:line="240" w:lineRule="auto"/>
              <w:jc w:val="center"/>
              <w:rPr>
                <w:rFonts w:eastAsia="Times New Roman" w:cstheme="minorHAnsi"/>
                <w:sz w:val="24"/>
                <w:szCs w:val="24"/>
                <w:lang w:eastAsia="sk-SK"/>
              </w:rPr>
            </w:pPr>
            <w:r w:rsidRPr="005345E5">
              <w:rPr>
                <w:rFonts w:ascii="Calibri" w:eastAsia="Times New Roman" w:hAnsi="Calibri" w:cs="Calibr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600220AB" w14:textId="57BA4323" w:rsidR="002A1A8A" w:rsidRPr="00F44FE9" w:rsidRDefault="002A1A8A" w:rsidP="002A1A8A">
            <w:pPr>
              <w:spacing w:after="0" w:line="240" w:lineRule="auto"/>
              <w:jc w:val="center"/>
              <w:rPr>
                <w:rFonts w:eastAsia="Times New Roman" w:cstheme="minorHAnsi"/>
                <w:sz w:val="24"/>
                <w:szCs w:val="24"/>
                <w:lang w:eastAsia="sk-SK"/>
              </w:rPr>
            </w:pPr>
            <w:r w:rsidRPr="005345E5">
              <w:rPr>
                <w:rFonts w:ascii="Calibri" w:eastAsia="Times New Roman" w:hAnsi="Calibri" w:cs="Calibri"/>
              </w:rPr>
              <w:t>2027</w:t>
            </w:r>
          </w:p>
        </w:tc>
      </w:tr>
      <w:tr w:rsidR="002A1A8A" w:rsidRPr="00F44FE9" w14:paraId="757DF1FC"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6212DDB" w14:textId="77777777" w:rsidR="002A1A8A" w:rsidRPr="00F44FE9" w:rsidRDefault="002A1A8A" w:rsidP="002A1A8A">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1E8DD36" w14:textId="06167CEE" w:rsidR="002A1A8A" w:rsidRPr="00F44FE9" w:rsidRDefault="002A1A8A" w:rsidP="002A1A8A">
            <w:pPr>
              <w:spacing w:after="0" w:line="240" w:lineRule="auto"/>
              <w:jc w:val="center"/>
              <w:rPr>
                <w:rFonts w:eastAsia="Times New Roman" w:cstheme="minorHAnsi"/>
                <w:sz w:val="24"/>
                <w:szCs w:val="24"/>
                <w:lang w:eastAsia="sk-SK"/>
              </w:rPr>
            </w:pPr>
            <w:r w:rsidRPr="005345E5">
              <w:rPr>
                <w:rFonts w:ascii="Calibri" w:eastAsia="Times New Roman" w:hAnsi="Calibri" w:cs="Calibri"/>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1D7B325E" w14:textId="0CE10397" w:rsidR="002A1A8A" w:rsidRPr="00F44FE9" w:rsidRDefault="002A1A8A" w:rsidP="002A1A8A">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1A47FA25" w14:textId="2E7D2B39" w:rsidR="002A1A8A" w:rsidRPr="00F44FE9" w:rsidRDefault="002A1A8A" w:rsidP="002A1A8A">
            <w:pPr>
              <w:spacing w:after="0" w:line="240" w:lineRule="auto"/>
              <w:jc w:val="center"/>
              <w:rPr>
                <w:rFonts w:eastAsia="Times New Roman" w:cstheme="minorHAnsi"/>
                <w:sz w:val="24"/>
                <w:szCs w:val="24"/>
                <w:lang w:eastAsia="sk-SK"/>
              </w:rPr>
            </w:pPr>
            <w:r w:rsidRPr="005345E5">
              <w:rPr>
                <w:rFonts w:ascii="Calibri" w:eastAsia="Times New Roman" w:hAnsi="Calibri" w:cs="Calibri"/>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5654278B" w14:textId="1D155FEA" w:rsidR="002A1A8A" w:rsidRPr="00F44FE9" w:rsidRDefault="002A1A8A" w:rsidP="002A1A8A">
            <w:pPr>
              <w:spacing w:after="0" w:line="240" w:lineRule="auto"/>
              <w:jc w:val="center"/>
              <w:rPr>
                <w:rFonts w:eastAsia="Times New Roman" w:cstheme="minorHAnsi"/>
                <w:sz w:val="24"/>
                <w:szCs w:val="24"/>
                <w:lang w:eastAsia="sk-SK"/>
              </w:rPr>
            </w:pPr>
            <w:r w:rsidRPr="005345E5">
              <w:rPr>
                <w:rFonts w:ascii="Calibri" w:eastAsia="Times New Roman" w:hAnsi="Calibri" w:cs="Calibri"/>
              </w:rPr>
              <w:t> 4</w:t>
            </w:r>
          </w:p>
        </w:tc>
      </w:tr>
      <w:tr w:rsidR="00F44FE9" w:rsidRPr="00F44FE9" w14:paraId="5A659CEF"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BB93F5D"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CC0C581"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sz w:val="24"/>
                <w:szCs w:val="24"/>
                <w:lang w:eastAsia="sk-SK"/>
              </w:rPr>
              <w:t xml:space="preserve">Počet stretnutí / konzultácií k implementácii IÚS </w:t>
            </w:r>
          </w:p>
        </w:tc>
      </w:tr>
      <w:tr w:rsidR="00431B4B" w:rsidRPr="00F44FE9" w14:paraId="1E6CB928"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7426A13" w14:textId="77777777" w:rsidR="00431B4B" w:rsidRPr="00F44FE9" w:rsidRDefault="00431B4B" w:rsidP="00431B4B">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19EC07F0" w14:textId="4D6B3EDD" w:rsidR="00431B4B" w:rsidRPr="00F44FE9" w:rsidRDefault="00431B4B" w:rsidP="00431B4B">
            <w:pPr>
              <w:spacing w:after="0" w:line="240" w:lineRule="auto"/>
              <w:jc w:val="center"/>
              <w:rPr>
                <w:rFonts w:eastAsia="Times New Roman" w:cstheme="minorHAnsi"/>
                <w:sz w:val="24"/>
                <w:szCs w:val="24"/>
                <w:lang w:eastAsia="sk-SK"/>
              </w:rPr>
            </w:pPr>
            <w:r w:rsidRPr="005345E5">
              <w:rPr>
                <w:rFonts w:ascii="Calibri" w:eastAsia="Times New Roman" w:hAnsi="Calibri" w:cs="Calibr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EF93C09" w14:textId="08124655" w:rsidR="00431B4B" w:rsidRPr="00F44FE9" w:rsidRDefault="00431B4B" w:rsidP="00431B4B">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A80E171" w14:textId="4791DFA5" w:rsidR="00431B4B" w:rsidRPr="00F44FE9" w:rsidRDefault="00431B4B" w:rsidP="00431B4B">
            <w:pPr>
              <w:spacing w:after="0" w:line="240" w:lineRule="auto"/>
              <w:jc w:val="center"/>
              <w:rPr>
                <w:rFonts w:eastAsia="Times New Roman" w:cstheme="minorHAnsi"/>
                <w:sz w:val="24"/>
                <w:szCs w:val="24"/>
                <w:lang w:eastAsia="sk-SK"/>
              </w:rPr>
            </w:pPr>
            <w:r w:rsidRPr="005345E5">
              <w:rPr>
                <w:rFonts w:ascii="Calibri" w:eastAsia="Times New Roman" w:hAnsi="Calibri" w:cs="Calibr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D555A0F" w14:textId="5035C3AC" w:rsidR="00431B4B" w:rsidRPr="00F44FE9" w:rsidRDefault="00431B4B" w:rsidP="00431B4B">
            <w:pPr>
              <w:spacing w:after="0" w:line="240" w:lineRule="auto"/>
              <w:jc w:val="center"/>
              <w:rPr>
                <w:rFonts w:eastAsia="Times New Roman" w:cstheme="minorHAnsi"/>
                <w:sz w:val="24"/>
                <w:szCs w:val="24"/>
                <w:lang w:eastAsia="sk-SK"/>
              </w:rPr>
            </w:pPr>
            <w:r w:rsidRPr="005345E5">
              <w:rPr>
                <w:rFonts w:ascii="Calibri" w:eastAsia="Times New Roman" w:hAnsi="Calibri" w:cs="Calibri"/>
              </w:rPr>
              <w:t>2027</w:t>
            </w:r>
          </w:p>
        </w:tc>
      </w:tr>
      <w:tr w:rsidR="00431B4B" w:rsidRPr="00F44FE9" w14:paraId="22003107"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C0806DA" w14:textId="77777777" w:rsidR="00431B4B" w:rsidRPr="00F44FE9" w:rsidRDefault="00431B4B" w:rsidP="00431B4B">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6AFBB26F" w14:textId="5CC0B4CE" w:rsidR="00431B4B" w:rsidRPr="00F44FE9" w:rsidRDefault="00431B4B" w:rsidP="00431B4B">
            <w:pPr>
              <w:spacing w:after="0" w:line="240" w:lineRule="auto"/>
              <w:jc w:val="center"/>
              <w:rPr>
                <w:rFonts w:eastAsia="Times New Roman" w:cstheme="minorHAnsi"/>
                <w:sz w:val="24"/>
                <w:szCs w:val="24"/>
                <w:lang w:eastAsia="sk-SK"/>
              </w:rPr>
            </w:pPr>
            <w:r w:rsidRPr="005345E5">
              <w:rPr>
                <w:rFonts w:ascii="Calibri" w:eastAsia="Times New Roman" w:hAnsi="Calibri" w:cs="Calibri"/>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54F932FA" w14:textId="5D6CD4CB" w:rsidR="00431B4B" w:rsidRPr="00F44FE9" w:rsidRDefault="00431B4B" w:rsidP="00431B4B">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72574F6" w14:textId="44B9950B" w:rsidR="00431B4B" w:rsidRPr="00F44FE9" w:rsidRDefault="00431B4B" w:rsidP="00431B4B">
            <w:pPr>
              <w:spacing w:after="0" w:line="240" w:lineRule="auto"/>
              <w:jc w:val="center"/>
              <w:rPr>
                <w:rFonts w:eastAsia="Times New Roman" w:cstheme="minorHAnsi"/>
                <w:sz w:val="24"/>
                <w:szCs w:val="24"/>
                <w:lang w:eastAsia="sk-SK"/>
              </w:rPr>
            </w:pPr>
            <w:r w:rsidRPr="005345E5">
              <w:rPr>
                <w:rFonts w:ascii="Calibri" w:eastAsia="Times New Roman" w:hAnsi="Calibri" w:cs="Calibri"/>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30500E4" w14:textId="3B387573" w:rsidR="00431B4B" w:rsidRPr="00F44FE9" w:rsidRDefault="00431B4B" w:rsidP="00431B4B">
            <w:pPr>
              <w:spacing w:after="0" w:line="240" w:lineRule="auto"/>
              <w:jc w:val="center"/>
              <w:rPr>
                <w:rFonts w:eastAsia="Times New Roman" w:cstheme="minorHAnsi"/>
                <w:sz w:val="24"/>
                <w:szCs w:val="24"/>
                <w:lang w:eastAsia="sk-SK"/>
              </w:rPr>
            </w:pPr>
            <w:r w:rsidRPr="005345E5">
              <w:rPr>
                <w:rFonts w:ascii="Calibri" w:eastAsia="Times New Roman" w:hAnsi="Calibri" w:cs="Calibri"/>
              </w:rPr>
              <w:t> 100</w:t>
            </w:r>
          </w:p>
        </w:tc>
      </w:tr>
      <w:tr w:rsidR="00F44FE9" w:rsidRPr="00F44FE9" w14:paraId="6F83CD04"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C65994E"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60B73547"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sz w:val="24"/>
                <w:szCs w:val="24"/>
                <w:lang w:eastAsia="sk-SK"/>
              </w:rPr>
              <w:t>Počet aktualizácií projektových zásobníkov IÚS BSK</w:t>
            </w:r>
          </w:p>
        </w:tc>
      </w:tr>
      <w:tr w:rsidR="001A15A7" w:rsidRPr="00F44FE9" w14:paraId="19901276"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2E5D05B2" w14:textId="77777777" w:rsidR="001A15A7" w:rsidRPr="00F44FE9" w:rsidRDefault="001A15A7" w:rsidP="001A15A7">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1B03F3A" w14:textId="290EC96A" w:rsidR="001A15A7" w:rsidRPr="00F44FE9" w:rsidRDefault="001A15A7" w:rsidP="001A15A7">
            <w:pPr>
              <w:spacing w:after="0" w:line="240" w:lineRule="auto"/>
              <w:jc w:val="center"/>
              <w:rPr>
                <w:rFonts w:eastAsia="Times New Roman" w:cstheme="minorHAnsi"/>
                <w:sz w:val="24"/>
                <w:szCs w:val="24"/>
                <w:lang w:eastAsia="sk-SK"/>
              </w:rPr>
            </w:pPr>
            <w:r w:rsidRPr="005345E5">
              <w:rPr>
                <w:rFonts w:ascii="Calibri" w:eastAsia="Times New Roman" w:hAnsi="Calibri" w:cs="Calibr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21766B70" w14:textId="5625A87F" w:rsidR="001A15A7" w:rsidRPr="00F44FE9" w:rsidRDefault="001A15A7" w:rsidP="001A15A7">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57047995" w14:textId="792214DC" w:rsidR="001A15A7" w:rsidRPr="00F44FE9" w:rsidRDefault="001A15A7" w:rsidP="001A15A7">
            <w:pPr>
              <w:spacing w:after="0" w:line="240" w:lineRule="auto"/>
              <w:jc w:val="center"/>
              <w:rPr>
                <w:rFonts w:eastAsia="Times New Roman" w:cstheme="minorHAnsi"/>
                <w:sz w:val="24"/>
                <w:szCs w:val="24"/>
                <w:lang w:eastAsia="sk-SK"/>
              </w:rPr>
            </w:pPr>
            <w:r w:rsidRPr="005345E5">
              <w:rPr>
                <w:rFonts w:ascii="Calibri" w:eastAsia="Times New Roman" w:hAnsi="Calibri" w:cs="Calibr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61B9376C" w14:textId="7EC121DE" w:rsidR="001A15A7" w:rsidRPr="00F44FE9" w:rsidRDefault="001A15A7" w:rsidP="001A15A7">
            <w:pPr>
              <w:spacing w:after="0" w:line="240" w:lineRule="auto"/>
              <w:jc w:val="center"/>
              <w:rPr>
                <w:rFonts w:eastAsia="Times New Roman" w:cstheme="minorHAnsi"/>
                <w:sz w:val="24"/>
                <w:szCs w:val="24"/>
                <w:lang w:eastAsia="sk-SK"/>
              </w:rPr>
            </w:pPr>
            <w:r w:rsidRPr="005345E5">
              <w:rPr>
                <w:rFonts w:ascii="Calibri" w:eastAsia="Times New Roman" w:hAnsi="Calibri" w:cs="Calibri"/>
              </w:rPr>
              <w:t>2027</w:t>
            </w:r>
          </w:p>
        </w:tc>
      </w:tr>
      <w:tr w:rsidR="001A15A7" w:rsidRPr="00F44FE9" w14:paraId="3FA1FBC2"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72105BE" w14:textId="77777777" w:rsidR="001A15A7" w:rsidRPr="00F44FE9" w:rsidRDefault="001A15A7" w:rsidP="001A15A7">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58E631CC" w14:textId="12BAFDE1" w:rsidR="001A15A7" w:rsidRPr="00F44FE9" w:rsidRDefault="001A15A7" w:rsidP="001A15A7">
            <w:pPr>
              <w:spacing w:after="0" w:line="240" w:lineRule="auto"/>
              <w:jc w:val="center"/>
              <w:rPr>
                <w:rFonts w:eastAsia="Times New Roman" w:cstheme="minorHAnsi"/>
                <w:sz w:val="24"/>
                <w:szCs w:val="24"/>
                <w:lang w:eastAsia="sk-SK"/>
              </w:rPr>
            </w:pPr>
            <w:r w:rsidRPr="005345E5">
              <w:rPr>
                <w:rFonts w:ascii="Calibri" w:eastAsia="Times New Roman" w:hAnsi="Calibri" w:cs="Calibri"/>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12114EE8" w14:textId="65421E92" w:rsidR="001A15A7" w:rsidRPr="00F44FE9" w:rsidRDefault="001A15A7" w:rsidP="001A15A7">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3D0CCE0F" w14:textId="5437E9B9" w:rsidR="001A15A7" w:rsidRPr="00F44FE9" w:rsidRDefault="001A15A7" w:rsidP="001A15A7">
            <w:pPr>
              <w:spacing w:after="0" w:line="240" w:lineRule="auto"/>
              <w:jc w:val="center"/>
              <w:rPr>
                <w:rFonts w:eastAsia="Times New Roman" w:cstheme="minorHAnsi"/>
                <w:sz w:val="24"/>
                <w:szCs w:val="24"/>
                <w:lang w:eastAsia="sk-SK"/>
              </w:rPr>
            </w:pPr>
            <w:r w:rsidRPr="005345E5">
              <w:rPr>
                <w:rFonts w:ascii="Calibri" w:eastAsia="Times New Roman" w:hAnsi="Calibri" w:cs="Calibri"/>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2F49DCA2" w14:textId="4062E9AC" w:rsidR="001A15A7" w:rsidRPr="00F44FE9" w:rsidRDefault="001A15A7" w:rsidP="001A15A7">
            <w:pPr>
              <w:spacing w:after="0" w:line="240" w:lineRule="auto"/>
              <w:jc w:val="center"/>
              <w:rPr>
                <w:rFonts w:eastAsia="Times New Roman" w:cstheme="minorHAnsi"/>
                <w:sz w:val="24"/>
                <w:szCs w:val="24"/>
                <w:lang w:eastAsia="sk-SK"/>
              </w:rPr>
            </w:pPr>
            <w:r w:rsidRPr="005345E5">
              <w:rPr>
                <w:rFonts w:ascii="Calibri" w:eastAsia="Times New Roman" w:hAnsi="Calibri" w:cs="Calibri"/>
              </w:rPr>
              <w:t> 2</w:t>
            </w:r>
          </w:p>
        </w:tc>
      </w:tr>
      <w:tr w:rsidR="00F44FE9" w:rsidRPr="00F44FE9" w14:paraId="06C5F53C"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4441133"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254B590"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sz w:val="24"/>
                <w:szCs w:val="24"/>
                <w:lang w:eastAsia="sk-SK"/>
              </w:rPr>
              <w:t>Počet projektov IROP</w:t>
            </w:r>
          </w:p>
        </w:tc>
      </w:tr>
      <w:tr w:rsidR="001E23C2" w:rsidRPr="00F44FE9" w14:paraId="5B7C6309"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35DC0CF" w14:textId="77777777" w:rsidR="001E23C2" w:rsidRPr="00F44FE9" w:rsidRDefault="001E23C2" w:rsidP="001E23C2">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6EBAB701" w14:textId="7053CC13" w:rsidR="001E23C2" w:rsidRPr="00F44FE9" w:rsidRDefault="001E23C2" w:rsidP="001E23C2">
            <w:pPr>
              <w:spacing w:after="0" w:line="240" w:lineRule="auto"/>
              <w:jc w:val="center"/>
              <w:rPr>
                <w:rFonts w:eastAsia="Times New Roman" w:cstheme="minorHAnsi"/>
                <w:sz w:val="24"/>
                <w:szCs w:val="24"/>
                <w:lang w:eastAsia="sk-SK"/>
              </w:rPr>
            </w:pPr>
            <w:r w:rsidRPr="005345E5">
              <w:rPr>
                <w:rFonts w:ascii="Calibri" w:eastAsia="Times New Roman" w:hAnsi="Calibri" w:cs="Calibr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C0B8EFD" w14:textId="08E0D311" w:rsidR="001E23C2" w:rsidRPr="00F44FE9" w:rsidRDefault="001E23C2" w:rsidP="001E23C2">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3279297F" w14:textId="131754B3" w:rsidR="001E23C2" w:rsidRPr="00F44FE9" w:rsidRDefault="001E23C2" w:rsidP="001E23C2">
            <w:pPr>
              <w:spacing w:after="0" w:line="240" w:lineRule="auto"/>
              <w:jc w:val="center"/>
              <w:rPr>
                <w:rFonts w:eastAsia="Times New Roman" w:cstheme="minorHAnsi"/>
                <w:sz w:val="24"/>
                <w:szCs w:val="24"/>
                <w:lang w:eastAsia="sk-SK"/>
              </w:rPr>
            </w:pPr>
            <w:r w:rsidRPr="005345E5">
              <w:rPr>
                <w:rFonts w:ascii="Calibri" w:eastAsia="Times New Roman" w:hAnsi="Calibri" w:cs="Calibr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6D39BFB5" w14:textId="38336E5B" w:rsidR="001E23C2" w:rsidRPr="00F44FE9" w:rsidRDefault="001E23C2" w:rsidP="001E23C2">
            <w:pPr>
              <w:spacing w:after="0" w:line="240" w:lineRule="auto"/>
              <w:jc w:val="center"/>
              <w:rPr>
                <w:rFonts w:eastAsia="Times New Roman" w:cstheme="minorHAnsi"/>
                <w:sz w:val="24"/>
                <w:szCs w:val="24"/>
                <w:lang w:eastAsia="sk-SK"/>
              </w:rPr>
            </w:pPr>
            <w:r w:rsidRPr="005345E5">
              <w:rPr>
                <w:rFonts w:ascii="Calibri" w:eastAsia="Times New Roman" w:hAnsi="Calibri" w:cs="Calibri"/>
              </w:rPr>
              <w:t>2027</w:t>
            </w:r>
          </w:p>
        </w:tc>
      </w:tr>
      <w:tr w:rsidR="001E23C2" w:rsidRPr="00F44FE9" w14:paraId="028A6348"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DF039D8" w14:textId="77777777" w:rsidR="001E23C2" w:rsidRPr="00F44FE9" w:rsidRDefault="001E23C2" w:rsidP="001E23C2">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13E7EAB0" w14:textId="0BC82A76" w:rsidR="001E23C2" w:rsidRPr="00F44FE9" w:rsidRDefault="001E23C2" w:rsidP="001E23C2">
            <w:pPr>
              <w:spacing w:after="0" w:line="240" w:lineRule="auto"/>
              <w:jc w:val="center"/>
              <w:rPr>
                <w:rFonts w:eastAsia="Times New Roman" w:cstheme="minorHAnsi"/>
                <w:sz w:val="24"/>
                <w:szCs w:val="24"/>
                <w:lang w:eastAsia="sk-SK"/>
              </w:rPr>
            </w:pPr>
            <w:r w:rsidRPr="005345E5">
              <w:rPr>
                <w:rFonts w:ascii="Calibri" w:eastAsia="Times New Roman" w:hAnsi="Calibri" w:cs="Calibri"/>
              </w:rPr>
              <w:t> 120</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32325E6" w14:textId="580AF0E9" w:rsidR="001E23C2" w:rsidRPr="00F44FE9" w:rsidRDefault="001E23C2" w:rsidP="001E23C2">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3671B8BB" w14:textId="591B2AE7" w:rsidR="001E23C2" w:rsidRPr="00F44FE9" w:rsidRDefault="001E23C2" w:rsidP="001E23C2">
            <w:pPr>
              <w:spacing w:after="0" w:line="240" w:lineRule="auto"/>
              <w:jc w:val="center"/>
              <w:rPr>
                <w:rFonts w:eastAsia="Times New Roman" w:cstheme="minorHAnsi"/>
                <w:sz w:val="24"/>
                <w:szCs w:val="24"/>
                <w:lang w:eastAsia="sk-SK"/>
              </w:rPr>
            </w:pPr>
            <w:r w:rsidRPr="005345E5">
              <w:rPr>
                <w:rFonts w:ascii="Calibri" w:eastAsia="Times New Roman" w:hAnsi="Calibri" w:cs="Calibri"/>
              </w:rPr>
              <w:t> 70</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3C89F0C" w14:textId="64A3F3E7" w:rsidR="001E23C2" w:rsidRPr="00F44FE9" w:rsidRDefault="001E23C2" w:rsidP="001E23C2">
            <w:pPr>
              <w:spacing w:after="0" w:line="240" w:lineRule="auto"/>
              <w:jc w:val="center"/>
              <w:rPr>
                <w:rFonts w:eastAsia="Times New Roman" w:cstheme="minorHAnsi"/>
                <w:sz w:val="24"/>
                <w:szCs w:val="24"/>
                <w:lang w:eastAsia="sk-SK"/>
              </w:rPr>
            </w:pPr>
            <w:r w:rsidRPr="005345E5">
              <w:rPr>
                <w:rFonts w:ascii="Calibri" w:eastAsia="Times New Roman" w:hAnsi="Calibri" w:cs="Calibri"/>
              </w:rPr>
              <w:t> 70</w:t>
            </w:r>
          </w:p>
        </w:tc>
      </w:tr>
      <w:tr w:rsidR="00F44FE9" w:rsidRPr="00F44FE9" w14:paraId="198D7895"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120F856B" w14:textId="77777777"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87E1F8E" w14:textId="4BA3029A" w:rsidR="00F44FE9" w:rsidRPr="00F44FE9" w:rsidRDefault="00F44FE9" w:rsidP="00F44FE9">
            <w:pPr>
              <w:spacing w:after="0" w:line="240" w:lineRule="auto"/>
              <w:rPr>
                <w:rFonts w:eastAsia="Times New Roman" w:cstheme="minorHAnsi"/>
                <w:sz w:val="24"/>
                <w:szCs w:val="24"/>
                <w:lang w:eastAsia="sk-SK"/>
              </w:rPr>
            </w:pPr>
            <w:r w:rsidRPr="00F44FE9">
              <w:rPr>
                <w:rFonts w:eastAsia="Times New Roman" w:cstheme="minorHAnsi"/>
                <w:sz w:val="24"/>
                <w:szCs w:val="24"/>
                <w:lang w:eastAsia="sk-SK"/>
              </w:rPr>
              <w:t>Počet kontrol na mieste</w:t>
            </w:r>
            <w:r w:rsidR="00273EC7">
              <w:rPr>
                <w:rFonts w:eastAsia="Times New Roman" w:cstheme="minorHAnsi"/>
                <w:sz w:val="24"/>
                <w:szCs w:val="24"/>
                <w:lang w:eastAsia="sk-SK"/>
              </w:rPr>
              <w:t xml:space="preserve"> k</w:t>
            </w:r>
            <w:r w:rsidR="004B2141">
              <w:rPr>
                <w:rFonts w:eastAsia="Times New Roman" w:cstheme="minorHAnsi"/>
                <w:sz w:val="24"/>
                <w:szCs w:val="24"/>
                <w:lang w:eastAsia="sk-SK"/>
              </w:rPr>
              <w:t> </w:t>
            </w:r>
            <w:r w:rsidR="00273EC7">
              <w:rPr>
                <w:rFonts w:eastAsia="Times New Roman" w:cstheme="minorHAnsi"/>
                <w:sz w:val="24"/>
                <w:szCs w:val="24"/>
                <w:lang w:eastAsia="sk-SK"/>
              </w:rPr>
              <w:t>p</w:t>
            </w:r>
            <w:r w:rsidR="004B2141">
              <w:rPr>
                <w:rFonts w:eastAsia="Times New Roman" w:cstheme="minorHAnsi"/>
                <w:sz w:val="24"/>
                <w:szCs w:val="24"/>
                <w:lang w:eastAsia="sk-SK"/>
              </w:rPr>
              <w:t>rojektom IROP</w:t>
            </w:r>
          </w:p>
        </w:tc>
      </w:tr>
      <w:tr w:rsidR="000822CD" w:rsidRPr="00F44FE9" w14:paraId="69A95070"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6357B87B" w14:textId="77777777" w:rsidR="000822CD" w:rsidRPr="00F44FE9" w:rsidRDefault="000822CD" w:rsidP="000822CD">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374D240C" w14:textId="37B97336" w:rsidR="000822CD" w:rsidRPr="00F44FE9" w:rsidRDefault="000822CD" w:rsidP="000822CD">
            <w:pPr>
              <w:spacing w:after="0" w:line="240" w:lineRule="auto"/>
              <w:jc w:val="center"/>
              <w:rPr>
                <w:rFonts w:eastAsia="Times New Roman" w:cstheme="minorHAnsi"/>
                <w:sz w:val="24"/>
                <w:szCs w:val="24"/>
                <w:lang w:eastAsia="sk-SK"/>
              </w:rPr>
            </w:pPr>
            <w:r w:rsidRPr="005345E5">
              <w:rPr>
                <w:rFonts w:ascii="Calibri" w:eastAsia="Times New Roman" w:hAnsi="Calibri" w:cs="Calibr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256CA046" w14:textId="04E57379" w:rsidR="000822CD" w:rsidRPr="00F44FE9" w:rsidRDefault="000822CD" w:rsidP="000822CD">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534D74F2" w14:textId="14591BDC" w:rsidR="000822CD" w:rsidRPr="00F44FE9" w:rsidRDefault="000822CD" w:rsidP="000822CD">
            <w:pPr>
              <w:spacing w:after="0" w:line="240" w:lineRule="auto"/>
              <w:jc w:val="center"/>
              <w:rPr>
                <w:rFonts w:eastAsia="Times New Roman" w:cstheme="minorHAnsi"/>
                <w:sz w:val="24"/>
                <w:szCs w:val="24"/>
                <w:lang w:eastAsia="sk-SK"/>
              </w:rPr>
            </w:pPr>
            <w:r w:rsidRPr="005345E5">
              <w:rPr>
                <w:rFonts w:ascii="Calibri" w:eastAsia="Times New Roman" w:hAnsi="Calibri" w:cs="Calibr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5D8C47BF" w14:textId="2D2AC800" w:rsidR="000822CD" w:rsidRPr="00F44FE9" w:rsidRDefault="000822CD" w:rsidP="000822CD">
            <w:pPr>
              <w:spacing w:after="0" w:line="240" w:lineRule="auto"/>
              <w:jc w:val="center"/>
              <w:rPr>
                <w:rFonts w:eastAsia="Times New Roman" w:cstheme="minorHAnsi"/>
                <w:sz w:val="24"/>
                <w:szCs w:val="24"/>
                <w:lang w:eastAsia="sk-SK"/>
              </w:rPr>
            </w:pPr>
            <w:r w:rsidRPr="005345E5">
              <w:rPr>
                <w:rFonts w:ascii="Calibri" w:eastAsia="Times New Roman" w:hAnsi="Calibri" w:cs="Calibri"/>
              </w:rPr>
              <w:t>2027</w:t>
            </w:r>
          </w:p>
        </w:tc>
      </w:tr>
      <w:tr w:rsidR="000822CD" w:rsidRPr="00F44FE9" w14:paraId="1094A363"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1F7FC1AA" w14:textId="77777777" w:rsidR="000822CD" w:rsidRPr="00F44FE9" w:rsidRDefault="000822CD" w:rsidP="000822CD">
            <w:pPr>
              <w:spacing w:after="0" w:line="240" w:lineRule="auto"/>
              <w:rPr>
                <w:rFonts w:eastAsia="Times New Roman" w:cstheme="minorHAnsi"/>
                <w:sz w:val="24"/>
                <w:szCs w:val="24"/>
                <w:lang w:eastAsia="sk-SK"/>
              </w:rPr>
            </w:pPr>
            <w:r w:rsidRPr="00F44FE9">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3355C98" w14:textId="1850492E" w:rsidR="000822CD" w:rsidRPr="00F44FE9" w:rsidRDefault="000822CD" w:rsidP="000822CD">
            <w:pPr>
              <w:spacing w:after="0" w:line="240" w:lineRule="auto"/>
              <w:jc w:val="center"/>
              <w:rPr>
                <w:rFonts w:eastAsia="Times New Roman" w:cstheme="minorHAnsi"/>
                <w:sz w:val="24"/>
                <w:szCs w:val="24"/>
                <w:lang w:eastAsia="sk-SK"/>
              </w:rPr>
            </w:pPr>
            <w:r w:rsidRPr="005345E5">
              <w:rPr>
                <w:rFonts w:ascii="Calibri" w:eastAsia="Times New Roman" w:hAnsi="Calibri" w:cs="Calibri"/>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312DF1C9" w14:textId="30EC66DD" w:rsidR="000822CD" w:rsidRPr="00F44FE9" w:rsidRDefault="000822CD" w:rsidP="000822CD">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AA17933" w14:textId="58C987EF" w:rsidR="000822CD" w:rsidRPr="00F44FE9" w:rsidRDefault="000822CD" w:rsidP="000822CD">
            <w:pPr>
              <w:spacing w:after="0" w:line="240" w:lineRule="auto"/>
              <w:jc w:val="center"/>
              <w:rPr>
                <w:rFonts w:eastAsia="Times New Roman" w:cstheme="minorHAnsi"/>
                <w:sz w:val="24"/>
                <w:szCs w:val="24"/>
                <w:lang w:eastAsia="sk-SK"/>
              </w:rPr>
            </w:pPr>
            <w:r w:rsidRPr="005345E5">
              <w:rPr>
                <w:rFonts w:ascii="Calibri" w:eastAsia="Times New Roman" w:hAnsi="Calibri" w:cs="Calibri"/>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2FB36774" w14:textId="6E157F7F" w:rsidR="000822CD" w:rsidRPr="00F44FE9" w:rsidRDefault="000822CD" w:rsidP="000822CD">
            <w:pPr>
              <w:spacing w:after="0" w:line="240" w:lineRule="auto"/>
              <w:jc w:val="center"/>
              <w:rPr>
                <w:rFonts w:eastAsia="Times New Roman" w:cstheme="minorHAnsi"/>
                <w:sz w:val="24"/>
                <w:szCs w:val="24"/>
                <w:lang w:eastAsia="sk-SK"/>
              </w:rPr>
            </w:pPr>
            <w:r w:rsidRPr="005345E5">
              <w:rPr>
                <w:rFonts w:ascii="Calibri" w:eastAsia="Times New Roman" w:hAnsi="Calibri" w:cs="Calibri"/>
              </w:rPr>
              <w:t> 10</w:t>
            </w:r>
          </w:p>
        </w:tc>
      </w:tr>
    </w:tbl>
    <w:p w14:paraId="1C8BD665" w14:textId="440F3EA3" w:rsidR="0026762D" w:rsidRDefault="0026762D" w:rsidP="0026762D">
      <w:pPr>
        <w:pStyle w:val="Normlnywebov"/>
        <w:spacing w:before="0" w:beforeAutospacing="0" w:after="0" w:afterAutospacing="0"/>
        <w:jc w:val="both"/>
        <w:rPr>
          <w:rFonts w:ascii="Calibri" w:hAnsi="Calibri" w:cs="Calibri"/>
        </w:rPr>
      </w:pPr>
      <w:r w:rsidRPr="005345E5">
        <w:rPr>
          <w:rFonts w:ascii="Calibri" w:hAnsi="Calibri" w:cs="Calibri"/>
          <w:b/>
          <w:bCs/>
        </w:rPr>
        <w:lastRenderedPageBreak/>
        <w:t xml:space="preserve">Komentár: </w:t>
      </w:r>
      <w:r w:rsidRPr="005345E5">
        <w:rPr>
          <w:rFonts w:ascii="Calibri" w:hAnsi="Calibri" w:cs="Calibri"/>
        </w:rPr>
        <w:t xml:space="preserve">Odbor implementácie operačných programov vystupuje ako sprostredkovateľský orgán pre Integrovaný regionálny operačný program (2014 - 2020). Hlavnou úlohou je poskytovanie poradenstva a informovanosť pre žiadateľov a prijímateľov, posudzovanie projektov, finančná kontrola oprávnenosti výdavkov, kontrola verejného obstarávania, implementácia projektov, zmenové procedúry </w:t>
      </w:r>
      <w:r w:rsidR="001B5063">
        <w:rPr>
          <w:rFonts w:ascii="Calibri" w:hAnsi="Calibri" w:cs="Calibri"/>
        </w:rPr>
        <w:br/>
      </w:r>
      <w:r w:rsidRPr="005345E5">
        <w:rPr>
          <w:rFonts w:ascii="Calibri" w:hAnsi="Calibri" w:cs="Calibri"/>
        </w:rPr>
        <w:t xml:space="preserve">a monitorovanie projektov. Časť nákladov na chod sprostredkovateľského orgánu je refundovaných </w:t>
      </w:r>
      <w:r w:rsidR="001B5063">
        <w:rPr>
          <w:rFonts w:ascii="Calibri" w:hAnsi="Calibri" w:cs="Calibri"/>
        </w:rPr>
        <w:br/>
      </w:r>
      <w:r w:rsidRPr="005345E5">
        <w:rPr>
          <w:rFonts w:ascii="Calibri" w:hAnsi="Calibri" w:cs="Calibri"/>
        </w:rPr>
        <w:t>z technickej pomoci IROP. Merateľný ukazovateľ Počet projektov IROP sleduje počet projektov s účinnou zmluvou o NFP, ktoré v období udržateľnosti predkladajú následné monitorovacie správy (ukončené projekty). Merateľný ukazovateľ Počet kontrol na mieste projektov IROP sleduje počet projektov z IROP, ktoré sú fyzicky kontrolované na mieste realizácie počas fázy udržateľnosti.</w:t>
      </w:r>
      <w:r>
        <w:rPr>
          <w:rFonts w:ascii="Calibri" w:hAnsi="Calibri" w:cs="Calibri"/>
        </w:rPr>
        <w:t xml:space="preserve"> </w:t>
      </w:r>
      <w:r w:rsidRPr="005345E5">
        <w:rPr>
          <w:rFonts w:ascii="Calibri" w:hAnsi="Calibri" w:cs="Calibri"/>
        </w:rPr>
        <w:t>Odbor implementácie operačných programov rovnako zabezpečuje funkciu technického sekretariátu Rady partnerstva BSK, ktorý je zodpovedný za organizačné, vecné a administratívne úlohy spojené s činnosťou Rady partnerstva a jej orgánov. Hlavným cieľom sekretariátu je zabezpečiť efektívne využitie prostriedkov pre dosiahnutie cieľov integrovanej územnej stratégie – na základe znalosti územia a dopytu v území tak, aby bolo na dopyt možné pružne reagovať v rámci programovania a prípravy výziev Programu Slovensko. Technický sekretariát Rady partnerstva tiež pôsobí ako kontaktný bod a implementačno-technická jednotka, ktorá žiadateľom poskytuje poradenstvo a sprevádza ich prípravou a realizáciou projektov pre plnenie IÚS v konkrétnom území. Úlohou sekretariátu je zabezpečiť pre budúcich prijímateľov maximálnu mieru podpory pre úspešný proces prípravy, predloženia a implementácie projektov schválených na úrovni Rady partnerstva.</w:t>
      </w:r>
    </w:p>
    <w:p w14:paraId="3BAC9837" w14:textId="2559B70D" w:rsidR="0026762D" w:rsidRDefault="0026762D" w:rsidP="0026762D">
      <w:pPr>
        <w:pStyle w:val="Normlnywebov"/>
        <w:spacing w:before="0" w:beforeAutospacing="0" w:after="0" w:afterAutospacing="0"/>
        <w:jc w:val="both"/>
        <w:rPr>
          <w:rFonts w:ascii="Calibri" w:hAnsi="Calibri" w:cs="Calibri"/>
        </w:rPr>
      </w:pPr>
      <w:r w:rsidRPr="005345E5">
        <w:rPr>
          <w:rFonts w:ascii="Calibri" w:hAnsi="Calibri" w:cs="Calibri"/>
        </w:rPr>
        <w:t xml:space="preserve">Merateľné ukazovatele sledujú počet zasadnutí Rady partnerstva BSK, počet stretnutí / konzultácií </w:t>
      </w:r>
      <w:r w:rsidR="00647DC1">
        <w:rPr>
          <w:rFonts w:ascii="Calibri" w:hAnsi="Calibri" w:cs="Calibri"/>
        </w:rPr>
        <w:br/>
      </w:r>
      <w:r w:rsidRPr="005345E5">
        <w:rPr>
          <w:rFonts w:ascii="Calibri" w:hAnsi="Calibri" w:cs="Calibri"/>
        </w:rPr>
        <w:t>k implementácii IÚS BSK a počet aktualizácií projektových zásobníkov BSK, ktoré budú schválené na úrovni Rady partnerstva.</w:t>
      </w:r>
    </w:p>
    <w:p w14:paraId="63892497" w14:textId="37773342" w:rsidR="006A7031" w:rsidRPr="006A7031" w:rsidRDefault="006A7031" w:rsidP="006A7031">
      <w:pPr>
        <w:spacing w:before="100" w:beforeAutospacing="1" w:after="100" w:afterAutospacing="1" w:line="240" w:lineRule="auto"/>
        <w:outlineLvl w:val="2"/>
        <w:rPr>
          <w:rFonts w:eastAsia="Times New Roman" w:cstheme="minorHAnsi"/>
          <w:b/>
          <w:bCs/>
          <w:sz w:val="27"/>
          <w:szCs w:val="27"/>
          <w:lang w:eastAsia="sk-SK"/>
        </w:rPr>
      </w:pPr>
      <w:r w:rsidRPr="006A7031">
        <w:rPr>
          <w:rFonts w:eastAsia="Times New Roman" w:cstheme="minorHAnsi"/>
          <w:b/>
          <w:bCs/>
          <w:color w:val="0000FF"/>
          <w:sz w:val="27"/>
          <w:szCs w:val="27"/>
          <w:lang w:eastAsia="sk-SK"/>
        </w:rPr>
        <w:t>Podprogram 1.9: Bezpečnosť</w:t>
      </w:r>
      <w:r w:rsidRPr="006A7031">
        <w:rPr>
          <w:rFonts w:eastAsia="Times New Roman" w:cstheme="minorHAnsi"/>
          <w:b/>
          <w:bCs/>
          <w:sz w:val="27"/>
          <w:szCs w:val="27"/>
          <w:lang w:eastAsia="sk-SK"/>
        </w:rPr>
        <w:t xml:space="preserve"> </w:t>
      </w:r>
    </w:p>
    <w:p w14:paraId="5214587A"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 xml:space="preserve">Zámer: </w:t>
      </w:r>
      <w:r w:rsidRPr="00573040">
        <w:rPr>
          <w:rFonts w:ascii="Calibri" w:eastAsia="Times New Roman" w:hAnsi="Calibri" w:cs="Calibri"/>
          <w:sz w:val="24"/>
          <w:szCs w:val="24"/>
          <w:lang w:eastAsia="sk-SK"/>
        </w:rPr>
        <w:t>Kraj pripravený na mimoriadne udalosti</w:t>
      </w:r>
    </w:p>
    <w:p w14:paraId="71930F4B" w14:textId="77777777" w:rsidR="00573040" w:rsidRPr="00573040" w:rsidRDefault="00573040" w:rsidP="00573040">
      <w:pPr>
        <w:spacing w:after="0" w:line="240" w:lineRule="auto"/>
        <w:rPr>
          <w:rFonts w:ascii="Calibri" w:eastAsia="Times New Roman" w:hAnsi="Calibri" w:cs="Calibri"/>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70"/>
        <w:gridCol w:w="2330"/>
        <w:gridCol w:w="1261"/>
        <w:gridCol w:w="1261"/>
        <w:gridCol w:w="686"/>
        <w:gridCol w:w="1002"/>
        <w:gridCol w:w="836"/>
        <w:gridCol w:w="1266"/>
        <w:gridCol w:w="1038"/>
      </w:tblGrid>
      <w:tr w:rsidR="00573040" w:rsidRPr="00573040" w14:paraId="785961FE"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1BE9B52"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b/>
                <w:bCs/>
                <w:i/>
                <w:iCs/>
                <w:sz w:val="24"/>
                <w:szCs w:val="24"/>
                <w:lang w:eastAsia="sk-SK"/>
              </w:rPr>
              <w:t>Rozpočet v EUR</w:t>
            </w:r>
          </w:p>
        </w:tc>
      </w:tr>
      <w:tr w:rsidR="00EF584F" w:rsidRPr="00573040" w14:paraId="4C7F42B6" w14:textId="77777777" w:rsidTr="00EF584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1138E0" w14:textId="77777777" w:rsidR="00573040" w:rsidRPr="00573040" w:rsidRDefault="00573040" w:rsidP="00573040">
            <w:pPr>
              <w:spacing w:after="0" w:line="240" w:lineRule="auto"/>
              <w:rPr>
                <w:rFonts w:ascii="Calibri" w:eastAsia="Times New Roman" w:hAnsi="Calibri" w:cs="Calibri"/>
                <w:lang w:eastAsia="sk-SK"/>
              </w:rPr>
            </w:pPr>
            <w:r w:rsidRPr="00573040">
              <w:rPr>
                <w:rFonts w:ascii="Calibri" w:eastAsia="Times New Roman" w:hAnsi="Calibri" w:cs="Calibri"/>
                <w:b/>
                <w:bCs/>
                <w:lang w:eastAsia="sk-SK"/>
              </w:rPr>
              <w:t>EK</w:t>
            </w:r>
          </w:p>
        </w:tc>
        <w:tc>
          <w:tcPr>
            <w:tcW w:w="113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7BF968E" w14:textId="77777777" w:rsidR="00573040" w:rsidRPr="00573040" w:rsidRDefault="00573040" w:rsidP="00573040">
            <w:pPr>
              <w:spacing w:after="0" w:line="240" w:lineRule="auto"/>
              <w:rPr>
                <w:rFonts w:ascii="Calibri" w:eastAsia="Times New Roman" w:hAnsi="Calibri" w:cs="Calibri"/>
                <w:lang w:eastAsia="sk-SK"/>
              </w:rPr>
            </w:pPr>
            <w:r w:rsidRPr="00573040">
              <w:rPr>
                <w:rFonts w:ascii="Calibri" w:eastAsia="Times New Roman" w:hAnsi="Calibri" w:cs="Calibri"/>
                <w:b/>
                <w:bCs/>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BFFB3BB" w14:textId="77777777" w:rsidR="00573040" w:rsidRPr="00573040" w:rsidRDefault="00573040" w:rsidP="00573040">
            <w:pPr>
              <w:spacing w:after="0" w:line="240" w:lineRule="auto"/>
              <w:jc w:val="center"/>
              <w:rPr>
                <w:rFonts w:ascii="Calibri" w:eastAsia="Times New Roman" w:hAnsi="Calibri" w:cs="Calibri"/>
                <w:lang w:eastAsia="sk-SK"/>
              </w:rPr>
            </w:pPr>
            <w:r w:rsidRPr="00573040">
              <w:rPr>
                <w:rFonts w:ascii="Calibri" w:eastAsia="Times New Roman" w:hAnsi="Calibri" w:cs="Calibri"/>
                <w:b/>
                <w:bCs/>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B9EE739" w14:textId="77777777" w:rsidR="00573040" w:rsidRPr="00573040" w:rsidRDefault="00573040" w:rsidP="00573040">
            <w:pPr>
              <w:spacing w:after="0" w:line="240" w:lineRule="auto"/>
              <w:jc w:val="center"/>
              <w:rPr>
                <w:rFonts w:ascii="Calibri" w:eastAsia="Times New Roman" w:hAnsi="Calibri" w:cs="Calibri"/>
                <w:lang w:eastAsia="sk-SK"/>
              </w:rPr>
            </w:pPr>
            <w:r w:rsidRPr="00573040">
              <w:rPr>
                <w:rFonts w:ascii="Calibri" w:eastAsia="Times New Roman" w:hAnsi="Calibri" w:cs="Calibri"/>
                <w:b/>
                <w:bCs/>
                <w:lang w:eastAsia="sk-SK"/>
              </w:rPr>
              <w:t>2025</w:t>
            </w:r>
          </w:p>
        </w:tc>
        <w:tc>
          <w:tcPr>
            <w:tcW w:w="32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A194AD3" w14:textId="77777777" w:rsidR="00573040" w:rsidRPr="00573040" w:rsidRDefault="00573040" w:rsidP="00573040">
            <w:pPr>
              <w:spacing w:after="0" w:line="240" w:lineRule="auto"/>
              <w:jc w:val="center"/>
              <w:rPr>
                <w:rFonts w:ascii="Calibri" w:eastAsia="Times New Roman" w:hAnsi="Calibri" w:cs="Calibri"/>
                <w:lang w:eastAsia="sk-SK"/>
              </w:rPr>
            </w:pPr>
            <w:r w:rsidRPr="00573040">
              <w:rPr>
                <w:rFonts w:ascii="Calibri" w:eastAsia="Times New Roman" w:hAnsi="Calibri" w:cs="Calibri"/>
                <w:b/>
                <w:bCs/>
                <w:lang w:eastAsia="sk-SK"/>
              </w:rPr>
              <w:t>%</w:t>
            </w:r>
          </w:p>
        </w:tc>
        <w:tc>
          <w:tcPr>
            <w:tcW w:w="47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75867AE" w14:textId="77777777" w:rsidR="00573040" w:rsidRPr="00573040" w:rsidRDefault="00573040" w:rsidP="00573040">
            <w:pPr>
              <w:spacing w:after="0" w:line="240" w:lineRule="auto"/>
              <w:jc w:val="center"/>
              <w:rPr>
                <w:rFonts w:ascii="Calibri" w:eastAsia="Times New Roman" w:hAnsi="Calibri" w:cs="Calibri"/>
                <w:lang w:eastAsia="sk-SK"/>
              </w:rPr>
            </w:pPr>
            <w:r w:rsidRPr="00573040">
              <w:rPr>
                <w:rFonts w:ascii="Calibri" w:eastAsia="Times New Roman" w:hAnsi="Calibri" w:cs="Calibri"/>
                <w:b/>
                <w:bCs/>
                <w:lang w:eastAsia="sk-SK"/>
              </w:rPr>
              <w:t>2026</w:t>
            </w:r>
          </w:p>
        </w:tc>
        <w:tc>
          <w:tcPr>
            <w:tcW w:w="397"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8E4EC2" w14:textId="77777777" w:rsidR="00573040" w:rsidRPr="00573040" w:rsidRDefault="00573040" w:rsidP="00573040">
            <w:pPr>
              <w:spacing w:after="0" w:line="240" w:lineRule="auto"/>
              <w:jc w:val="center"/>
              <w:rPr>
                <w:rFonts w:ascii="Calibri" w:eastAsia="Times New Roman" w:hAnsi="Calibri" w:cs="Calibri"/>
                <w:lang w:eastAsia="sk-SK"/>
              </w:rPr>
            </w:pPr>
            <w:r w:rsidRPr="00573040">
              <w:rPr>
                <w:rFonts w:ascii="Calibri" w:eastAsia="Times New Roman" w:hAnsi="Calibri" w:cs="Calibri"/>
                <w:b/>
                <w:bCs/>
                <w:lang w:eastAsia="sk-SK"/>
              </w:rPr>
              <w:t>%</w:t>
            </w:r>
          </w:p>
        </w:tc>
        <w:tc>
          <w:tcPr>
            <w:tcW w:w="60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704C6E" w14:textId="77777777" w:rsidR="00573040" w:rsidRPr="00573040" w:rsidRDefault="00573040" w:rsidP="00573040">
            <w:pPr>
              <w:spacing w:after="0" w:line="240" w:lineRule="auto"/>
              <w:jc w:val="center"/>
              <w:rPr>
                <w:rFonts w:ascii="Calibri" w:eastAsia="Times New Roman" w:hAnsi="Calibri" w:cs="Calibri"/>
                <w:lang w:eastAsia="sk-SK"/>
              </w:rPr>
            </w:pPr>
            <w:r w:rsidRPr="00573040">
              <w:rPr>
                <w:rFonts w:ascii="Calibri" w:eastAsia="Times New Roman" w:hAnsi="Calibri" w:cs="Calibri"/>
                <w:b/>
                <w:bCs/>
                <w:lang w:eastAsia="sk-SK"/>
              </w:rPr>
              <w:t>2027</w:t>
            </w:r>
          </w:p>
        </w:tc>
        <w:tc>
          <w:tcPr>
            <w:tcW w:w="48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30FDA4" w14:textId="77777777" w:rsidR="00573040" w:rsidRPr="00573040" w:rsidRDefault="00573040" w:rsidP="00573040">
            <w:pPr>
              <w:spacing w:after="0" w:line="240" w:lineRule="auto"/>
              <w:jc w:val="center"/>
              <w:rPr>
                <w:rFonts w:ascii="Calibri" w:eastAsia="Times New Roman" w:hAnsi="Calibri" w:cs="Calibri"/>
                <w:lang w:eastAsia="sk-SK"/>
              </w:rPr>
            </w:pPr>
            <w:r w:rsidRPr="00573040">
              <w:rPr>
                <w:rFonts w:ascii="Calibri" w:eastAsia="Times New Roman" w:hAnsi="Calibri" w:cs="Calibri"/>
                <w:b/>
                <w:bCs/>
                <w:lang w:eastAsia="sk-SK"/>
              </w:rPr>
              <w:t>%</w:t>
            </w:r>
          </w:p>
        </w:tc>
      </w:tr>
      <w:tr w:rsidR="00EF584F" w:rsidRPr="00573040" w14:paraId="22ACDD2F" w14:textId="77777777" w:rsidTr="00EF584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2F1A8E" w14:textId="77777777" w:rsidR="00573040" w:rsidRPr="00573040" w:rsidRDefault="00573040" w:rsidP="00573040">
            <w:pPr>
              <w:spacing w:after="0" w:line="240" w:lineRule="auto"/>
              <w:jc w:val="center"/>
              <w:rPr>
                <w:rFonts w:ascii="Calibri" w:eastAsia="Times New Roman" w:hAnsi="Calibri" w:cs="Calibri"/>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1A9CA4" w14:textId="77777777" w:rsidR="00573040" w:rsidRPr="00573040" w:rsidRDefault="00573040" w:rsidP="00573040">
            <w:pPr>
              <w:spacing w:after="0" w:line="240" w:lineRule="auto"/>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Výdavky celkom</w:t>
            </w:r>
            <w:r w:rsidRPr="00573040">
              <w:rPr>
                <w:rFonts w:ascii="Calibri" w:eastAsia="Times New Roman" w:hAnsi="Calibri" w:cs="Calibr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F81E5D"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500,00</w:t>
            </w:r>
            <w:r w:rsidRPr="00573040">
              <w:rPr>
                <w:rFonts w:ascii="Calibri" w:eastAsia="Times New Roman" w:hAnsi="Calibri" w:cs="Calibr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B1A703"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500,00</w:t>
            </w:r>
            <w:r w:rsidRPr="00573040">
              <w:rPr>
                <w:rFonts w:ascii="Calibri" w:eastAsia="Times New Roman" w:hAnsi="Calibri" w:cs="Calibri"/>
                <w:sz w:val="20"/>
                <w:szCs w:val="20"/>
                <w:lang w:eastAsia="sk-SK"/>
              </w:rPr>
              <w:t xml:space="preserve"> </w:t>
            </w:r>
          </w:p>
        </w:tc>
        <w:tc>
          <w:tcPr>
            <w:tcW w:w="323"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60CDAC"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100,00</w:t>
            </w:r>
            <w:r w:rsidRPr="00573040">
              <w:rPr>
                <w:rFonts w:ascii="Calibri" w:eastAsia="Times New Roman" w:hAnsi="Calibri" w:cs="Calibri"/>
                <w:sz w:val="20"/>
                <w:szCs w:val="20"/>
                <w:lang w:eastAsia="sk-SK"/>
              </w:rPr>
              <w:t xml:space="preserve"> </w:t>
            </w:r>
          </w:p>
        </w:tc>
        <w:tc>
          <w:tcPr>
            <w:tcW w:w="47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BF0012"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500,00</w:t>
            </w:r>
            <w:r w:rsidRPr="00573040">
              <w:rPr>
                <w:rFonts w:ascii="Calibri" w:eastAsia="Times New Roman" w:hAnsi="Calibri" w:cs="Calibri"/>
                <w:sz w:val="20"/>
                <w:szCs w:val="20"/>
                <w:lang w:eastAsia="sk-SK"/>
              </w:rPr>
              <w:t xml:space="preserve"> </w:t>
            </w:r>
          </w:p>
        </w:tc>
        <w:tc>
          <w:tcPr>
            <w:tcW w:w="39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72A269"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100,00</w:t>
            </w:r>
            <w:r w:rsidRPr="00573040">
              <w:rPr>
                <w:rFonts w:ascii="Calibri" w:eastAsia="Times New Roman" w:hAnsi="Calibri" w:cs="Calibri"/>
                <w:sz w:val="20"/>
                <w:szCs w:val="20"/>
                <w:lang w:eastAsia="sk-SK"/>
              </w:rPr>
              <w:t xml:space="preserve"> </w:t>
            </w:r>
          </w:p>
        </w:tc>
        <w:tc>
          <w:tcPr>
            <w:tcW w:w="60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CD50E3"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35 500,00</w:t>
            </w:r>
            <w:r w:rsidRPr="00573040">
              <w:rPr>
                <w:rFonts w:ascii="Calibri" w:eastAsia="Times New Roman" w:hAnsi="Calibri" w:cs="Calibri"/>
                <w:sz w:val="20"/>
                <w:szCs w:val="20"/>
                <w:lang w:eastAsia="sk-SK"/>
              </w:rPr>
              <w:t xml:space="preserve"> </w:t>
            </w:r>
          </w:p>
        </w:tc>
        <w:tc>
          <w:tcPr>
            <w:tcW w:w="48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6A4FDE4"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7100,00</w:t>
            </w:r>
            <w:r w:rsidRPr="00573040">
              <w:rPr>
                <w:rFonts w:ascii="Calibri" w:eastAsia="Times New Roman" w:hAnsi="Calibri" w:cs="Calibri"/>
                <w:sz w:val="20"/>
                <w:szCs w:val="20"/>
                <w:lang w:eastAsia="sk-SK"/>
              </w:rPr>
              <w:t xml:space="preserve"> </w:t>
            </w:r>
          </w:p>
        </w:tc>
      </w:tr>
      <w:tr w:rsidR="00EF584F" w:rsidRPr="00573040" w14:paraId="6591999F" w14:textId="77777777" w:rsidTr="00EF584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CAE273E" w14:textId="77777777" w:rsidR="00573040" w:rsidRPr="00573040" w:rsidRDefault="00573040" w:rsidP="00573040">
            <w:pPr>
              <w:spacing w:after="0" w:line="240" w:lineRule="auto"/>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600</w:t>
            </w:r>
            <w:r w:rsidRPr="00573040">
              <w:rPr>
                <w:rFonts w:ascii="Calibri" w:eastAsia="Times New Roman" w:hAnsi="Calibri" w:cs="Calibr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246731" w14:textId="77777777" w:rsidR="00573040" w:rsidRPr="00573040" w:rsidRDefault="00573040" w:rsidP="00573040">
            <w:pPr>
              <w:spacing w:after="0" w:line="240" w:lineRule="auto"/>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Bežné výdavky</w:t>
            </w:r>
            <w:r w:rsidRPr="00573040">
              <w:rPr>
                <w:rFonts w:ascii="Calibri" w:eastAsia="Times New Roman" w:hAnsi="Calibri" w:cs="Calibr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978B55"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500,00</w:t>
            </w:r>
            <w:r w:rsidRPr="00573040">
              <w:rPr>
                <w:rFonts w:ascii="Calibri" w:eastAsia="Times New Roman" w:hAnsi="Calibri" w:cs="Calibr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C90F1F"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500,00</w:t>
            </w:r>
            <w:r w:rsidRPr="00573040">
              <w:rPr>
                <w:rFonts w:ascii="Calibri" w:eastAsia="Times New Roman" w:hAnsi="Calibri" w:cs="Calibri"/>
                <w:sz w:val="20"/>
                <w:szCs w:val="20"/>
                <w:lang w:eastAsia="sk-SK"/>
              </w:rPr>
              <w:t xml:space="preserve"> </w:t>
            </w:r>
          </w:p>
        </w:tc>
        <w:tc>
          <w:tcPr>
            <w:tcW w:w="323"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35610E6"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100,00</w:t>
            </w:r>
            <w:r w:rsidRPr="00573040">
              <w:rPr>
                <w:rFonts w:ascii="Calibri" w:eastAsia="Times New Roman" w:hAnsi="Calibri" w:cs="Calibri"/>
                <w:sz w:val="20"/>
                <w:szCs w:val="20"/>
                <w:lang w:eastAsia="sk-SK"/>
              </w:rPr>
              <w:t xml:space="preserve"> </w:t>
            </w:r>
          </w:p>
        </w:tc>
        <w:tc>
          <w:tcPr>
            <w:tcW w:w="47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D30BF8"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500,00</w:t>
            </w:r>
            <w:r w:rsidRPr="00573040">
              <w:rPr>
                <w:rFonts w:ascii="Calibri" w:eastAsia="Times New Roman" w:hAnsi="Calibri" w:cs="Calibri"/>
                <w:sz w:val="20"/>
                <w:szCs w:val="20"/>
                <w:lang w:eastAsia="sk-SK"/>
              </w:rPr>
              <w:t xml:space="preserve"> </w:t>
            </w:r>
          </w:p>
        </w:tc>
        <w:tc>
          <w:tcPr>
            <w:tcW w:w="39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7ED65A"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100,00</w:t>
            </w:r>
            <w:r w:rsidRPr="00573040">
              <w:rPr>
                <w:rFonts w:ascii="Calibri" w:eastAsia="Times New Roman" w:hAnsi="Calibri" w:cs="Calibri"/>
                <w:sz w:val="20"/>
                <w:szCs w:val="20"/>
                <w:lang w:eastAsia="sk-SK"/>
              </w:rPr>
              <w:t xml:space="preserve"> </w:t>
            </w:r>
          </w:p>
        </w:tc>
        <w:tc>
          <w:tcPr>
            <w:tcW w:w="60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F20973"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35 500,00</w:t>
            </w:r>
            <w:r w:rsidRPr="00573040">
              <w:rPr>
                <w:rFonts w:ascii="Calibri" w:eastAsia="Times New Roman" w:hAnsi="Calibri" w:cs="Calibri"/>
                <w:sz w:val="20"/>
                <w:szCs w:val="20"/>
                <w:lang w:eastAsia="sk-SK"/>
              </w:rPr>
              <w:t xml:space="preserve"> </w:t>
            </w:r>
          </w:p>
        </w:tc>
        <w:tc>
          <w:tcPr>
            <w:tcW w:w="48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613096"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b/>
                <w:bCs/>
                <w:sz w:val="20"/>
                <w:szCs w:val="20"/>
                <w:lang w:eastAsia="sk-SK"/>
              </w:rPr>
              <w:t>7100,00</w:t>
            </w:r>
            <w:r w:rsidRPr="00573040">
              <w:rPr>
                <w:rFonts w:ascii="Calibri" w:eastAsia="Times New Roman" w:hAnsi="Calibri" w:cs="Calibri"/>
                <w:sz w:val="20"/>
                <w:szCs w:val="20"/>
                <w:lang w:eastAsia="sk-SK"/>
              </w:rPr>
              <w:t xml:space="preserve"> </w:t>
            </w:r>
          </w:p>
        </w:tc>
      </w:tr>
      <w:tr w:rsidR="004F6771" w:rsidRPr="00573040" w14:paraId="2754E722" w14:textId="77777777" w:rsidTr="00EF584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BF4C45" w14:textId="77777777" w:rsidR="00573040" w:rsidRPr="00573040" w:rsidRDefault="00573040" w:rsidP="00573040">
            <w:pPr>
              <w:spacing w:after="0" w:line="240" w:lineRule="auto"/>
              <w:rPr>
                <w:rFonts w:ascii="Calibri" w:eastAsia="Times New Roman" w:hAnsi="Calibri" w:cs="Calibri"/>
                <w:sz w:val="20"/>
                <w:szCs w:val="20"/>
                <w:lang w:eastAsia="sk-SK"/>
              </w:rPr>
            </w:pPr>
            <w:r w:rsidRPr="00573040">
              <w:rPr>
                <w:rFonts w:ascii="Calibri" w:eastAsia="Times New Roman" w:hAnsi="Calibri" w:cs="Calibri"/>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DDC5F0" w14:textId="77777777" w:rsidR="00573040" w:rsidRPr="00573040" w:rsidRDefault="00573040" w:rsidP="00573040">
            <w:pPr>
              <w:spacing w:after="0" w:line="240" w:lineRule="auto"/>
              <w:rPr>
                <w:rFonts w:ascii="Calibri" w:eastAsia="Times New Roman" w:hAnsi="Calibri" w:cs="Calibri"/>
                <w:sz w:val="20"/>
                <w:szCs w:val="20"/>
                <w:lang w:eastAsia="sk-SK"/>
              </w:rPr>
            </w:pPr>
            <w:r w:rsidRPr="00573040">
              <w:rPr>
                <w:rFonts w:ascii="Calibri" w:eastAsia="Times New Roman" w:hAnsi="Calibri" w:cs="Calibri"/>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FF5DFB"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sz w:val="20"/>
                <w:szCs w:val="20"/>
                <w:lang w:eastAsia="sk-SK"/>
              </w:rPr>
              <w:t xml:space="preserve">500,00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C53F32"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sz w:val="20"/>
                <w:szCs w:val="20"/>
                <w:lang w:eastAsia="sk-SK"/>
              </w:rPr>
              <w:t xml:space="preserve">500,00 </w:t>
            </w:r>
          </w:p>
        </w:tc>
        <w:tc>
          <w:tcPr>
            <w:tcW w:w="323" w:type="pct"/>
            <w:tcBorders>
              <w:top w:val="outset" w:sz="6" w:space="0" w:color="000000"/>
              <w:left w:val="outset" w:sz="6" w:space="0" w:color="000000"/>
              <w:bottom w:val="outset" w:sz="6" w:space="0" w:color="000000"/>
              <w:right w:val="outset" w:sz="6" w:space="0" w:color="000000"/>
            </w:tcBorders>
            <w:noWrap/>
            <w:vAlign w:val="center"/>
            <w:hideMark/>
          </w:tcPr>
          <w:p w14:paraId="39165946"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sz w:val="20"/>
                <w:szCs w:val="20"/>
                <w:lang w:eastAsia="sk-SK"/>
              </w:rPr>
              <w:t xml:space="preserve">100,00 </w:t>
            </w:r>
          </w:p>
        </w:tc>
        <w:tc>
          <w:tcPr>
            <w:tcW w:w="479" w:type="pct"/>
            <w:tcBorders>
              <w:top w:val="outset" w:sz="6" w:space="0" w:color="000000"/>
              <w:left w:val="outset" w:sz="6" w:space="0" w:color="000000"/>
              <w:bottom w:val="outset" w:sz="6" w:space="0" w:color="000000"/>
              <w:right w:val="outset" w:sz="6" w:space="0" w:color="000000"/>
            </w:tcBorders>
            <w:noWrap/>
            <w:vAlign w:val="center"/>
            <w:hideMark/>
          </w:tcPr>
          <w:p w14:paraId="296BB2CA"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sz w:val="20"/>
                <w:szCs w:val="20"/>
                <w:lang w:eastAsia="sk-SK"/>
              </w:rPr>
              <w:t xml:space="preserve">500,00 </w:t>
            </w:r>
          </w:p>
        </w:tc>
        <w:tc>
          <w:tcPr>
            <w:tcW w:w="397" w:type="pct"/>
            <w:tcBorders>
              <w:top w:val="outset" w:sz="6" w:space="0" w:color="000000"/>
              <w:left w:val="outset" w:sz="6" w:space="0" w:color="000000"/>
              <w:bottom w:val="outset" w:sz="6" w:space="0" w:color="000000"/>
              <w:right w:val="outset" w:sz="6" w:space="0" w:color="000000"/>
            </w:tcBorders>
            <w:noWrap/>
            <w:vAlign w:val="center"/>
            <w:hideMark/>
          </w:tcPr>
          <w:p w14:paraId="23B6B97D"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sz w:val="20"/>
                <w:szCs w:val="20"/>
                <w:lang w:eastAsia="sk-SK"/>
              </w:rPr>
              <w:t xml:space="preserve">100,00 </w:t>
            </w:r>
          </w:p>
        </w:tc>
        <w:tc>
          <w:tcPr>
            <w:tcW w:w="609" w:type="pct"/>
            <w:tcBorders>
              <w:top w:val="outset" w:sz="6" w:space="0" w:color="000000"/>
              <w:left w:val="outset" w:sz="6" w:space="0" w:color="000000"/>
              <w:bottom w:val="outset" w:sz="6" w:space="0" w:color="000000"/>
              <w:right w:val="outset" w:sz="6" w:space="0" w:color="000000"/>
            </w:tcBorders>
            <w:noWrap/>
            <w:vAlign w:val="center"/>
            <w:hideMark/>
          </w:tcPr>
          <w:p w14:paraId="33F6BC8A"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sz w:val="20"/>
                <w:szCs w:val="20"/>
                <w:lang w:eastAsia="sk-SK"/>
              </w:rPr>
              <w:t xml:space="preserve">35 500,00 </w:t>
            </w:r>
          </w:p>
        </w:tc>
        <w:tc>
          <w:tcPr>
            <w:tcW w:w="489" w:type="pct"/>
            <w:tcBorders>
              <w:top w:val="outset" w:sz="6" w:space="0" w:color="000000"/>
              <w:left w:val="outset" w:sz="6" w:space="0" w:color="000000"/>
              <w:bottom w:val="outset" w:sz="6" w:space="0" w:color="000000"/>
              <w:right w:val="outset" w:sz="6" w:space="0" w:color="000000"/>
            </w:tcBorders>
            <w:noWrap/>
            <w:vAlign w:val="center"/>
            <w:hideMark/>
          </w:tcPr>
          <w:p w14:paraId="1BABC297" w14:textId="77777777" w:rsidR="00573040" w:rsidRPr="00573040" w:rsidRDefault="00573040" w:rsidP="00573040">
            <w:pPr>
              <w:spacing w:after="0" w:line="240" w:lineRule="auto"/>
              <w:jc w:val="right"/>
              <w:rPr>
                <w:rFonts w:ascii="Calibri" w:eastAsia="Times New Roman" w:hAnsi="Calibri" w:cs="Calibri"/>
                <w:sz w:val="20"/>
                <w:szCs w:val="20"/>
                <w:lang w:eastAsia="sk-SK"/>
              </w:rPr>
            </w:pPr>
            <w:r w:rsidRPr="00573040">
              <w:rPr>
                <w:rFonts w:ascii="Calibri" w:eastAsia="Times New Roman" w:hAnsi="Calibri" w:cs="Calibri"/>
                <w:sz w:val="20"/>
                <w:szCs w:val="20"/>
                <w:lang w:eastAsia="sk-SK"/>
              </w:rPr>
              <w:t xml:space="preserve">7100,00 </w:t>
            </w:r>
          </w:p>
        </w:tc>
      </w:tr>
    </w:tbl>
    <w:p w14:paraId="7F33D9BE" w14:textId="77777777" w:rsidR="00573040" w:rsidRPr="00573040" w:rsidRDefault="00573040" w:rsidP="00573040">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31"/>
        <w:gridCol w:w="2031"/>
        <w:gridCol w:w="2031"/>
        <w:gridCol w:w="2046"/>
      </w:tblGrid>
      <w:tr w:rsidR="00573040" w:rsidRPr="00573040" w14:paraId="5AAB6C3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35386D"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C25E61"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Útvar kancelárie predsedu BSK - úsek krízového riadenia</w:t>
            </w:r>
          </w:p>
        </w:tc>
      </w:tr>
      <w:tr w:rsidR="00573040" w:rsidRPr="00573040" w14:paraId="52C6E76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63FEBA"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3029F9"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Zabezpečiť odborné vzdelávanie v systéme civilnej ochrany, zabezpečiť aktuálne informácie o možných subjektoch hospodárskej mobilizácie v pôsobnosti BSK cestou JIS MH SR.</w:t>
            </w:r>
          </w:p>
        </w:tc>
      </w:tr>
      <w:tr w:rsidR="00573040" w:rsidRPr="00573040" w14:paraId="4B39236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A96D16"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CAAC1A"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xml:space="preserve">Počet odborných školení spolu za rok </w:t>
            </w:r>
          </w:p>
        </w:tc>
      </w:tr>
      <w:tr w:rsidR="00573040" w:rsidRPr="00573040" w14:paraId="1EA6B11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0F3A72"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420B11"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AF7B58"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1BB596"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12146F"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2027</w:t>
            </w:r>
          </w:p>
        </w:tc>
      </w:tr>
      <w:tr w:rsidR="00573040" w:rsidRPr="00573040" w14:paraId="50CACD0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E516EC"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AD4BD4"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160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42D3A9"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 160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BEFDD2"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160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1C2BD8"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160</w:t>
            </w:r>
          </w:p>
        </w:tc>
      </w:tr>
      <w:tr w:rsidR="00573040" w:rsidRPr="00573040" w14:paraId="489F3C5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28F518"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4F41E2"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xml:space="preserve">Počet preškolených zamestnancov a ostatných pracovníkov spolu za rok </w:t>
            </w:r>
          </w:p>
        </w:tc>
      </w:tr>
      <w:tr w:rsidR="00573040" w:rsidRPr="00573040" w14:paraId="3304F11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DB9DA5"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3B7EF5"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8269CD"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21AD6C"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06DACE"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2027</w:t>
            </w:r>
          </w:p>
        </w:tc>
      </w:tr>
      <w:tr w:rsidR="00573040" w:rsidRPr="00573040" w14:paraId="46D4106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A2F565"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AD1A4E"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10 100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D6EA6B"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 10 100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EBDAAB"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10 100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30BD1E"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10 100</w:t>
            </w:r>
          </w:p>
        </w:tc>
      </w:tr>
      <w:tr w:rsidR="00573040" w:rsidRPr="00573040" w14:paraId="1927BDE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86E80F"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8165B5"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xml:space="preserve">Počet subjektov hospodárskej mobilizácie </w:t>
            </w:r>
          </w:p>
        </w:tc>
      </w:tr>
      <w:tr w:rsidR="00573040" w:rsidRPr="00573040" w14:paraId="272FD8F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ADF987"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4A6E02"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6B24E2"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72C9FE"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BBF196"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2027</w:t>
            </w:r>
          </w:p>
        </w:tc>
      </w:tr>
      <w:tr w:rsidR="00573040" w:rsidRPr="00573040" w14:paraId="4C3CC25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A25A08" w14:textId="77777777" w:rsidR="00573040" w:rsidRPr="00573040" w:rsidRDefault="00573040" w:rsidP="00573040">
            <w:pPr>
              <w:spacing w:after="0" w:line="240" w:lineRule="auto"/>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64E5DB"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77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D2F3A0"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t> 73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D91EB6"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73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7C00F0" w14:textId="77777777" w:rsidR="00573040" w:rsidRPr="00573040" w:rsidRDefault="00573040" w:rsidP="00573040">
            <w:pPr>
              <w:spacing w:after="0" w:line="240" w:lineRule="auto"/>
              <w:jc w:val="center"/>
              <w:rPr>
                <w:rFonts w:ascii="Calibri" w:eastAsia="Times New Roman" w:hAnsi="Calibri" w:cs="Calibri"/>
                <w:sz w:val="24"/>
                <w:szCs w:val="24"/>
                <w:lang w:eastAsia="sk-SK"/>
              </w:rPr>
            </w:pPr>
            <w:r w:rsidRPr="00573040">
              <w:rPr>
                <w:rFonts w:ascii="Calibri" w:eastAsia="Times New Roman" w:hAnsi="Calibri" w:cs="Calibri"/>
                <w:sz w:val="24"/>
                <w:szCs w:val="24"/>
                <w:lang w:eastAsia="sk-SK"/>
              </w:rPr>
              <w:t> 73</w:t>
            </w:r>
          </w:p>
        </w:tc>
      </w:tr>
    </w:tbl>
    <w:p w14:paraId="51F86490" w14:textId="77777777" w:rsidR="00573040" w:rsidRPr="00573040" w:rsidRDefault="00573040" w:rsidP="00573040">
      <w:pPr>
        <w:spacing w:after="0" w:line="240" w:lineRule="auto"/>
        <w:jc w:val="both"/>
        <w:rPr>
          <w:rFonts w:ascii="Calibri" w:eastAsia="Times New Roman" w:hAnsi="Calibri" w:cs="Calibri"/>
          <w:b/>
          <w:bCs/>
          <w:sz w:val="24"/>
          <w:szCs w:val="24"/>
          <w:lang w:eastAsia="sk-SK"/>
        </w:rPr>
      </w:pPr>
    </w:p>
    <w:p w14:paraId="17D363B8" w14:textId="23179F37" w:rsidR="006A7031" w:rsidRPr="003B75FB" w:rsidRDefault="00573040" w:rsidP="003B75FB">
      <w:pPr>
        <w:spacing w:after="0" w:line="240" w:lineRule="auto"/>
        <w:jc w:val="both"/>
        <w:rPr>
          <w:rFonts w:ascii="Calibri" w:eastAsia="Times New Roman" w:hAnsi="Calibri" w:cs="Calibri"/>
          <w:sz w:val="24"/>
          <w:szCs w:val="24"/>
          <w:lang w:eastAsia="sk-SK"/>
        </w:rPr>
      </w:pPr>
      <w:r w:rsidRPr="00573040">
        <w:rPr>
          <w:rFonts w:ascii="Calibri" w:eastAsia="Times New Roman" w:hAnsi="Calibri" w:cs="Calibri"/>
          <w:b/>
          <w:bCs/>
          <w:sz w:val="24"/>
          <w:szCs w:val="24"/>
          <w:lang w:eastAsia="sk-SK"/>
        </w:rPr>
        <w:lastRenderedPageBreak/>
        <w:t xml:space="preserve">Komentár: </w:t>
      </w:r>
      <w:r w:rsidRPr="00573040">
        <w:rPr>
          <w:rFonts w:ascii="Calibri" w:eastAsia="Times New Roman" w:hAnsi="Calibri" w:cs="Calibri"/>
          <w:sz w:val="24"/>
          <w:szCs w:val="24"/>
          <w:lang w:eastAsia="sk-SK"/>
        </w:rPr>
        <w:t>V rámci BSK zabezpečuje úlohy v oblasti Civilná ochrana, vymedzené najmä v ustanovení § 14a Zákona č. 42/1994 Z. z. o civilnej ochrane obyvateľstva v znení neskorších predpisov, ktoré sú rozpracovávané v interných dokumentoch. V oblasti krízového riadenia, hospodárskej mobilizácie a obrany štátu sú úlohy plnené v súlade s Ústavným zákonom č. 227/2002 Z. z. o bezpečnosti štátu v čase vojny, vojnového stavu, výnimočného stavu a núdzového stavu v znení neskorších predpisov, so Zákonom č. 319/2002 Z. z. o obrane Slovenskej republiky v znení neskorších predpisov, Zákonom č. 179/2011 Z. z. o hospodárskej mobilizácií a o zmene a doplnení zákona č. 387/2002 Z. z. o riadení štátu v krízových situáciách mimo času vojny a vojnového stavu v znení neskorších predpisov a Zákonom č.7/2010 o ochrane pred povodňami v znení neskorších predpisov, ako aj s interným predpisom.</w:t>
      </w:r>
    </w:p>
    <w:p w14:paraId="701E9DA4" w14:textId="77777777" w:rsidR="00D45965" w:rsidRDefault="00D45965" w:rsidP="00CB360B">
      <w:pPr>
        <w:spacing w:before="100" w:beforeAutospacing="1" w:after="100" w:afterAutospacing="1" w:line="240" w:lineRule="auto"/>
        <w:jc w:val="both"/>
        <w:rPr>
          <w:rFonts w:eastAsiaTheme="minorEastAsia" w:cstheme="minorHAnsi"/>
          <w:sz w:val="24"/>
          <w:szCs w:val="24"/>
          <w:lang w:eastAsia="sk-SK"/>
        </w:rPr>
      </w:pPr>
    </w:p>
    <w:p w14:paraId="0BD8DB53" w14:textId="77777777" w:rsidR="000C70AF" w:rsidRPr="00374F90" w:rsidRDefault="000C70AF" w:rsidP="000C70AF">
      <w:pPr>
        <w:spacing w:before="100" w:beforeAutospacing="1" w:after="100" w:afterAutospacing="1" w:line="240" w:lineRule="auto"/>
        <w:outlineLvl w:val="1"/>
        <w:rPr>
          <w:rFonts w:eastAsia="Times New Roman" w:cstheme="minorHAnsi"/>
          <w:b/>
          <w:bCs/>
          <w:sz w:val="36"/>
          <w:szCs w:val="36"/>
          <w:lang w:eastAsia="sk-SK"/>
        </w:rPr>
      </w:pPr>
      <w:r w:rsidRPr="00374F90">
        <w:rPr>
          <w:rFonts w:eastAsia="Times New Roman" w:cstheme="minorHAnsi"/>
          <w:b/>
          <w:bCs/>
          <w:color w:val="000080"/>
          <w:sz w:val="36"/>
          <w:szCs w:val="36"/>
          <w:lang w:eastAsia="sk-SK"/>
        </w:rPr>
        <w:t>Program 2: Organizácia podujatí a komunikácia s verejnosťou</w:t>
      </w:r>
      <w:r w:rsidRPr="00374F90">
        <w:rPr>
          <w:rFonts w:eastAsia="Times New Roman" w:cstheme="minorHAnsi"/>
          <w:b/>
          <w:bCs/>
          <w:sz w:val="36"/>
          <w:szCs w:val="36"/>
          <w:lang w:eastAsia="sk-SK"/>
        </w:rPr>
        <w:t xml:space="preserve"> </w:t>
      </w:r>
    </w:p>
    <w:p w14:paraId="1962B2EE" w14:textId="77777777" w:rsidR="000C70AF" w:rsidRPr="00A670E4" w:rsidRDefault="000C70AF" w:rsidP="000C70AF">
      <w:pPr>
        <w:spacing w:before="100" w:beforeAutospacing="1" w:after="100" w:afterAutospacing="1" w:line="240" w:lineRule="auto"/>
        <w:rPr>
          <w:rFonts w:eastAsia="Times New Roman" w:cstheme="minorHAnsi"/>
          <w:sz w:val="24"/>
          <w:szCs w:val="24"/>
          <w:lang w:eastAsia="sk-SK"/>
        </w:rPr>
      </w:pPr>
      <w:r w:rsidRPr="00A670E4">
        <w:rPr>
          <w:rFonts w:eastAsia="Times New Roman" w:cstheme="minorHAnsi"/>
          <w:b/>
          <w:bCs/>
          <w:sz w:val="24"/>
          <w:szCs w:val="24"/>
          <w:lang w:eastAsia="sk-SK"/>
        </w:rPr>
        <w:t xml:space="preserve">Zámer: </w:t>
      </w:r>
      <w:r w:rsidRPr="00A670E4">
        <w:rPr>
          <w:rFonts w:eastAsia="Times New Roman" w:cstheme="minorHAnsi"/>
          <w:sz w:val="24"/>
          <w:szCs w:val="24"/>
          <w:lang w:eastAsia="sk-SK"/>
        </w:rPr>
        <w:t>Pozitívny obraz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65"/>
        <w:gridCol w:w="2180"/>
        <w:gridCol w:w="1419"/>
        <w:gridCol w:w="1420"/>
        <w:gridCol w:w="649"/>
        <w:gridCol w:w="1420"/>
        <w:gridCol w:w="681"/>
        <w:gridCol w:w="1420"/>
        <w:gridCol w:w="696"/>
      </w:tblGrid>
      <w:tr w:rsidR="000C70AF" w:rsidRPr="00894752" w14:paraId="466C51D9" w14:textId="77777777" w:rsidTr="00411DC9">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A771BA4" w14:textId="77777777" w:rsidR="000C70AF" w:rsidRPr="00894752" w:rsidRDefault="000C70AF" w:rsidP="00411DC9">
            <w:pPr>
              <w:spacing w:after="0" w:line="240" w:lineRule="auto"/>
              <w:jc w:val="center"/>
              <w:rPr>
                <w:rFonts w:eastAsia="Times New Roman" w:cstheme="minorHAnsi"/>
                <w:lang w:eastAsia="sk-SK"/>
              </w:rPr>
            </w:pPr>
            <w:r w:rsidRPr="00894752">
              <w:rPr>
                <w:rFonts w:eastAsia="Times New Roman" w:cstheme="minorHAnsi"/>
                <w:b/>
                <w:bCs/>
                <w:i/>
                <w:iCs/>
                <w:lang w:eastAsia="sk-SK"/>
              </w:rPr>
              <w:t>Rozpočet v EUR</w:t>
            </w:r>
          </w:p>
        </w:tc>
      </w:tr>
      <w:tr w:rsidR="000C70AF" w:rsidRPr="00894752" w14:paraId="366949D9"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8CC1A1" w14:textId="77777777" w:rsidR="000C70AF" w:rsidRPr="00A96018" w:rsidRDefault="000C70AF" w:rsidP="00411DC9">
            <w:pPr>
              <w:spacing w:after="0" w:line="240" w:lineRule="auto"/>
              <w:rPr>
                <w:rFonts w:eastAsia="Times New Roman" w:cstheme="minorHAnsi"/>
                <w:sz w:val="20"/>
                <w:szCs w:val="20"/>
                <w:lang w:eastAsia="sk-SK"/>
              </w:rPr>
            </w:pPr>
            <w:r w:rsidRPr="00A96018">
              <w:rPr>
                <w:rFonts w:eastAsia="Times New Roman" w:cstheme="minorHAnsi"/>
                <w:b/>
                <w:bCs/>
                <w:sz w:val="20"/>
                <w:szCs w:val="20"/>
                <w:lang w:eastAsia="sk-SK"/>
              </w:rPr>
              <w:t>EK</w:t>
            </w:r>
          </w:p>
        </w:tc>
        <w:tc>
          <w:tcPr>
            <w:tcW w:w="106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6ED287C" w14:textId="77777777" w:rsidR="000C70AF" w:rsidRPr="00A96018" w:rsidRDefault="000C70AF" w:rsidP="00411DC9">
            <w:pPr>
              <w:spacing w:after="0" w:line="240" w:lineRule="auto"/>
              <w:rPr>
                <w:rFonts w:eastAsia="Times New Roman" w:cstheme="minorHAnsi"/>
                <w:sz w:val="20"/>
                <w:szCs w:val="20"/>
                <w:lang w:eastAsia="sk-SK"/>
              </w:rPr>
            </w:pPr>
            <w:r w:rsidRPr="00A96018">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370593" w14:textId="77777777" w:rsidR="000C70AF" w:rsidRPr="00A96018" w:rsidRDefault="000C70AF" w:rsidP="00411DC9">
            <w:pPr>
              <w:spacing w:after="0" w:line="240" w:lineRule="auto"/>
              <w:jc w:val="center"/>
              <w:rPr>
                <w:rFonts w:eastAsia="Times New Roman" w:cstheme="minorHAnsi"/>
                <w:sz w:val="20"/>
                <w:szCs w:val="20"/>
                <w:lang w:eastAsia="sk-SK"/>
              </w:rPr>
            </w:pPr>
            <w:r w:rsidRPr="00A96018">
              <w:rPr>
                <w:rFonts w:eastAsia="Times New Roman" w:cstheme="minorHAns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DD9ACA" w14:textId="77777777" w:rsidR="000C70AF" w:rsidRPr="00A96018" w:rsidRDefault="000C70AF" w:rsidP="00411DC9">
            <w:pPr>
              <w:spacing w:after="0" w:line="240" w:lineRule="auto"/>
              <w:jc w:val="center"/>
              <w:rPr>
                <w:rFonts w:eastAsia="Times New Roman" w:cstheme="minorHAnsi"/>
                <w:sz w:val="20"/>
                <w:szCs w:val="20"/>
                <w:lang w:eastAsia="sk-SK"/>
              </w:rPr>
            </w:pPr>
            <w:r w:rsidRPr="00A96018">
              <w:rPr>
                <w:rFonts w:eastAsia="Times New Roman" w:cstheme="minorHAnsi"/>
                <w:b/>
                <w:bCs/>
                <w:sz w:val="20"/>
                <w:szCs w:val="20"/>
                <w:lang w:eastAsia="sk-SK"/>
              </w:rPr>
              <w:t>2025</w:t>
            </w:r>
          </w:p>
        </w:tc>
        <w:tc>
          <w:tcPr>
            <w:tcW w:w="28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0880EAD" w14:textId="77777777" w:rsidR="000C70AF" w:rsidRPr="00A96018" w:rsidRDefault="000C70AF" w:rsidP="00411DC9">
            <w:pPr>
              <w:spacing w:after="0" w:line="240" w:lineRule="auto"/>
              <w:jc w:val="center"/>
              <w:rPr>
                <w:rFonts w:eastAsia="Times New Roman" w:cstheme="minorHAnsi"/>
                <w:sz w:val="20"/>
                <w:szCs w:val="20"/>
                <w:lang w:eastAsia="sk-SK"/>
              </w:rPr>
            </w:pPr>
            <w:r w:rsidRPr="00A96018">
              <w:rPr>
                <w:rFonts w:eastAsia="Times New Roman" w:cstheme="minorHAns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A7CDC6" w14:textId="77777777" w:rsidR="000C70AF" w:rsidRPr="00A96018" w:rsidRDefault="000C70AF" w:rsidP="00411DC9">
            <w:pPr>
              <w:spacing w:after="0" w:line="240" w:lineRule="auto"/>
              <w:jc w:val="center"/>
              <w:rPr>
                <w:rFonts w:eastAsia="Times New Roman" w:cstheme="minorHAnsi"/>
                <w:sz w:val="20"/>
                <w:szCs w:val="20"/>
                <w:lang w:eastAsia="sk-SK"/>
              </w:rPr>
            </w:pPr>
            <w:r w:rsidRPr="00A96018">
              <w:rPr>
                <w:rFonts w:eastAsia="Times New Roman" w:cstheme="minorHAnsi"/>
                <w:b/>
                <w:bCs/>
                <w:sz w:val="20"/>
                <w:szCs w:val="20"/>
                <w:lang w:eastAsia="sk-SK"/>
              </w:rPr>
              <w:t>2026</w:t>
            </w:r>
          </w:p>
        </w:tc>
        <w:tc>
          <w:tcPr>
            <w:tcW w:w="32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68E1759" w14:textId="77777777" w:rsidR="000C70AF" w:rsidRPr="00A96018" w:rsidRDefault="000C70AF" w:rsidP="00411DC9">
            <w:pPr>
              <w:spacing w:after="0" w:line="240" w:lineRule="auto"/>
              <w:jc w:val="center"/>
              <w:rPr>
                <w:rFonts w:eastAsia="Times New Roman" w:cstheme="minorHAnsi"/>
                <w:sz w:val="20"/>
                <w:szCs w:val="20"/>
                <w:lang w:eastAsia="sk-SK"/>
              </w:rPr>
            </w:pPr>
            <w:r w:rsidRPr="00A96018">
              <w:rPr>
                <w:rFonts w:eastAsia="Times New Roman" w:cstheme="minorHAns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42272E6" w14:textId="77777777" w:rsidR="000C70AF" w:rsidRPr="00A96018" w:rsidRDefault="000C70AF" w:rsidP="00411DC9">
            <w:pPr>
              <w:spacing w:after="0" w:line="240" w:lineRule="auto"/>
              <w:jc w:val="center"/>
              <w:rPr>
                <w:rFonts w:eastAsia="Times New Roman" w:cstheme="minorHAnsi"/>
                <w:sz w:val="20"/>
                <w:szCs w:val="20"/>
                <w:lang w:eastAsia="sk-SK"/>
              </w:rPr>
            </w:pPr>
            <w:r w:rsidRPr="00A96018">
              <w:rPr>
                <w:rFonts w:eastAsia="Times New Roman" w:cstheme="minorHAnsi"/>
                <w:b/>
                <w:bCs/>
                <w:sz w:val="20"/>
                <w:szCs w:val="20"/>
                <w:lang w:eastAsia="sk-SK"/>
              </w:rPr>
              <w:t>2027</w:t>
            </w:r>
          </w:p>
        </w:tc>
        <w:tc>
          <w:tcPr>
            <w:tcW w:w="32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89E928F" w14:textId="77777777" w:rsidR="000C70AF" w:rsidRPr="00A96018" w:rsidRDefault="000C70AF" w:rsidP="00411DC9">
            <w:pPr>
              <w:spacing w:after="0" w:line="240" w:lineRule="auto"/>
              <w:jc w:val="center"/>
              <w:rPr>
                <w:rFonts w:eastAsia="Times New Roman" w:cstheme="minorHAnsi"/>
                <w:sz w:val="20"/>
                <w:szCs w:val="20"/>
                <w:lang w:eastAsia="sk-SK"/>
              </w:rPr>
            </w:pPr>
            <w:r w:rsidRPr="00A96018">
              <w:rPr>
                <w:rFonts w:eastAsia="Times New Roman" w:cstheme="minorHAnsi"/>
                <w:b/>
                <w:bCs/>
                <w:sz w:val="20"/>
                <w:szCs w:val="20"/>
                <w:lang w:eastAsia="sk-SK"/>
              </w:rPr>
              <w:t>%</w:t>
            </w:r>
          </w:p>
        </w:tc>
      </w:tr>
      <w:tr w:rsidR="000C70AF" w:rsidRPr="00894752" w14:paraId="3407E7A3"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42D1C4" w14:textId="77777777" w:rsidR="000C70AF" w:rsidRPr="00FE7A86" w:rsidRDefault="000C70AF" w:rsidP="00411DC9">
            <w:pPr>
              <w:spacing w:after="0" w:line="240" w:lineRule="auto"/>
              <w:jc w:val="center"/>
              <w:rPr>
                <w:rFonts w:eastAsia="Times New Roman" w:cstheme="minorHAnsi"/>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760E11" w14:textId="77777777" w:rsidR="000C70AF" w:rsidRPr="00FE7A86" w:rsidRDefault="000C70AF" w:rsidP="00411DC9">
            <w:pPr>
              <w:spacing w:after="0" w:line="240" w:lineRule="auto"/>
              <w:rPr>
                <w:rFonts w:eastAsia="Times New Roman" w:cstheme="minorHAnsi"/>
                <w:sz w:val="20"/>
                <w:szCs w:val="20"/>
                <w:lang w:eastAsia="sk-SK"/>
              </w:rPr>
            </w:pPr>
            <w:r w:rsidRPr="00FE7A86">
              <w:rPr>
                <w:rFonts w:eastAsia="Times New Roman" w:cstheme="minorHAnsi"/>
                <w:b/>
                <w:bCs/>
                <w:sz w:val="20"/>
                <w:szCs w:val="20"/>
                <w:lang w:eastAsia="sk-SK"/>
              </w:rPr>
              <w:t>Výdavky celkom</w:t>
            </w:r>
            <w:r w:rsidRPr="00FE7A86">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066F0E"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400 000,00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DF3BE3"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498 030,00</w:t>
            </w:r>
          </w:p>
        </w:tc>
        <w:tc>
          <w:tcPr>
            <w:tcW w:w="28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093818"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124,51</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B9FF9B"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498 030,00</w:t>
            </w:r>
          </w:p>
        </w:tc>
        <w:tc>
          <w:tcPr>
            <w:tcW w:w="323"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8FC621"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B0E49C"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498 030,00</w:t>
            </w:r>
          </w:p>
        </w:tc>
        <w:tc>
          <w:tcPr>
            <w:tcW w:w="323" w:type="pct"/>
            <w:tcBorders>
              <w:top w:val="outset" w:sz="6" w:space="0" w:color="000000"/>
              <w:left w:val="outset" w:sz="6" w:space="0" w:color="000000"/>
              <w:bottom w:val="outset" w:sz="6" w:space="0" w:color="000000"/>
              <w:right w:val="outset" w:sz="6" w:space="0" w:color="000000"/>
            </w:tcBorders>
            <w:shd w:val="clear" w:color="auto" w:fill="CCDDFF"/>
            <w:noWrap/>
            <w:hideMark/>
          </w:tcPr>
          <w:p w14:paraId="7F3F21FD"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100,00</w:t>
            </w:r>
          </w:p>
        </w:tc>
      </w:tr>
      <w:tr w:rsidR="000C70AF" w:rsidRPr="00894752" w14:paraId="0298A4CE"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4E3474" w14:textId="77777777" w:rsidR="000C70AF" w:rsidRPr="00FE7A86" w:rsidRDefault="000C70AF" w:rsidP="00411DC9">
            <w:pPr>
              <w:spacing w:after="0" w:line="240" w:lineRule="auto"/>
              <w:rPr>
                <w:rFonts w:eastAsia="Times New Roman" w:cstheme="minorHAnsi"/>
                <w:sz w:val="20"/>
                <w:szCs w:val="20"/>
                <w:lang w:eastAsia="sk-SK"/>
              </w:rPr>
            </w:pPr>
            <w:r w:rsidRPr="00FE7A86">
              <w:rPr>
                <w:rFonts w:eastAsia="Times New Roman" w:cstheme="minorHAnsi"/>
                <w:b/>
                <w:bCs/>
                <w:sz w:val="20"/>
                <w:szCs w:val="20"/>
                <w:lang w:eastAsia="sk-SK"/>
              </w:rPr>
              <w:t>600</w:t>
            </w:r>
            <w:r w:rsidRPr="00FE7A86">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3F109F" w14:textId="77777777" w:rsidR="000C70AF" w:rsidRPr="00FE7A86" w:rsidRDefault="000C70AF" w:rsidP="00411DC9">
            <w:pPr>
              <w:spacing w:after="0" w:line="240" w:lineRule="auto"/>
              <w:rPr>
                <w:rFonts w:eastAsia="Times New Roman" w:cstheme="minorHAnsi"/>
                <w:sz w:val="20"/>
                <w:szCs w:val="20"/>
                <w:lang w:eastAsia="sk-SK"/>
              </w:rPr>
            </w:pPr>
            <w:r w:rsidRPr="00FE7A86">
              <w:rPr>
                <w:rFonts w:eastAsia="Times New Roman" w:cstheme="minorHAnsi"/>
                <w:b/>
                <w:bCs/>
                <w:sz w:val="20"/>
                <w:szCs w:val="20"/>
                <w:lang w:eastAsia="sk-SK"/>
              </w:rPr>
              <w:t>Bežné výdavky</w:t>
            </w:r>
            <w:r w:rsidRPr="00FE7A86">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6D6C5E"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eastAsia="Times New Roman" w:cstheme="minorHAnsi"/>
                <w:b/>
                <w:bCs/>
                <w:sz w:val="20"/>
                <w:szCs w:val="20"/>
                <w:lang w:eastAsia="sk-SK"/>
              </w:rPr>
              <w:t>400 000,00</w:t>
            </w:r>
            <w:r w:rsidRPr="00FE7A86">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E32C5D"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498 030,00</w:t>
            </w:r>
          </w:p>
        </w:tc>
        <w:tc>
          <w:tcPr>
            <w:tcW w:w="28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29B9EF"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124,51</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CEF0F9"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498 030,00</w:t>
            </w:r>
          </w:p>
        </w:tc>
        <w:tc>
          <w:tcPr>
            <w:tcW w:w="323" w:type="pct"/>
            <w:tcBorders>
              <w:top w:val="outset" w:sz="6" w:space="0" w:color="000000"/>
              <w:left w:val="outset" w:sz="6" w:space="0" w:color="000000"/>
              <w:bottom w:val="outset" w:sz="6" w:space="0" w:color="000000"/>
              <w:right w:val="outset" w:sz="6" w:space="0" w:color="000000"/>
            </w:tcBorders>
            <w:shd w:val="clear" w:color="auto" w:fill="CCDDFF"/>
            <w:noWrap/>
            <w:hideMark/>
          </w:tcPr>
          <w:p w14:paraId="45FF508E"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C23817"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498 030,00</w:t>
            </w:r>
          </w:p>
        </w:tc>
        <w:tc>
          <w:tcPr>
            <w:tcW w:w="323" w:type="pct"/>
            <w:tcBorders>
              <w:top w:val="outset" w:sz="6" w:space="0" w:color="000000"/>
              <w:left w:val="outset" w:sz="6" w:space="0" w:color="000000"/>
              <w:bottom w:val="outset" w:sz="6" w:space="0" w:color="000000"/>
              <w:right w:val="outset" w:sz="6" w:space="0" w:color="000000"/>
            </w:tcBorders>
            <w:shd w:val="clear" w:color="auto" w:fill="CCDDFF"/>
            <w:noWrap/>
            <w:hideMark/>
          </w:tcPr>
          <w:p w14:paraId="2BEEC8C3"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b/>
                <w:bCs/>
                <w:color w:val="000000"/>
                <w:sz w:val="20"/>
                <w:szCs w:val="20"/>
              </w:rPr>
              <w:t>100,00</w:t>
            </w:r>
          </w:p>
        </w:tc>
      </w:tr>
      <w:tr w:rsidR="000C70AF" w:rsidRPr="00894752" w14:paraId="7DD265B0"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F71CA6" w14:textId="77777777" w:rsidR="000C70AF" w:rsidRPr="00FE7A86" w:rsidRDefault="000C70AF" w:rsidP="00411DC9">
            <w:pPr>
              <w:spacing w:after="0" w:line="240" w:lineRule="auto"/>
              <w:rPr>
                <w:rFonts w:eastAsia="Times New Roman" w:cstheme="minorHAnsi"/>
                <w:sz w:val="20"/>
                <w:szCs w:val="20"/>
                <w:lang w:eastAsia="sk-SK"/>
              </w:rPr>
            </w:pPr>
            <w:r w:rsidRPr="00FE7A86">
              <w:rPr>
                <w:rFonts w:eastAsia="Times New Roman" w:cstheme="minorHAnsi"/>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12CD6C" w14:textId="77777777" w:rsidR="000C70AF" w:rsidRPr="00FE7A86" w:rsidRDefault="000C70AF" w:rsidP="00411DC9">
            <w:pPr>
              <w:spacing w:after="0" w:line="240" w:lineRule="auto"/>
              <w:rPr>
                <w:rFonts w:eastAsia="Times New Roman" w:cstheme="minorHAnsi"/>
                <w:sz w:val="20"/>
                <w:szCs w:val="20"/>
                <w:lang w:eastAsia="sk-SK"/>
              </w:rPr>
            </w:pPr>
            <w:r w:rsidRPr="00FE7A86">
              <w:rPr>
                <w:rFonts w:eastAsia="Times New Roman" w:cstheme="minorHAnsi"/>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5F6CCA"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eastAsia="Times New Roman" w:cstheme="minorHAnsi"/>
                <w:sz w:val="20"/>
                <w:szCs w:val="20"/>
                <w:lang w:eastAsia="sk-SK"/>
              </w:rPr>
              <w:t xml:space="preserve">400 000,00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DD894E"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eastAsia="Times New Roman" w:cstheme="minorHAnsi"/>
                <w:sz w:val="20"/>
                <w:szCs w:val="20"/>
                <w:lang w:eastAsia="sk-SK"/>
              </w:rPr>
              <w:t xml:space="preserve">498 030,00 </w:t>
            </w:r>
          </w:p>
        </w:tc>
        <w:tc>
          <w:tcPr>
            <w:tcW w:w="284" w:type="pct"/>
            <w:tcBorders>
              <w:top w:val="outset" w:sz="6" w:space="0" w:color="000000"/>
              <w:left w:val="outset" w:sz="6" w:space="0" w:color="000000"/>
              <w:bottom w:val="outset" w:sz="6" w:space="0" w:color="000000"/>
              <w:right w:val="outset" w:sz="6" w:space="0" w:color="000000"/>
            </w:tcBorders>
            <w:noWrap/>
            <w:vAlign w:val="center"/>
            <w:hideMark/>
          </w:tcPr>
          <w:p w14:paraId="27E93BFF"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color w:val="000000"/>
                <w:sz w:val="20"/>
                <w:szCs w:val="20"/>
              </w:rPr>
              <w:t>124,51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9AF6421"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eastAsia="Times New Roman" w:cstheme="minorHAnsi"/>
                <w:sz w:val="20"/>
                <w:szCs w:val="20"/>
                <w:lang w:eastAsia="sk-SK"/>
              </w:rPr>
              <w:t>498 030,00</w:t>
            </w:r>
          </w:p>
        </w:tc>
        <w:tc>
          <w:tcPr>
            <w:tcW w:w="323" w:type="pct"/>
            <w:tcBorders>
              <w:top w:val="outset" w:sz="6" w:space="0" w:color="000000"/>
              <w:left w:val="outset" w:sz="6" w:space="0" w:color="000000"/>
              <w:bottom w:val="outset" w:sz="6" w:space="0" w:color="000000"/>
              <w:right w:val="outset" w:sz="6" w:space="0" w:color="000000"/>
            </w:tcBorders>
            <w:noWrap/>
            <w:hideMark/>
          </w:tcPr>
          <w:p w14:paraId="18A10C33"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color w:val="000000"/>
                <w:sz w:val="20"/>
                <w:szCs w:val="20"/>
              </w:rPr>
              <w:t>100,00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55DBB91"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eastAsia="Times New Roman" w:cstheme="minorHAnsi"/>
                <w:sz w:val="20"/>
                <w:szCs w:val="20"/>
                <w:lang w:eastAsia="sk-SK"/>
              </w:rPr>
              <w:t>498 030,00</w:t>
            </w:r>
          </w:p>
        </w:tc>
        <w:tc>
          <w:tcPr>
            <w:tcW w:w="323" w:type="pct"/>
            <w:tcBorders>
              <w:top w:val="outset" w:sz="6" w:space="0" w:color="000000"/>
              <w:left w:val="outset" w:sz="6" w:space="0" w:color="000000"/>
              <w:bottom w:val="outset" w:sz="6" w:space="0" w:color="000000"/>
              <w:right w:val="outset" w:sz="6" w:space="0" w:color="000000"/>
            </w:tcBorders>
            <w:noWrap/>
            <w:hideMark/>
          </w:tcPr>
          <w:p w14:paraId="27F1AEFA" w14:textId="77777777" w:rsidR="000C70AF" w:rsidRPr="00FE7A86" w:rsidRDefault="000C70AF" w:rsidP="00411DC9">
            <w:pPr>
              <w:spacing w:after="0" w:line="240" w:lineRule="auto"/>
              <w:jc w:val="right"/>
              <w:rPr>
                <w:rFonts w:eastAsia="Times New Roman" w:cstheme="minorHAnsi"/>
                <w:sz w:val="20"/>
                <w:szCs w:val="20"/>
                <w:lang w:eastAsia="sk-SK"/>
              </w:rPr>
            </w:pPr>
            <w:r w:rsidRPr="00FE7A86">
              <w:rPr>
                <w:rFonts w:ascii="Calibri" w:hAnsi="Calibri" w:cs="Calibri"/>
                <w:color w:val="000000"/>
                <w:sz w:val="20"/>
                <w:szCs w:val="20"/>
              </w:rPr>
              <w:t>100,00</w:t>
            </w:r>
          </w:p>
        </w:tc>
      </w:tr>
    </w:tbl>
    <w:p w14:paraId="0B940BF9" w14:textId="77777777" w:rsidR="000C70AF" w:rsidRPr="001C6337" w:rsidRDefault="000C70AF" w:rsidP="000C70AF">
      <w:pPr>
        <w:spacing w:after="0" w:line="240" w:lineRule="auto"/>
        <w:rPr>
          <w:rFonts w:eastAsia="Times New Roman" w:cstheme="minorHAnsi"/>
          <w:vanish/>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537"/>
        <w:gridCol w:w="1950"/>
        <w:gridCol w:w="1948"/>
        <w:gridCol w:w="1948"/>
        <w:gridCol w:w="2067"/>
      </w:tblGrid>
      <w:tr w:rsidR="000C70AF" w:rsidRPr="001C6337" w14:paraId="071CE719"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9C0CD3"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A4CB6E"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sz w:val="24"/>
                <w:szCs w:val="24"/>
                <w:lang w:eastAsia="sk-SK"/>
              </w:rPr>
              <w:t xml:space="preserve">Odbor komunikácie a propagácie </w:t>
            </w:r>
          </w:p>
        </w:tc>
      </w:tr>
      <w:tr w:rsidR="000C70AF" w:rsidRPr="001C6337" w14:paraId="1A90CC5B"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DA5D08"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300086"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Zabezpečiť pozitívny vzťah a prezentáciu BSK</w:t>
            </w:r>
          </w:p>
        </w:tc>
      </w:tr>
      <w:tr w:rsidR="000C70AF" w:rsidRPr="001C6337" w14:paraId="0909EFBD"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FC70F6"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866628"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sz w:val="24"/>
                <w:szCs w:val="24"/>
                <w:lang w:eastAsia="sk-SK"/>
              </w:rPr>
              <w:t>Počet tlačových správ</w:t>
            </w:r>
          </w:p>
        </w:tc>
      </w:tr>
      <w:tr w:rsidR="000C70AF" w:rsidRPr="001C6337" w14:paraId="15748AD5"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3EEC04"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F144CC"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E91CCD"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202</w:t>
            </w:r>
            <w:r>
              <w:rPr>
                <w:rFonts w:eastAsia="Times New Roman" w:cstheme="minorHAnsi"/>
                <w:b/>
                <w:bCs/>
                <w:sz w:val="24"/>
                <w:szCs w:val="24"/>
                <w:lang w:eastAsia="sk-SK"/>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02C462"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34AA43"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7</w:t>
            </w:r>
          </w:p>
        </w:tc>
      </w:tr>
      <w:tr w:rsidR="000C70AF" w:rsidRPr="001C6337" w14:paraId="7AD31440"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FED396"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0802E5"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sz w:val="24"/>
                <w:szCs w:val="24"/>
                <w:lang w:eastAsia="sk-SK"/>
              </w:rPr>
              <w:t>40</w:t>
            </w:r>
            <w:r w:rsidRPr="008947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64107D"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 </w:t>
            </w:r>
            <w:r>
              <w:rPr>
                <w:rFonts w:eastAsia="Times New Roman" w:cstheme="minorHAnsi"/>
                <w:b/>
                <w:bCs/>
                <w:sz w:val="24"/>
                <w:szCs w:val="24"/>
                <w:lang w:eastAsia="sk-SK"/>
              </w:rPr>
              <w:t>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D96AA5"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w:t>
            </w:r>
            <w:r>
              <w:rPr>
                <w:rFonts w:eastAsia="Times New Roman" w:cstheme="minorHAnsi"/>
                <w:sz w:val="24"/>
                <w:szCs w:val="24"/>
                <w:lang w:eastAsia="sk-SK"/>
              </w:rPr>
              <w:t>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DD109C"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w:t>
            </w:r>
            <w:r>
              <w:rPr>
                <w:rFonts w:eastAsia="Times New Roman" w:cstheme="minorHAnsi"/>
                <w:sz w:val="24"/>
                <w:szCs w:val="24"/>
                <w:lang w:eastAsia="sk-SK"/>
              </w:rPr>
              <w:t>80</w:t>
            </w:r>
          </w:p>
        </w:tc>
      </w:tr>
      <w:tr w:rsidR="000C70AF" w:rsidRPr="001C6337" w14:paraId="173C8285"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BCC474"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C94A83"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sz w:val="24"/>
                <w:szCs w:val="24"/>
                <w:lang w:eastAsia="sk-SK"/>
              </w:rPr>
              <w:t>Počet mediálnych kampaní</w:t>
            </w:r>
          </w:p>
        </w:tc>
      </w:tr>
      <w:tr w:rsidR="000C70AF" w:rsidRPr="001C6337" w14:paraId="3CB39A55"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67F6C5"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729DDC"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1EE6E6"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202</w:t>
            </w:r>
            <w:r>
              <w:rPr>
                <w:rFonts w:eastAsia="Times New Roman" w:cstheme="minorHAnsi"/>
                <w:b/>
                <w:bCs/>
                <w:sz w:val="24"/>
                <w:szCs w:val="24"/>
                <w:lang w:eastAsia="sk-SK"/>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8CE78F"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9C4945"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7</w:t>
            </w:r>
          </w:p>
        </w:tc>
      </w:tr>
      <w:tr w:rsidR="000C70AF" w:rsidRPr="001C6337" w14:paraId="10E2F2EF"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34868B"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1A7044"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xml:space="preserve">  </w:t>
            </w:r>
            <w:r>
              <w:rPr>
                <w:rFonts w:eastAsia="Times New Roman" w:cstheme="minorHAnsi"/>
                <w:sz w:val="24"/>
                <w:szCs w:val="24"/>
                <w:lang w:eastAsia="sk-SK"/>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51BE83"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 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069150"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018F4B"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3</w:t>
            </w:r>
          </w:p>
        </w:tc>
      </w:tr>
      <w:tr w:rsidR="000C70AF" w:rsidRPr="001C6337" w14:paraId="6AF547BF"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8E87A0"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F5FCF0"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sz w:val="24"/>
                <w:szCs w:val="24"/>
                <w:lang w:eastAsia="sk-SK"/>
              </w:rPr>
              <w:t>Počet druhov tlačových materiálov (update brožúr, tematické letáky...)</w:t>
            </w:r>
          </w:p>
        </w:tc>
      </w:tr>
      <w:tr w:rsidR="000C70AF" w:rsidRPr="001C6337" w14:paraId="644130BF"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CE4BF1"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444993"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C74AE4"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202</w:t>
            </w:r>
            <w:r>
              <w:rPr>
                <w:rFonts w:eastAsia="Times New Roman" w:cstheme="minorHAnsi"/>
                <w:b/>
                <w:bCs/>
                <w:sz w:val="24"/>
                <w:szCs w:val="24"/>
                <w:lang w:eastAsia="sk-SK"/>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90F965"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BC9F89"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7</w:t>
            </w:r>
          </w:p>
        </w:tc>
      </w:tr>
      <w:tr w:rsidR="000C70AF" w:rsidRPr="001C6337" w14:paraId="1C1BF481"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F7F165"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F479A5"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sz w:val="24"/>
                <w:szCs w:val="24"/>
                <w:lang w:eastAsia="sk-SK"/>
              </w:rPr>
              <w:t>4</w:t>
            </w:r>
            <w:r w:rsidRPr="008947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EB937F"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b/>
                <w:bCs/>
                <w:sz w:val="24"/>
                <w:szCs w:val="24"/>
                <w:lang w:eastAsia="sk-SK"/>
              </w:rPr>
              <w:t>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863FD5"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w:t>
            </w:r>
            <w:r>
              <w:rPr>
                <w:rFonts w:eastAsia="Times New Roman" w:cstheme="minorHAnsi"/>
                <w:sz w:val="24"/>
                <w:szCs w:val="24"/>
                <w:lang w:eastAsia="sk-SK"/>
              </w:rPr>
              <w:t>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4BC045"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sz w:val="24"/>
                <w:szCs w:val="24"/>
                <w:lang w:eastAsia="sk-SK"/>
              </w:rPr>
              <w:t>8</w:t>
            </w:r>
          </w:p>
        </w:tc>
      </w:tr>
      <w:tr w:rsidR="000C70AF" w:rsidRPr="001C6337" w14:paraId="447539F0"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7FBFBE"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EBD5C7"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sz w:val="24"/>
                <w:szCs w:val="24"/>
                <w:lang w:eastAsia="sk-SK"/>
              </w:rPr>
              <w:t>Počet tlačových konferencií</w:t>
            </w:r>
          </w:p>
        </w:tc>
      </w:tr>
      <w:tr w:rsidR="000C70AF" w:rsidRPr="001C6337" w14:paraId="2B760FD7"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3C95C3"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4A310F"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48D069"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202</w:t>
            </w:r>
            <w:r>
              <w:rPr>
                <w:rFonts w:eastAsia="Times New Roman" w:cstheme="minorHAnsi"/>
                <w:b/>
                <w:bCs/>
                <w:sz w:val="24"/>
                <w:szCs w:val="24"/>
                <w:lang w:eastAsia="sk-SK"/>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701C52"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FB36E6"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7</w:t>
            </w:r>
          </w:p>
        </w:tc>
      </w:tr>
      <w:tr w:rsidR="000C70AF" w:rsidRPr="001C6337" w14:paraId="0ED5C8E1"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4A7AD4"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56FB0C"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sz w:val="24"/>
                <w:szCs w:val="24"/>
                <w:lang w:eastAsia="sk-SK"/>
              </w:rPr>
              <w:t>10</w:t>
            </w:r>
            <w:r w:rsidRPr="008947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E9C1B7"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b/>
                <w:bCs/>
                <w:sz w:val="24"/>
                <w:szCs w:val="24"/>
                <w:lang w:eastAsia="sk-SK"/>
              </w:rPr>
              <w:t>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B978D3"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sz w:val="24"/>
                <w:szCs w:val="24"/>
                <w:lang w:eastAsia="sk-SK"/>
              </w:rPr>
              <w:t>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5D0D58"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w:t>
            </w:r>
            <w:r>
              <w:rPr>
                <w:rFonts w:eastAsia="Times New Roman" w:cstheme="minorHAnsi"/>
                <w:sz w:val="24"/>
                <w:szCs w:val="24"/>
                <w:lang w:eastAsia="sk-SK"/>
              </w:rPr>
              <w:t>8</w:t>
            </w:r>
          </w:p>
        </w:tc>
      </w:tr>
      <w:tr w:rsidR="000C70AF" w:rsidRPr="00A670E4" w14:paraId="704E2211"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882665"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35D58C"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sz w:val="24"/>
                <w:szCs w:val="24"/>
                <w:lang w:eastAsia="sk-SK"/>
              </w:rPr>
              <w:t>Počet unikátnych návštev na web stránke BSK www.bratislavskykraj.sk</w:t>
            </w:r>
          </w:p>
        </w:tc>
      </w:tr>
      <w:tr w:rsidR="000C70AF" w:rsidRPr="00A670E4" w14:paraId="1835C16C"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7DC796"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5E7E0F"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170AF8"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202</w:t>
            </w:r>
            <w:r>
              <w:rPr>
                <w:rFonts w:eastAsia="Times New Roman" w:cstheme="minorHAnsi"/>
                <w:b/>
                <w:bCs/>
                <w:sz w:val="24"/>
                <w:szCs w:val="24"/>
                <w:lang w:eastAsia="sk-SK"/>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0CCBB2"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EF5251"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7</w:t>
            </w:r>
          </w:p>
        </w:tc>
      </w:tr>
      <w:tr w:rsidR="000C70AF" w:rsidRPr="00A670E4" w14:paraId="4D8905C5"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4A1776"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72F1CA"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xml:space="preserve">  </w:t>
            </w:r>
            <w:r>
              <w:rPr>
                <w:rFonts w:eastAsia="Times New Roman" w:cstheme="minorHAnsi"/>
                <w:sz w:val="24"/>
                <w:szCs w:val="24"/>
                <w:lang w:eastAsia="sk-SK"/>
              </w:rPr>
              <w:t>600 000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B2D01D"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b/>
                <w:bCs/>
                <w:sz w:val="24"/>
                <w:szCs w:val="24"/>
                <w:lang w:eastAsia="sk-SK"/>
              </w:rPr>
              <w:t>6</w:t>
            </w:r>
            <w:r w:rsidRPr="00894752">
              <w:rPr>
                <w:rFonts w:eastAsia="Times New Roman" w:cstheme="minorHAnsi"/>
                <w:b/>
                <w:bCs/>
                <w:sz w:val="24"/>
                <w:szCs w:val="24"/>
                <w:lang w:eastAsia="sk-SK"/>
              </w:rPr>
              <w:t>00 000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E6BA94"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w:t>
            </w:r>
            <w:r>
              <w:rPr>
                <w:rFonts w:eastAsia="Times New Roman" w:cstheme="minorHAnsi"/>
                <w:sz w:val="24"/>
                <w:szCs w:val="24"/>
                <w:lang w:eastAsia="sk-SK"/>
              </w:rPr>
              <w:t>6</w:t>
            </w:r>
            <w:r w:rsidRPr="00894752">
              <w:rPr>
                <w:rFonts w:eastAsia="Times New Roman" w:cstheme="minorHAnsi"/>
                <w:sz w:val="24"/>
                <w:szCs w:val="24"/>
                <w:lang w:eastAsia="sk-SK"/>
              </w:rPr>
              <w:t>00 000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90BBFF"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w:t>
            </w:r>
            <w:r>
              <w:rPr>
                <w:rFonts w:eastAsia="Times New Roman" w:cstheme="minorHAnsi"/>
                <w:sz w:val="24"/>
                <w:szCs w:val="24"/>
                <w:lang w:eastAsia="sk-SK"/>
              </w:rPr>
              <w:t>6</w:t>
            </w:r>
            <w:r w:rsidRPr="00894752">
              <w:rPr>
                <w:rFonts w:eastAsia="Times New Roman" w:cstheme="minorHAnsi"/>
                <w:sz w:val="24"/>
                <w:szCs w:val="24"/>
                <w:lang w:eastAsia="sk-SK"/>
              </w:rPr>
              <w:t>00 000</w:t>
            </w:r>
          </w:p>
        </w:tc>
      </w:tr>
      <w:tr w:rsidR="000C70AF" w:rsidRPr="00A670E4" w14:paraId="4009DA04"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AF3222"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22F47B"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sz w:val="24"/>
                <w:szCs w:val="24"/>
                <w:lang w:eastAsia="sk-SK"/>
              </w:rPr>
              <w:t>Počet uverejnených článkov na web stránke BSK www.bratislavskykraj.sk</w:t>
            </w:r>
          </w:p>
        </w:tc>
      </w:tr>
      <w:tr w:rsidR="000C70AF" w:rsidRPr="00A670E4" w14:paraId="65909B2E"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FDA24B"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480518"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F82822"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202</w:t>
            </w:r>
            <w:r>
              <w:rPr>
                <w:rFonts w:eastAsia="Times New Roman" w:cstheme="minorHAnsi"/>
                <w:b/>
                <w:bCs/>
                <w:sz w:val="24"/>
                <w:szCs w:val="24"/>
                <w:lang w:eastAsia="sk-SK"/>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2885F4"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A7C72B"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7</w:t>
            </w:r>
          </w:p>
        </w:tc>
      </w:tr>
      <w:tr w:rsidR="000C70AF" w:rsidRPr="00A670E4" w14:paraId="0E9AE394"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9E1663"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CDDCA3"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sz w:val="24"/>
                <w:szCs w:val="24"/>
                <w:lang w:eastAsia="sk-SK"/>
              </w:rPr>
              <w:t>1 500</w:t>
            </w:r>
            <w:r w:rsidRPr="008947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9618AE"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 xml:space="preserve"> 1 </w:t>
            </w:r>
            <w:r>
              <w:rPr>
                <w:rFonts w:eastAsia="Times New Roman" w:cstheme="minorHAnsi"/>
                <w:b/>
                <w:bCs/>
                <w:sz w:val="24"/>
                <w:szCs w:val="24"/>
                <w:lang w:eastAsia="sk-SK"/>
              </w:rPr>
              <w:t>0</w:t>
            </w:r>
            <w:r w:rsidRPr="00894752">
              <w:rPr>
                <w:rFonts w:eastAsia="Times New Roman" w:cstheme="minorHAnsi"/>
                <w:b/>
                <w:bCs/>
                <w:sz w:val="24"/>
                <w:szCs w:val="24"/>
                <w:lang w:eastAsia="sk-SK"/>
              </w:rPr>
              <w:t>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3D9F47"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xml:space="preserve"> 1 </w:t>
            </w:r>
            <w:r>
              <w:rPr>
                <w:rFonts w:eastAsia="Times New Roman" w:cstheme="minorHAnsi"/>
                <w:sz w:val="24"/>
                <w:szCs w:val="24"/>
                <w:lang w:eastAsia="sk-SK"/>
              </w:rPr>
              <w:t>0</w:t>
            </w:r>
            <w:r w:rsidRPr="00894752">
              <w:rPr>
                <w:rFonts w:eastAsia="Times New Roman" w:cstheme="minorHAnsi"/>
                <w:sz w:val="24"/>
                <w:szCs w:val="24"/>
                <w:lang w:eastAsia="sk-SK"/>
              </w:rPr>
              <w:t>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145F5B"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xml:space="preserve"> 1 </w:t>
            </w:r>
            <w:r>
              <w:rPr>
                <w:rFonts w:eastAsia="Times New Roman" w:cstheme="minorHAnsi"/>
                <w:sz w:val="24"/>
                <w:szCs w:val="24"/>
                <w:lang w:eastAsia="sk-SK"/>
              </w:rPr>
              <w:t>0</w:t>
            </w:r>
            <w:r w:rsidRPr="00894752">
              <w:rPr>
                <w:rFonts w:eastAsia="Times New Roman" w:cstheme="minorHAnsi"/>
                <w:sz w:val="24"/>
                <w:szCs w:val="24"/>
                <w:lang w:eastAsia="sk-SK"/>
              </w:rPr>
              <w:t>00</w:t>
            </w:r>
          </w:p>
        </w:tc>
      </w:tr>
      <w:tr w:rsidR="000C70AF" w:rsidRPr="00A670E4" w14:paraId="0B037E73"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195D1C"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15EBCA"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sz w:val="24"/>
                <w:szCs w:val="24"/>
                <w:lang w:eastAsia="sk-SK"/>
              </w:rPr>
              <w:t xml:space="preserve">Počet videí na </w:t>
            </w:r>
            <w:proofErr w:type="spellStart"/>
            <w:r w:rsidRPr="00894752">
              <w:rPr>
                <w:rFonts w:eastAsia="Times New Roman" w:cstheme="minorHAnsi"/>
                <w:sz w:val="24"/>
                <w:szCs w:val="24"/>
                <w:lang w:eastAsia="sk-SK"/>
              </w:rPr>
              <w:t>Youtube</w:t>
            </w:r>
            <w:proofErr w:type="spellEnd"/>
            <w:r w:rsidRPr="00894752">
              <w:rPr>
                <w:rFonts w:eastAsia="Times New Roman" w:cstheme="minorHAnsi"/>
                <w:sz w:val="24"/>
                <w:szCs w:val="24"/>
                <w:lang w:eastAsia="sk-SK"/>
              </w:rPr>
              <w:t xml:space="preserve"> natočených v našej produkcii</w:t>
            </w:r>
          </w:p>
        </w:tc>
      </w:tr>
      <w:tr w:rsidR="000C70AF" w:rsidRPr="00A670E4" w14:paraId="0693EC47"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16C1FE"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lastRenderedPageBreak/>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1CFA4D"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BB2B53"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202</w:t>
            </w:r>
            <w:r>
              <w:rPr>
                <w:rFonts w:eastAsia="Times New Roman" w:cstheme="minorHAnsi"/>
                <w:b/>
                <w:bCs/>
                <w:sz w:val="24"/>
                <w:szCs w:val="24"/>
                <w:lang w:eastAsia="sk-SK"/>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79D057"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3A747E"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7</w:t>
            </w:r>
          </w:p>
        </w:tc>
      </w:tr>
      <w:tr w:rsidR="000C70AF" w:rsidRPr="00A670E4" w14:paraId="05CFE917"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DC25D9"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A4EFAA"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sz w:val="24"/>
                <w:szCs w:val="24"/>
                <w:lang w:eastAsia="sk-SK"/>
              </w:rPr>
              <w:t>80</w:t>
            </w:r>
            <w:r w:rsidRPr="008947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8B3415"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 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59F5F9"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3E4453"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80</w:t>
            </w:r>
          </w:p>
        </w:tc>
      </w:tr>
      <w:tr w:rsidR="000C70AF" w:rsidRPr="00A670E4" w14:paraId="19DA38FE"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2DCF08"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6C17CF"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sz w:val="24"/>
                <w:szCs w:val="24"/>
                <w:lang w:eastAsia="sk-SK"/>
              </w:rPr>
              <w:t>Dosah všetkých príspevkov na Facebooku</w:t>
            </w:r>
          </w:p>
        </w:tc>
      </w:tr>
      <w:tr w:rsidR="000C70AF" w:rsidRPr="00A670E4" w14:paraId="655D30EE"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C9251D"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A1B642"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D9CAF4"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202</w:t>
            </w:r>
            <w:r>
              <w:rPr>
                <w:rFonts w:eastAsia="Times New Roman" w:cstheme="minorHAnsi"/>
                <w:b/>
                <w:bCs/>
                <w:sz w:val="24"/>
                <w:szCs w:val="24"/>
                <w:lang w:eastAsia="sk-SK"/>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4BEFB2"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375FA6"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7</w:t>
            </w:r>
          </w:p>
        </w:tc>
      </w:tr>
      <w:tr w:rsidR="000C70AF" w:rsidRPr="00A670E4" w14:paraId="359EB7AF"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2AFB32"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F373BF" w14:textId="77777777" w:rsidR="000C70AF" w:rsidRPr="00E56EB3" w:rsidRDefault="000C70AF" w:rsidP="00411DC9">
            <w:pPr>
              <w:spacing w:after="0" w:line="240" w:lineRule="auto"/>
              <w:jc w:val="center"/>
              <w:rPr>
                <w:rFonts w:eastAsia="Times New Roman" w:cstheme="minorHAnsi"/>
                <w:sz w:val="24"/>
                <w:szCs w:val="24"/>
                <w:lang w:eastAsia="sk-SK"/>
              </w:rPr>
            </w:pPr>
            <w:r w:rsidRPr="00E56EB3">
              <w:rPr>
                <w:rFonts w:eastAsia="Times New Roman" w:cstheme="minorHAnsi"/>
                <w:sz w:val="24"/>
                <w:szCs w:val="24"/>
                <w:lang w:eastAsia="sk-SK"/>
              </w:rPr>
              <w:t>1 500 000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AC4446"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b/>
                <w:bCs/>
                <w:sz w:val="24"/>
                <w:szCs w:val="24"/>
                <w:lang w:eastAsia="sk-SK"/>
              </w:rPr>
              <w:t>1</w:t>
            </w:r>
            <w:r w:rsidRPr="00894752">
              <w:rPr>
                <w:rFonts w:eastAsia="Times New Roman" w:cstheme="minorHAnsi"/>
                <w:b/>
                <w:bCs/>
                <w:sz w:val="24"/>
                <w:szCs w:val="24"/>
                <w:lang w:eastAsia="sk-SK"/>
              </w:rPr>
              <w:t xml:space="preserve"> </w:t>
            </w:r>
            <w:r>
              <w:rPr>
                <w:rFonts w:eastAsia="Times New Roman" w:cstheme="minorHAnsi"/>
                <w:b/>
                <w:bCs/>
                <w:sz w:val="24"/>
                <w:szCs w:val="24"/>
                <w:lang w:eastAsia="sk-SK"/>
              </w:rPr>
              <w:t>5</w:t>
            </w:r>
            <w:r w:rsidRPr="00894752">
              <w:rPr>
                <w:rFonts w:eastAsia="Times New Roman" w:cstheme="minorHAnsi"/>
                <w:b/>
                <w:bCs/>
                <w:sz w:val="24"/>
                <w:szCs w:val="24"/>
                <w:lang w:eastAsia="sk-SK"/>
              </w:rPr>
              <w:t>00 000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C3FBC2"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sz w:val="24"/>
                <w:szCs w:val="24"/>
                <w:lang w:eastAsia="sk-SK"/>
              </w:rPr>
              <w:t>1</w:t>
            </w:r>
            <w:r w:rsidRPr="00894752">
              <w:rPr>
                <w:rFonts w:eastAsia="Times New Roman" w:cstheme="minorHAnsi"/>
                <w:sz w:val="24"/>
                <w:szCs w:val="24"/>
                <w:lang w:eastAsia="sk-SK"/>
              </w:rPr>
              <w:t xml:space="preserve"> </w:t>
            </w:r>
            <w:r>
              <w:rPr>
                <w:rFonts w:eastAsia="Times New Roman" w:cstheme="minorHAnsi"/>
                <w:sz w:val="24"/>
                <w:szCs w:val="24"/>
                <w:lang w:eastAsia="sk-SK"/>
              </w:rPr>
              <w:t>5</w:t>
            </w:r>
            <w:r w:rsidRPr="00894752">
              <w:rPr>
                <w:rFonts w:eastAsia="Times New Roman" w:cstheme="minorHAnsi"/>
                <w:sz w:val="24"/>
                <w:szCs w:val="24"/>
                <w:lang w:eastAsia="sk-SK"/>
              </w:rPr>
              <w:t>00 000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9E2283"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w:t>
            </w:r>
            <w:r>
              <w:rPr>
                <w:rFonts w:eastAsia="Times New Roman" w:cstheme="minorHAnsi"/>
                <w:sz w:val="24"/>
                <w:szCs w:val="24"/>
                <w:lang w:eastAsia="sk-SK"/>
              </w:rPr>
              <w:t>1</w:t>
            </w:r>
            <w:r w:rsidRPr="00894752">
              <w:rPr>
                <w:rFonts w:eastAsia="Times New Roman" w:cstheme="minorHAnsi"/>
                <w:sz w:val="24"/>
                <w:szCs w:val="24"/>
                <w:lang w:eastAsia="sk-SK"/>
              </w:rPr>
              <w:t xml:space="preserve"> </w:t>
            </w:r>
            <w:r>
              <w:rPr>
                <w:rFonts w:eastAsia="Times New Roman" w:cstheme="minorHAnsi"/>
                <w:sz w:val="24"/>
                <w:szCs w:val="24"/>
                <w:lang w:eastAsia="sk-SK"/>
              </w:rPr>
              <w:t>5</w:t>
            </w:r>
            <w:r w:rsidRPr="00894752">
              <w:rPr>
                <w:rFonts w:eastAsia="Times New Roman" w:cstheme="minorHAnsi"/>
                <w:sz w:val="24"/>
                <w:szCs w:val="24"/>
                <w:lang w:eastAsia="sk-SK"/>
              </w:rPr>
              <w:t>00 000</w:t>
            </w:r>
          </w:p>
        </w:tc>
      </w:tr>
      <w:tr w:rsidR="000C70AF" w:rsidRPr="00A670E4" w14:paraId="6D56F63F"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F981FA"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FC1FA7"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sz w:val="24"/>
                <w:szCs w:val="24"/>
                <w:lang w:eastAsia="sk-SK"/>
              </w:rPr>
              <w:t xml:space="preserve">Počet odoslaných </w:t>
            </w:r>
            <w:proofErr w:type="spellStart"/>
            <w:r w:rsidRPr="00894752">
              <w:rPr>
                <w:rFonts w:eastAsia="Times New Roman" w:cstheme="minorHAnsi"/>
                <w:sz w:val="24"/>
                <w:szCs w:val="24"/>
                <w:lang w:eastAsia="sk-SK"/>
              </w:rPr>
              <w:t>newslettrov</w:t>
            </w:r>
            <w:proofErr w:type="spellEnd"/>
          </w:p>
        </w:tc>
      </w:tr>
      <w:tr w:rsidR="000C70AF" w:rsidRPr="00A670E4" w14:paraId="59057163"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31D203"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529222"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BD0269"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202</w:t>
            </w:r>
            <w:r>
              <w:rPr>
                <w:rFonts w:eastAsia="Times New Roman" w:cstheme="minorHAnsi"/>
                <w:b/>
                <w:bCs/>
                <w:sz w:val="24"/>
                <w:szCs w:val="24"/>
                <w:lang w:eastAsia="sk-SK"/>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124ABE"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CA1145"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7</w:t>
            </w:r>
          </w:p>
        </w:tc>
      </w:tr>
      <w:tr w:rsidR="000C70AF" w:rsidRPr="00A670E4" w14:paraId="2CA71EF8"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DBBD67"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FDFB79"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sz w:val="24"/>
                <w:szCs w:val="24"/>
                <w:lang w:eastAsia="sk-SK"/>
              </w:rPr>
              <w:t>45</w:t>
            </w:r>
            <w:r w:rsidRPr="008947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A52FBE"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 4</w:t>
            </w:r>
            <w:r>
              <w:rPr>
                <w:rFonts w:eastAsia="Times New Roman" w:cstheme="minorHAnsi"/>
                <w:b/>
                <w:bCs/>
                <w:sz w:val="24"/>
                <w:szCs w:val="24"/>
                <w:lang w:eastAsia="sk-SK"/>
              </w:rPr>
              <w:t>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255D3F"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w:t>
            </w:r>
            <w:r>
              <w:rPr>
                <w:rFonts w:eastAsia="Times New Roman" w:cstheme="minorHAnsi"/>
                <w:sz w:val="24"/>
                <w:szCs w:val="24"/>
                <w:lang w:eastAsia="sk-SK"/>
              </w:rPr>
              <w:t>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770FD5"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sz w:val="24"/>
                <w:szCs w:val="24"/>
                <w:lang w:eastAsia="sk-SK"/>
              </w:rPr>
              <w:t>40</w:t>
            </w:r>
          </w:p>
        </w:tc>
      </w:tr>
      <w:tr w:rsidR="000C70AF" w:rsidRPr="00A670E4" w14:paraId="7B81F8A8"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5BD99A"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B7BAB1"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sz w:val="24"/>
                <w:szCs w:val="24"/>
                <w:lang w:eastAsia="sk-SK"/>
              </w:rPr>
              <w:t>Počet podujatí s podporou marketingu</w:t>
            </w:r>
          </w:p>
        </w:tc>
      </w:tr>
      <w:tr w:rsidR="000C70AF" w:rsidRPr="00A670E4" w14:paraId="27A31292"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2D3580"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6A3BB4"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8137D1"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202</w:t>
            </w:r>
            <w:r>
              <w:rPr>
                <w:rFonts w:eastAsia="Times New Roman" w:cstheme="minorHAnsi"/>
                <w:b/>
                <w:bCs/>
                <w:sz w:val="24"/>
                <w:szCs w:val="24"/>
                <w:lang w:eastAsia="sk-SK"/>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471515"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009D65"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202</w:t>
            </w:r>
            <w:r>
              <w:rPr>
                <w:rFonts w:eastAsia="Times New Roman" w:cstheme="minorHAnsi"/>
                <w:sz w:val="24"/>
                <w:szCs w:val="24"/>
                <w:lang w:eastAsia="sk-SK"/>
              </w:rPr>
              <w:t>7</w:t>
            </w:r>
          </w:p>
        </w:tc>
      </w:tr>
      <w:tr w:rsidR="000C70AF" w:rsidRPr="00A670E4" w14:paraId="2F65F04F" w14:textId="77777777" w:rsidTr="00411D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0C2DA7" w14:textId="77777777" w:rsidR="000C70AF" w:rsidRPr="00894752" w:rsidRDefault="000C70AF" w:rsidP="00411DC9">
            <w:pPr>
              <w:spacing w:after="0" w:line="240" w:lineRule="auto"/>
              <w:rPr>
                <w:rFonts w:eastAsia="Times New Roman" w:cstheme="minorHAnsi"/>
                <w:sz w:val="24"/>
                <w:szCs w:val="24"/>
                <w:lang w:eastAsia="sk-SK"/>
              </w:rPr>
            </w:pPr>
            <w:r w:rsidRPr="0089475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402581" w14:textId="77777777" w:rsidR="000C70AF" w:rsidRPr="00894752" w:rsidRDefault="000C70AF" w:rsidP="00411DC9">
            <w:pPr>
              <w:spacing w:after="0" w:line="240" w:lineRule="auto"/>
              <w:jc w:val="center"/>
              <w:rPr>
                <w:rFonts w:eastAsia="Times New Roman" w:cstheme="minorHAnsi"/>
                <w:sz w:val="24"/>
                <w:szCs w:val="24"/>
                <w:lang w:eastAsia="sk-SK"/>
              </w:rPr>
            </w:pPr>
            <w:r>
              <w:rPr>
                <w:rFonts w:eastAsia="Times New Roman" w:cstheme="minorHAnsi"/>
                <w:sz w:val="24"/>
                <w:szCs w:val="24"/>
                <w:lang w:eastAsia="sk-SK"/>
              </w:rPr>
              <w:t>5</w:t>
            </w:r>
            <w:r w:rsidRPr="008947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EB846E"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b/>
                <w:bCs/>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443D23"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EA4500" w14:textId="77777777" w:rsidR="000C70AF" w:rsidRPr="00894752" w:rsidRDefault="000C70AF" w:rsidP="00411DC9">
            <w:pPr>
              <w:spacing w:after="0" w:line="240" w:lineRule="auto"/>
              <w:jc w:val="center"/>
              <w:rPr>
                <w:rFonts w:eastAsia="Times New Roman" w:cstheme="minorHAnsi"/>
                <w:sz w:val="24"/>
                <w:szCs w:val="24"/>
                <w:lang w:eastAsia="sk-SK"/>
              </w:rPr>
            </w:pPr>
            <w:r w:rsidRPr="00894752">
              <w:rPr>
                <w:rFonts w:eastAsia="Times New Roman" w:cstheme="minorHAnsi"/>
                <w:sz w:val="24"/>
                <w:szCs w:val="24"/>
                <w:lang w:eastAsia="sk-SK"/>
              </w:rPr>
              <w:t> 5</w:t>
            </w:r>
          </w:p>
        </w:tc>
      </w:tr>
    </w:tbl>
    <w:p w14:paraId="74C0E255" w14:textId="77777777" w:rsidR="000C70AF" w:rsidRDefault="000C70AF" w:rsidP="000C70AF">
      <w:pPr>
        <w:spacing w:before="100" w:beforeAutospacing="1" w:after="100" w:afterAutospacing="1" w:line="240" w:lineRule="auto"/>
        <w:jc w:val="both"/>
        <w:rPr>
          <w:rFonts w:eastAsia="Times New Roman" w:cstheme="minorHAnsi"/>
          <w:sz w:val="24"/>
          <w:szCs w:val="24"/>
          <w:lang w:eastAsia="sk-SK"/>
        </w:rPr>
      </w:pPr>
      <w:r w:rsidRPr="00A670E4">
        <w:rPr>
          <w:rFonts w:eastAsia="Times New Roman" w:cstheme="minorHAnsi"/>
          <w:b/>
          <w:bCs/>
          <w:sz w:val="24"/>
          <w:szCs w:val="24"/>
          <w:lang w:eastAsia="sk-SK"/>
        </w:rPr>
        <w:t xml:space="preserve">Komentár: </w:t>
      </w:r>
      <w:r w:rsidRPr="006D3836">
        <w:rPr>
          <w:rFonts w:eastAsia="Times New Roman" w:cstheme="minorHAnsi"/>
          <w:sz w:val="24"/>
          <w:szCs w:val="24"/>
          <w:lang w:eastAsia="sk-SK"/>
        </w:rPr>
        <w:t xml:space="preserve">Rozpočet programu je navrhnutý tak, aby podporoval efektívnu komunikáciu a informovanosť verejnosti o kľúčových projektoch a aktivitách župy. Hlavným cieľom je vyvážená a všestranná propagácia cez rôznorodé komunikačné kanály, od televíznej a online reklamy až po printovú inzerciu v celoslovenských a regionálnych médiách, ako aj v periodikách miest a mestských častí. Významná časť rozpočtu je vyčlenená na organizáciu podujatí spojených so strategickými projektmi a projektami BSK, a to konkrétne na technické a organizačné zabezpečenie. Komunikačné a marketingové riešenia zahŕňajú online komunikácie, pravidelné vydávanie </w:t>
      </w:r>
      <w:proofErr w:type="spellStart"/>
      <w:r w:rsidRPr="006D3836">
        <w:rPr>
          <w:rFonts w:eastAsia="Times New Roman" w:cstheme="minorHAnsi"/>
          <w:sz w:val="24"/>
          <w:szCs w:val="24"/>
          <w:lang w:eastAsia="sk-SK"/>
        </w:rPr>
        <w:t>newslettrov</w:t>
      </w:r>
      <w:proofErr w:type="spellEnd"/>
      <w:r w:rsidRPr="006D3836">
        <w:rPr>
          <w:rFonts w:eastAsia="Times New Roman" w:cstheme="minorHAnsi"/>
          <w:sz w:val="24"/>
          <w:szCs w:val="24"/>
          <w:lang w:eastAsia="sk-SK"/>
        </w:rPr>
        <w:t xml:space="preserve">, </w:t>
      </w:r>
      <w:proofErr w:type="spellStart"/>
      <w:r w:rsidRPr="006D3836">
        <w:rPr>
          <w:rFonts w:eastAsia="Times New Roman" w:cstheme="minorHAnsi"/>
          <w:sz w:val="24"/>
          <w:szCs w:val="24"/>
          <w:lang w:eastAsia="sk-SK"/>
        </w:rPr>
        <w:t>cyklomapy</w:t>
      </w:r>
      <w:proofErr w:type="spellEnd"/>
      <w:r w:rsidRPr="006D3836">
        <w:rPr>
          <w:rFonts w:eastAsia="Times New Roman" w:cstheme="minorHAnsi"/>
          <w:sz w:val="24"/>
          <w:szCs w:val="24"/>
          <w:lang w:eastAsia="sk-SK"/>
        </w:rPr>
        <w:t xml:space="preserve"> či tematické kalendáre, ktoré prepájajú župu s jej obyvateľmi. V rámci podpory transparentnosti a dlhodobej viditeľnosti BSK sú prostriedky venované aj na spravodajský servis, monitoring médií a tlač publikácií. Súčasťou rozpočtu sú aj propagačné materiály a darčekové predmety, ktoré pomôžu šíriť povedomie o aktivitách župy.</w:t>
      </w:r>
    </w:p>
    <w:tbl>
      <w:tblPr>
        <w:tblW w:w="10434" w:type="dxa"/>
        <w:tblCellMar>
          <w:left w:w="70" w:type="dxa"/>
          <w:right w:w="70" w:type="dxa"/>
        </w:tblCellMar>
        <w:tblLook w:val="04A0" w:firstRow="1" w:lastRow="0" w:firstColumn="1" w:lastColumn="0" w:noHBand="0" w:noVBand="1"/>
      </w:tblPr>
      <w:tblGrid>
        <w:gridCol w:w="5489"/>
        <w:gridCol w:w="1690"/>
        <w:gridCol w:w="1648"/>
        <w:gridCol w:w="1607"/>
      </w:tblGrid>
      <w:tr w:rsidR="000C70AF" w:rsidRPr="003C26A2" w14:paraId="10D1D2AB" w14:textId="77777777" w:rsidTr="00411DC9">
        <w:trPr>
          <w:trHeight w:val="304"/>
        </w:trPr>
        <w:tc>
          <w:tcPr>
            <w:tcW w:w="5489" w:type="dxa"/>
            <w:vMerge w:val="restart"/>
            <w:tcBorders>
              <w:top w:val="single" w:sz="8" w:space="0" w:color="auto"/>
              <w:left w:val="single" w:sz="8" w:space="0" w:color="auto"/>
              <w:bottom w:val="single" w:sz="4" w:space="0" w:color="000000"/>
              <w:right w:val="single" w:sz="4" w:space="0" w:color="auto"/>
            </w:tcBorders>
            <w:shd w:val="clear" w:color="000000" w:fill="0070C0"/>
            <w:noWrap/>
            <w:vAlign w:val="center"/>
            <w:hideMark/>
          </w:tcPr>
          <w:p w14:paraId="26B7DCB4" w14:textId="77777777" w:rsidR="000C70AF" w:rsidRPr="003C26A2" w:rsidRDefault="000C70AF" w:rsidP="00411DC9">
            <w:pPr>
              <w:spacing w:after="0" w:line="240" w:lineRule="auto"/>
              <w:rPr>
                <w:rFonts w:ascii="Calibri" w:eastAsia="Times New Roman" w:hAnsi="Calibri" w:cs="Calibri"/>
                <w:b/>
                <w:bCs/>
                <w:color w:val="FFFFFF"/>
                <w:lang w:eastAsia="sk-SK"/>
              </w:rPr>
            </w:pPr>
            <w:r w:rsidRPr="003C26A2">
              <w:rPr>
                <w:rFonts w:ascii="Calibri" w:eastAsia="Times New Roman" w:hAnsi="Calibri" w:cs="Calibri"/>
                <w:b/>
                <w:bCs/>
                <w:color w:val="FFFFFF"/>
                <w:lang w:eastAsia="sk-SK"/>
              </w:rPr>
              <w:t>Kategória</w:t>
            </w:r>
          </w:p>
        </w:tc>
        <w:tc>
          <w:tcPr>
            <w:tcW w:w="1690" w:type="dxa"/>
            <w:tcBorders>
              <w:top w:val="single" w:sz="8" w:space="0" w:color="auto"/>
              <w:left w:val="nil"/>
              <w:bottom w:val="nil"/>
              <w:right w:val="single" w:sz="4" w:space="0" w:color="auto"/>
            </w:tcBorders>
            <w:shd w:val="clear" w:color="000000" w:fill="0070C0"/>
            <w:noWrap/>
            <w:vAlign w:val="bottom"/>
            <w:hideMark/>
          </w:tcPr>
          <w:p w14:paraId="769AA8C0" w14:textId="77777777" w:rsidR="000C70AF" w:rsidRPr="003C26A2" w:rsidRDefault="000C70AF" w:rsidP="00411DC9">
            <w:pPr>
              <w:spacing w:after="0" w:line="240" w:lineRule="auto"/>
              <w:jc w:val="center"/>
              <w:rPr>
                <w:rFonts w:ascii="Calibri" w:eastAsia="Times New Roman" w:hAnsi="Calibri" w:cs="Calibri"/>
                <w:b/>
                <w:bCs/>
                <w:color w:val="FFFFFF"/>
                <w:lang w:eastAsia="sk-SK"/>
              </w:rPr>
            </w:pPr>
            <w:r w:rsidRPr="003C26A2">
              <w:rPr>
                <w:rFonts w:ascii="Calibri" w:eastAsia="Times New Roman" w:hAnsi="Calibri" w:cs="Calibri"/>
                <w:b/>
                <w:bCs/>
                <w:color w:val="FFFFFF"/>
                <w:lang w:eastAsia="sk-SK"/>
              </w:rPr>
              <w:t>Rok</w:t>
            </w:r>
          </w:p>
        </w:tc>
        <w:tc>
          <w:tcPr>
            <w:tcW w:w="1648" w:type="dxa"/>
            <w:tcBorders>
              <w:top w:val="single" w:sz="8" w:space="0" w:color="auto"/>
              <w:left w:val="nil"/>
              <w:bottom w:val="nil"/>
              <w:right w:val="single" w:sz="4" w:space="0" w:color="auto"/>
            </w:tcBorders>
            <w:shd w:val="clear" w:color="000000" w:fill="0070C0"/>
            <w:noWrap/>
            <w:vAlign w:val="bottom"/>
            <w:hideMark/>
          </w:tcPr>
          <w:p w14:paraId="2648B2E8" w14:textId="77777777" w:rsidR="000C70AF" w:rsidRPr="003C26A2" w:rsidRDefault="000C70AF" w:rsidP="00411DC9">
            <w:pPr>
              <w:spacing w:after="0" w:line="240" w:lineRule="auto"/>
              <w:jc w:val="center"/>
              <w:rPr>
                <w:rFonts w:ascii="Calibri" w:eastAsia="Times New Roman" w:hAnsi="Calibri" w:cs="Calibri"/>
                <w:b/>
                <w:bCs/>
                <w:color w:val="FFFFFF"/>
                <w:lang w:eastAsia="sk-SK"/>
              </w:rPr>
            </w:pPr>
            <w:r w:rsidRPr="003C26A2">
              <w:rPr>
                <w:rFonts w:ascii="Calibri" w:eastAsia="Times New Roman" w:hAnsi="Calibri" w:cs="Calibri"/>
                <w:b/>
                <w:bCs/>
                <w:color w:val="FFFFFF"/>
                <w:lang w:eastAsia="sk-SK"/>
              </w:rPr>
              <w:t>Rok</w:t>
            </w:r>
          </w:p>
        </w:tc>
        <w:tc>
          <w:tcPr>
            <w:tcW w:w="1607" w:type="dxa"/>
            <w:tcBorders>
              <w:top w:val="single" w:sz="8" w:space="0" w:color="auto"/>
              <w:left w:val="nil"/>
              <w:bottom w:val="nil"/>
              <w:right w:val="single" w:sz="8" w:space="0" w:color="auto"/>
            </w:tcBorders>
            <w:shd w:val="clear" w:color="000000" w:fill="0070C0"/>
            <w:noWrap/>
            <w:vAlign w:val="bottom"/>
            <w:hideMark/>
          </w:tcPr>
          <w:p w14:paraId="4E042A26" w14:textId="77777777" w:rsidR="000C70AF" w:rsidRPr="003C26A2" w:rsidRDefault="000C70AF" w:rsidP="00411DC9">
            <w:pPr>
              <w:spacing w:after="0" w:line="240" w:lineRule="auto"/>
              <w:jc w:val="center"/>
              <w:rPr>
                <w:rFonts w:ascii="Calibri" w:eastAsia="Times New Roman" w:hAnsi="Calibri" w:cs="Calibri"/>
                <w:b/>
                <w:bCs/>
                <w:color w:val="FFFFFF"/>
                <w:lang w:eastAsia="sk-SK"/>
              </w:rPr>
            </w:pPr>
            <w:r w:rsidRPr="003C26A2">
              <w:rPr>
                <w:rFonts w:ascii="Calibri" w:eastAsia="Times New Roman" w:hAnsi="Calibri" w:cs="Calibri"/>
                <w:b/>
                <w:bCs/>
                <w:color w:val="FFFFFF"/>
                <w:lang w:eastAsia="sk-SK"/>
              </w:rPr>
              <w:t>Rok</w:t>
            </w:r>
          </w:p>
        </w:tc>
      </w:tr>
      <w:tr w:rsidR="000C70AF" w:rsidRPr="003C26A2" w14:paraId="2088E55D" w14:textId="77777777" w:rsidTr="00411DC9">
        <w:trPr>
          <w:trHeight w:val="304"/>
        </w:trPr>
        <w:tc>
          <w:tcPr>
            <w:tcW w:w="5489" w:type="dxa"/>
            <w:vMerge/>
            <w:tcBorders>
              <w:top w:val="single" w:sz="8" w:space="0" w:color="auto"/>
              <w:left w:val="single" w:sz="8" w:space="0" w:color="auto"/>
              <w:bottom w:val="single" w:sz="4" w:space="0" w:color="000000"/>
              <w:right w:val="single" w:sz="4" w:space="0" w:color="auto"/>
            </w:tcBorders>
            <w:vAlign w:val="center"/>
            <w:hideMark/>
          </w:tcPr>
          <w:p w14:paraId="5C8B9BF2" w14:textId="77777777" w:rsidR="000C70AF" w:rsidRPr="003C26A2" w:rsidRDefault="000C70AF" w:rsidP="00411DC9">
            <w:pPr>
              <w:spacing w:after="0" w:line="240" w:lineRule="auto"/>
              <w:rPr>
                <w:rFonts w:ascii="Calibri" w:eastAsia="Times New Roman" w:hAnsi="Calibri" w:cs="Calibri"/>
                <w:b/>
                <w:bCs/>
                <w:color w:val="FFFFFF"/>
                <w:lang w:eastAsia="sk-SK"/>
              </w:rPr>
            </w:pPr>
          </w:p>
        </w:tc>
        <w:tc>
          <w:tcPr>
            <w:tcW w:w="1690" w:type="dxa"/>
            <w:tcBorders>
              <w:top w:val="nil"/>
              <w:left w:val="nil"/>
              <w:bottom w:val="single" w:sz="8" w:space="0" w:color="auto"/>
              <w:right w:val="single" w:sz="4" w:space="0" w:color="auto"/>
            </w:tcBorders>
            <w:shd w:val="clear" w:color="000000" w:fill="0070C0"/>
            <w:noWrap/>
            <w:vAlign w:val="bottom"/>
            <w:hideMark/>
          </w:tcPr>
          <w:p w14:paraId="72EA8B19" w14:textId="77777777" w:rsidR="000C70AF" w:rsidRPr="003C26A2" w:rsidRDefault="000C70AF" w:rsidP="00411DC9">
            <w:pPr>
              <w:spacing w:after="0" w:line="240" w:lineRule="auto"/>
              <w:jc w:val="center"/>
              <w:rPr>
                <w:rFonts w:ascii="Calibri" w:eastAsia="Times New Roman" w:hAnsi="Calibri" w:cs="Calibri"/>
                <w:b/>
                <w:bCs/>
                <w:color w:val="FFFFFF"/>
                <w:lang w:eastAsia="sk-SK"/>
              </w:rPr>
            </w:pPr>
            <w:r w:rsidRPr="003C26A2">
              <w:rPr>
                <w:rFonts w:ascii="Calibri" w:eastAsia="Times New Roman" w:hAnsi="Calibri" w:cs="Calibri"/>
                <w:b/>
                <w:bCs/>
                <w:color w:val="FFFFFF"/>
                <w:lang w:eastAsia="sk-SK"/>
              </w:rPr>
              <w:t>2025</w:t>
            </w:r>
          </w:p>
        </w:tc>
        <w:tc>
          <w:tcPr>
            <w:tcW w:w="1648" w:type="dxa"/>
            <w:tcBorders>
              <w:top w:val="nil"/>
              <w:left w:val="nil"/>
              <w:bottom w:val="single" w:sz="8" w:space="0" w:color="auto"/>
              <w:right w:val="single" w:sz="4" w:space="0" w:color="auto"/>
            </w:tcBorders>
            <w:shd w:val="clear" w:color="000000" w:fill="0070C0"/>
            <w:noWrap/>
            <w:vAlign w:val="bottom"/>
            <w:hideMark/>
          </w:tcPr>
          <w:p w14:paraId="2AE72569" w14:textId="77777777" w:rsidR="000C70AF" w:rsidRPr="003C26A2" w:rsidRDefault="000C70AF" w:rsidP="00411DC9">
            <w:pPr>
              <w:spacing w:after="0" w:line="240" w:lineRule="auto"/>
              <w:jc w:val="center"/>
              <w:rPr>
                <w:rFonts w:ascii="Calibri" w:eastAsia="Times New Roman" w:hAnsi="Calibri" w:cs="Calibri"/>
                <w:b/>
                <w:bCs/>
                <w:color w:val="FFFFFF"/>
                <w:lang w:eastAsia="sk-SK"/>
              </w:rPr>
            </w:pPr>
            <w:r w:rsidRPr="003C26A2">
              <w:rPr>
                <w:rFonts w:ascii="Calibri" w:eastAsia="Times New Roman" w:hAnsi="Calibri" w:cs="Calibri"/>
                <w:b/>
                <w:bCs/>
                <w:color w:val="FFFFFF"/>
                <w:lang w:eastAsia="sk-SK"/>
              </w:rPr>
              <w:t>2026</w:t>
            </w:r>
          </w:p>
        </w:tc>
        <w:tc>
          <w:tcPr>
            <w:tcW w:w="1607" w:type="dxa"/>
            <w:tcBorders>
              <w:top w:val="nil"/>
              <w:left w:val="nil"/>
              <w:bottom w:val="single" w:sz="8" w:space="0" w:color="auto"/>
              <w:right w:val="single" w:sz="8" w:space="0" w:color="auto"/>
            </w:tcBorders>
            <w:shd w:val="clear" w:color="000000" w:fill="0070C0"/>
            <w:noWrap/>
            <w:vAlign w:val="bottom"/>
            <w:hideMark/>
          </w:tcPr>
          <w:p w14:paraId="0092F335" w14:textId="77777777" w:rsidR="000C70AF" w:rsidRPr="003C26A2" w:rsidRDefault="000C70AF" w:rsidP="00411DC9">
            <w:pPr>
              <w:spacing w:after="0" w:line="240" w:lineRule="auto"/>
              <w:jc w:val="center"/>
              <w:rPr>
                <w:rFonts w:ascii="Calibri" w:eastAsia="Times New Roman" w:hAnsi="Calibri" w:cs="Calibri"/>
                <w:b/>
                <w:bCs/>
                <w:color w:val="FFFFFF"/>
                <w:lang w:eastAsia="sk-SK"/>
              </w:rPr>
            </w:pPr>
            <w:r w:rsidRPr="003C26A2">
              <w:rPr>
                <w:rFonts w:ascii="Calibri" w:eastAsia="Times New Roman" w:hAnsi="Calibri" w:cs="Calibri"/>
                <w:b/>
                <w:bCs/>
                <w:color w:val="FFFFFF"/>
                <w:lang w:eastAsia="sk-SK"/>
              </w:rPr>
              <w:t>2027</w:t>
            </w:r>
          </w:p>
        </w:tc>
      </w:tr>
      <w:tr w:rsidR="000C70AF" w:rsidRPr="003C26A2" w14:paraId="36803042" w14:textId="77777777" w:rsidTr="00411DC9">
        <w:trPr>
          <w:trHeight w:val="304"/>
        </w:trPr>
        <w:tc>
          <w:tcPr>
            <w:tcW w:w="5489" w:type="dxa"/>
            <w:tcBorders>
              <w:top w:val="nil"/>
              <w:left w:val="single" w:sz="8" w:space="0" w:color="auto"/>
              <w:bottom w:val="single" w:sz="4" w:space="0" w:color="auto"/>
              <w:right w:val="single" w:sz="4" w:space="0" w:color="auto"/>
            </w:tcBorders>
            <w:shd w:val="clear" w:color="auto" w:fill="auto"/>
            <w:noWrap/>
            <w:vAlign w:val="bottom"/>
            <w:hideMark/>
          </w:tcPr>
          <w:p w14:paraId="3ED3E19A" w14:textId="77777777" w:rsidR="000C70AF" w:rsidRPr="003C26A2" w:rsidRDefault="000C70AF" w:rsidP="00411DC9">
            <w:pPr>
              <w:spacing w:after="0" w:line="240" w:lineRule="auto"/>
              <w:rPr>
                <w:rFonts w:ascii="Calibri" w:eastAsia="Times New Roman" w:hAnsi="Calibri" w:cs="Calibri"/>
                <w:color w:val="000000"/>
                <w:lang w:eastAsia="sk-SK"/>
              </w:rPr>
            </w:pPr>
            <w:r w:rsidRPr="003C26A2">
              <w:rPr>
                <w:rFonts w:ascii="Calibri" w:eastAsia="Times New Roman" w:hAnsi="Calibri" w:cs="Calibri"/>
                <w:color w:val="000000"/>
                <w:lang w:eastAsia="sk-SK"/>
              </w:rPr>
              <w:t>Strategické projekty - publicita a organizácia podujatí</w:t>
            </w:r>
          </w:p>
        </w:tc>
        <w:tc>
          <w:tcPr>
            <w:tcW w:w="1690" w:type="dxa"/>
            <w:tcBorders>
              <w:top w:val="single" w:sz="4" w:space="0" w:color="auto"/>
              <w:left w:val="nil"/>
              <w:bottom w:val="single" w:sz="4" w:space="0" w:color="auto"/>
              <w:right w:val="single" w:sz="4" w:space="0" w:color="auto"/>
            </w:tcBorders>
            <w:shd w:val="clear" w:color="auto" w:fill="auto"/>
            <w:noWrap/>
            <w:vAlign w:val="bottom"/>
            <w:hideMark/>
          </w:tcPr>
          <w:p w14:paraId="6182947E"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157 440 €</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14:paraId="69878920"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157 440 €</w:t>
            </w:r>
          </w:p>
        </w:tc>
        <w:tc>
          <w:tcPr>
            <w:tcW w:w="1607" w:type="dxa"/>
            <w:tcBorders>
              <w:top w:val="single" w:sz="4" w:space="0" w:color="auto"/>
              <w:left w:val="nil"/>
              <w:bottom w:val="single" w:sz="4" w:space="0" w:color="auto"/>
              <w:right w:val="single" w:sz="8" w:space="0" w:color="auto"/>
            </w:tcBorders>
            <w:shd w:val="clear" w:color="auto" w:fill="auto"/>
            <w:noWrap/>
            <w:vAlign w:val="bottom"/>
            <w:hideMark/>
          </w:tcPr>
          <w:p w14:paraId="0FA48B49"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157 440 €</w:t>
            </w:r>
          </w:p>
        </w:tc>
      </w:tr>
      <w:tr w:rsidR="000C70AF" w:rsidRPr="003C26A2" w14:paraId="5F42B54C" w14:textId="77777777" w:rsidTr="00411DC9">
        <w:trPr>
          <w:trHeight w:val="304"/>
        </w:trPr>
        <w:tc>
          <w:tcPr>
            <w:tcW w:w="5489" w:type="dxa"/>
            <w:tcBorders>
              <w:top w:val="nil"/>
              <w:left w:val="single" w:sz="8" w:space="0" w:color="auto"/>
              <w:bottom w:val="single" w:sz="4" w:space="0" w:color="auto"/>
              <w:right w:val="single" w:sz="4" w:space="0" w:color="auto"/>
            </w:tcBorders>
            <w:shd w:val="clear" w:color="auto" w:fill="auto"/>
            <w:noWrap/>
            <w:vAlign w:val="bottom"/>
            <w:hideMark/>
          </w:tcPr>
          <w:p w14:paraId="6EC82B6A" w14:textId="77777777" w:rsidR="000C70AF" w:rsidRPr="003C26A2" w:rsidRDefault="000C70AF" w:rsidP="00411DC9">
            <w:pPr>
              <w:spacing w:after="0" w:line="240" w:lineRule="auto"/>
              <w:rPr>
                <w:rFonts w:ascii="Calibri" w:eastAsia="Times New Roman" w:hAnsi="Calibri" w:cs="Calibri"/>
                <w:color w:val="000000"/>
                <w:lang w:eastAsia="sk-SK"/>
              </w:rPr>
            </w:pPr>
            <w:r w:rsidRPr="003C26A2">
              <w:rPr>
                <w:rFonts w:ascii="Calibri" w:eastAsia="Times New Roman" w:hAnsi="Calibri" w:cs="Calibri"/>
                <w:color w:val="000000"/>
                <w:lang w:eastAsia="sk-SK"/>
              </w:rPr>
              <w:t>Aktivity BSK - publicita a organizácia podujatí</w:t>
            </w:r>
          </w:p>
        </w:tc>
        <w:tc>
          <w:tcPr>
            <w:tcW w:w="1690" w:type="dxa"/>
            <w:tcBorders>
              <w:top w:val="nil"/>
              <w:left w:val="nil"/>
              <w:bottom w:val="single" w:sz="4" w:space="0" w:color="auto"/>
              <w:right w:val="single" w:sz="4" w:space="0" w:color="auto"/>
            </w:tcBorders>
            <w:shd w:val="clear" w:color="auto" w:fill="auto"/>
            <w:noWrap/>
            <w:vAlign w:val="bottom"/>
            <w:hideMark/>
          </w:tcPr>
          <w:p w14:paraId="103680BD"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127 860 €</w:t>
            </w:r>
          </w:p>
        </w:tc>
        <w:tc>
          <w:tcPr>
            <w:tcW w:w="1648" w:type="dxa"/>
            <w:tcBorders>
              <w:top w:val="nil"/>
              <w:left w:val="nil"/>
              <w:bottom w:val="single" w:sz="4" w:space="0" w:color="auto"/>
              <w:right w:val="single" w:sz="4" w:space="0" w:color="auto"/>
            </w:tcBorders>
            <w:shd w:val="clear" w:color="auto" w:fill="auto"/>
            <w:noWrap/>
            <w:vAlign w:val="bottom"/>
            <w:hideMark/>
          </w:tcPr>
          <w:p w14:paraId="15F5969F"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127 860 €</w:t>
            </w:r>
          </w:p>
        </w:tc>
        <w:tc>
          <w:tcPr>
            <w:tcW w:w="1607" w:type="dxa"/>
            <w:tcBorders>
              <w:top w:val="nil"/>
              <w:left w:val="nil"/>
              <w:bottom w:val="single" w:sz="4" w:space="0" w:color="auto"/>
              <w:right w:val="single" w:sz="8" w:space="0" w:color="auto"/>
            </w:tcBorders>
            <w:shd w:val="clear" w:color="auto" w:fill="auto"/>
            <w:noWrap/>
            <w:vAlign w:val="bottom"/>
            <w:hideMark/>
          </w:tcPr>
          <w:p w14:paraId="09A021F0"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127 860 €</w:t>
            </w:r>
          </w:p>
        </w:tc>
      </w:tr>
      <w:tr w:rsidR="000C70AF" w:rsidRPr="003C26A2" w14:paraId="1971965D" w14:textId="77777777" w:rsidTr="00411DC9">
        <w:trPr>
          <w:trHeight w:val="304"/>
        </w:trPr>
        <w:tc>
          <w:tcPr>
            <w:tcW w:w="5489" w:type="dxa"/>
            <w:tcBorders>
              <w:top w:val="nil"/>
              <w:left w:val="single" w:sz="8" w:space="0" w:color="auto"/>
              <w:bottom w:val="single" w:sz="4" w:space="0" w:color="auto"/>
              <w:right w:val="single" w:sz="4" w:space="0" w:color="auto"/>
            </w:tcBorders>
            <w:shd w:val="clear" w:color="auto" w:fill="auto"/>
            <w:noWrap/>
            <w:vAlign w:val="bottom"/>
            <w:hideMark/>
          </w:tcPr>
          <w:p w14:paraId="1D321EE5" w14:textId="77777777" w:rsidR="000C70AF" w:rsidRPr="003C26A2" w:rsidRDefault="000C70AF" w:rsidP="00411DC9">
            <w:pPr>
              <w:spacing w:after="0" w:line="240" w:lineRule="auto"/>
              <w:rPr>
                <w:rFonts w:ascii="Calibri" w:eastAsia="Times New Roman" w:hAnsi="Calibri" w:cs="Calibri"/>
                <w:color w:val="000000"/>
                <w:lang w:eastAsia="sk-SK"/>
              </w:rPr>
            </w:pPr>
            <w:r w:rsidRPr="003C26A2">
              <w:rPr>
                <w:rFonts w:ascii="Calibri" w:eastAsia="Times New Roman" w:hAnsi="Calibri" w:cs="Calibri"/>
                <w:color w:val="000000"/>
                <w:lang w:eastAsia="sk-SK"/>
              </w:rPr>
              <w:t>Grafické a tlačiarenské služby</w:t>
            </w:r>
          </w:p>
        </w:tc>
        <w:tc>
          <w:tcPr>
            <w:tcW w:w="1690" w:type="dxa"/>
            <w:tcBorders>
              <w:top w:val="nil"/>
              <w:left w:val="nil"/>
              <w:bottom w:val="single" w:sz="4" w:space="0" w:color="auto"/>
              <w:right w:val="single" w:sz="4" w:space="0" w:color="auto"/>
            </w:tcBorders>
            <w:shd w:val="clear" w:color="auto" w:fill="auto"/>
            <w:noWrap/>
            <w:vAlign w:val="bottom"/>
            <w:hideMark/>
          </w:tcPr>
          <w:p w14:paraId="26D7FB74"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90 000 €</w:t>
            </w:r>
          </w:p>
        </w:tc>
        <w:tc>
          <w:tcPr>
            <w:tcW w:w="1648" w:type="dxa"/>
            <w:tcBorders>
              <w:top w:val="nil"/>
              <w:left w:val="nil"/>
              <w:bottom w:val="single" w:sz="4" w:space="0" w:color="auto"/>
              <w:right w:val="single" w:sz="4" w:space="0" w:color="auto"/>
            </w:tcBorders>
            <w:shd w:val="clear" w:color="auto" w:fill="auto"/>
            <w:noWrap/>
            <w:vAlign w:val="bottom"/>
            <w:hideMark/>
          </w:tcPr>
          <w:p w14:paraId="46D656D3"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90 000 €</w:t>
            </w:r>
          </w:p>
        </w:tc>
        <w:tc>
          <w:tcPr>
            <w:tcW w:w="1607" w:type="dxa"/>
            <w:tcBorders>
              <w:top w:val="nil"/>
              <w:left w:val="nil"/>
              <w:bottom w:val="single" w:sz="4" w:space="0" w:color="auto"/>
              <w:right w:val="single" w:sz="8" w:space="0" w:color="auto"/>
            </w:tcBorders>
            <w:shd w:val="clear" w:color="auto" w:fill="auto"/>
            <w:noWrap/>
            <w:vAlign w:val="bottom"/>
            <w:hideMark/>
          </w:tcPr>
          <w:p w14:paraId="27CDB3A5"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90 000 €</w:t>
            </w:r>
          </w:p>
        </w:tc>
      </w:tr>
      <w:tr w:rsidR="000C70AF" w:rsidRPr="003C26A2" w14:paraId="2591B4AF" w14:textId="77777777" w:rsidTr="00411DC9">
        <w:trPr>
          <w:trHeight w:val="304"/>
        </w:trPr>
        <w:tc>
          <w:tcPr>
            <w:tcW w:w="5489" w:type="dxa"/>
            <w:tcBorders>
              <w:top w:val="nil"/>
              <w:left w:val="single" w:sz="8" w:space="0" w:color="auto"/>
              <w:bottom w:val="single" w:sz="4" w:space="0" w:color="auto"/>
              <w:right w:val="single" w:sz="4" w:space="0" w:color="auto"/>
            </w:tcBorders>
            <w:shd w:val="clear" w:color="auto" w:fill="auto"/>
            <w:noWrap/>
            <w:vAlign w:val="bottom"/>
            <w:hideMark/>
          </w:tcPr>
          <w:p w14:paraId="35A223F6" w14:textId="77777777" w:rsidR="000C70AF" w:rsidRPr="003C26A2" w:rsidRDefault="000C70AF" w:rsidP="00411DC9">
            <w:pPr>
              <w:spacing w:after="0" w:line="240" w:lineRule="auto"/>
              <w:rPr>
                <w:rFonts w:ascii="Calibri" w:eastAsia="Times New Roman" w:hAnsi="Calibri" w:cs="Calibri"/>
                <w:color w:val="000000"/>
                <w:lang w:eastAsia="sk-SK"/>
              </w:rPr>
            </w:pPr>
            <w:r w:rsidRPr="003C26A2">
              <w:rPr>
                <w:rFonts w:ascii="Calibri" w:eastAsia="Times New Roman" w:hAnsi="Calibri" w:cs="Calibri"/>
                <w:color w:val="000000"/>
                <w:lang w:eastAsia="sk-SK"/>
              </w:rPr>
              <w:t>Informačné systémy a propagačné materiály</w:t>
            </w:r>
          </w:p>
        </w:tc>
        <w:tc>
          <w:tcPr>
            <w:tcW w:w="1690" w:type="dxa"/>
            <w:tcBorders>
              <w:top w:val="nil"/>
              <w:left w:val="nil"/>
              <w:bottom w:val="single" w:sz="4" w:space="0" w:color="auto"/>
              <w:right w:val="single" w:sz="4" w:space="0" w:color="auto"/>
            </w:tcBorders>
            <w:shd w:val="clear" w:color="auto" w:fill="auto"/>
            <w:noWrap/>
            <w:vAlign w:val="bottom"/>
            <w:hideMark/>
          </w:tcPr>
          <w:p w14:paraId="284A545C"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83 000 €</w:t>
            </w:r>
          </w:p>
        </w:tc>
        <w:tc>
          <w:tcPr>
            <w:tcW w:w="1648" w:type="dxa"/>
            <w:tcBorders>
              <w:top w:val="nil"/>
              <w:left w:val="nil"/>
              <w:bottom w:val="single" w:sz="4" w:space="0" w:color="auto"/>
              <w:right w:val="single" w:sz="4" w:space="0" w:color="auto"/>
            </w:tcBorders>
            <w:shd w:val="clear" w:color="auto" w:fill="auto"/>
            <w:noWrap/>
            <w:vAlign w:val="bottom"/>
            <w:hideMark/>
          </w:tcPr>
          <w:p w14:paraId="4693058B"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83 000 €</w:t>
            </w:r>
          </w:p>
        </w:tc>
        <w:tc>
          <w:tcPr>
            <w:tcW w:w="1607" w:type="dxa"/>
            <w:tcBorders>
              <w:top w:val="nil"/>
              <w:left w:val="nil"/>
              <w:bottom w:val="single" w:sz="4" w:space="0" w:color="auto"/>
              <w:right w:val="single" w:sz="8" w:space="0" w:color="auto"/>
            </w:tcBorders>
            <w:shd w:val="clear" w:color="auto" w:fill="auto"/>
            <w:noWrap/>
            <w:vAlign w:val="bottom"/>
            <w:hideMark/>
          </w:tcPr>
          <w:p w14:paraId="11488136"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83 000 €</w:t>
            </w:r>
          </w:p>
        </w:tc>
      </w:tr>
      <w:tr w:rsidR="000C70AF" w:rsidRPr="003C26A2" w14:paraId="78121B81" w14:textId="77777777" w:rsidTr="00411DC9">
        <w:trPr>
          <w:trHeight w:val="304"/>
        </w:trPr>
        <w:tc>
          <w:tcPr>
            <w:tcW w:w="5489" w:type="dxa"/>
            <w:tcBorders>
              <w:top w:val="nil"/>
              <w:left w:val="single" w:sz="8" w:space="0" w:color="auto"/>
              <w:bottom w:val="single" w:sz="4" w:space="0" w:color="auto"/>
              <w:right w:val="single" w:sz="4" w:space="0" w:color="auto"/>
            </w:tcBorders>
            <w:shd w:val="clear" w:color="auto" w:fill="auto"/>
            <w:noWrap/>
            <w:vAlign w:val="bottom"/>
            <w:hideMark/>
          </w:tcPr>
          <w:p w14:paraId="61CD5CA9" w14:textId="77777777" w:rsidR="000C70AF" w:rsidRPr="003C26A2" w:rsidRDefault="000C70AF" w:rsidP="00411DC9">
            <w:pPr>
              <w:spacing w:after="0" w:line="240" w:lineRule="auto"/>
              <w:rPr>
                <w:rFonts w:ascii="Calibri" w:eastAsia="Times New Roman" w:hAnsi="Calibri" w:cs="Calibri"/>
                <w:color w:val="000000"/>
                <w:lang w:eastAsia="sk-SK"/>
              </w:rPr>
            </w:pPr>
            <w:r w:rsidRPr="003C26A2">
              <w:rPr>
                <w:rFonts w:ascii="Calibri" w:eastAsia="Times New Roman" w:hAnsi="Calibri" w:cs="Calibri"/>
                <w:color w:val="000000"/>
                <w:lang w:eastAsia="sk-SK"/>
              </w:rPr>
              <w:t>Mediálny servis a online služby</w:t>
            </w:r>
          </w:p>
        </w:tc>
        <w:tc>
          <w:tcPr>
            <w:tcW w:w="1690" w:type="dxa"/>
            <w:tcBorders>
              <w:top w:val="nil"/>
              <w:left w:val="nil"/>
              <w:bottom w:val="single" w:sz="4" w:space="0" w:color="auto"/>
              <w:right w:val="single" w:sz="4" w:space="0" w:color="auto"/>
            </w:tcBorders>
            <w:shd w:val="clear" w:color="auto" w:fill="auto"/>
            <w:noWrap/>
            <w:vAlign w:val="bottom"/>
            <w:hideMark/>
          </w:tcPr>
          <w:p w14:paraId="1E68BD5A"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34 820 €</w:t>
            </w:r>
          </w:p>
        </w:tc>
        <w:tc>
          <w:tcPr>
            <w:tcW w:w="1648" w:type="dxa"/>
            <w:tcBorders>
              <w:top w:val="nil"/>
              <w:left w:val="nil"/>
              <w:bottom w:val="single" w:sz="4" w:space="0" w:color="auto"/>
              <w:right w:val="single" w:sz="4" w:space="0" w:color="auto"/>
            </w:tcBorders>
            <w:shd w:val="clear" w:color="auto" w:fill="auto"/>
            <w:noWrap/>
            <w:vAlign w:val="bottom"/>
            <w:hideMark/>
          </w:tcPr>
          <w:p w14:paraId="3334E622"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34 820 €</w:t>
            </w:r>
          </w:p>
        </w:tc>
        <w:tc>
          <w:tcPr>
            <w:tcW w:w="1607" w:type="dxa"/>
            <w:tcBorders>
              <w:top w:val="nil"/>
              <w:left w:val="nil"/>
              <w:bottom w:val="single" w:sz="4" w:space="0" w:color="auto"/>
              <w:right w:val="single" w:sz="8" w:space="0" w:color="auto"/>
            </w:tcBorders>
            <w:shd w:val="clear" w:color="auto" w:fill="auto"/>
            <w:noWrap/>
            <w:vAlign w:val="bottom"/>
            <w:hideMark/>
          </w:tcPr>
          <w:p w14:paraId="0F6D8849"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34 820 €</w:t>
            </w:r>
          </w:p>
        </w:tc>
      </w:tr>
      <w:tr w:rsidR="000C70AF" w:rsidRPr="003C26A2" w14:paraId="3B2EBDEA" w14:textId="77777777" w:rsidTr="00411DC9">
        <w:trPr>
          <w:trHeight w:val="304"/>
        </w:trPr>
        <w:tc>
          <w:tcPr>
            <w:tcW w:w="5489" w:type="dxa"/>
            <w:tcBorders>
              <w:top w:val="nil"/>
              <w:left w:val="single" w:sz="8" w:space="0" w:color="auto"/>
              <w:bottom w:val="single" w:sz="8" w:space="0" w:color="auto"/>
              <w:right w:val="single" w:sz="4" w:space="0" w:color="auto"/>
            </w:tcBorders>
            <w:shd w:val="clear" w:color="auto" w:fill="auto"/>
            <w:noWrap/>
            <w:vAlign w:val="bottom"/>
            <w:hideMark/>
          </w:tcPr>
          <w:p w14:paraId="69B60C89" w14:textId="77777777" w:rsidR="000C70AF" w:rsidRPr="003C26A2" w:rsidRDefault="000C70AF" w:rsidP="00411DC9">
            <w:pPr>
              <w:spacing w:after="0" w:line="240" w:lineRule="auto"/>
              <w:rPr>
                <w:rFonts w:ascii="Calibri" w:eastAsia="Times New Roman" w:hAnsi="Calibri" w:cs="Calibri"/>
                <w:color w:val="000000"/>
                <w:lang w:eastAsia="sk-SK"/>
              </w:rPr>
            </w:pPr>
            <w:r w:rsidRPr="003C26A2">
              <w:rPr>
                <w:rFonts w:ascii="Calibri" w:eastAsia="Times New Roman" w:hAnsi="Calibri" w:cs="Calibri"/>
                <w:color w:val="000000"/>
                <w:lang w:eastAsia="sk-SK"/>
              </w:rPr>
              <w:t>Technické vybavenie a ostatné</w:t>
            </w:r>
          </w:p>
        </w:tc>
        <w:tc>
          <w:tcPr>
            <w:tcW w:w="1690" w:type="dxa"/>
            <w:tcBorders>
              <w:top w:val="nil"/>
              <w:left w:val="nil"/>
              <w:bottom w:val="single" w:sz="8" w:space="0" w:color="auto"/>
              <w:right w:val="single" w:sz="4" w:space="0" w:color="auto"/>
            </w:tcBorders>
            <w:shd w:val="clear" w:color="auto" w:fill="auto"/>
            <w:noWrap/>
            <w:vAlign w:val="bottom"/>
            <w:hideMark/>
          </w:tcPr>
          <w:p w14:paraId="080BDA89"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4 910 €</w:t>
            </w:r>
          </w:p>
        </w:tc>
        <w:tc>
          <w:tcPr>
            <w:tcW w:w="1648" w:type="dxa"/>
            <w:tcBorders>
              <w:top w:val="nil"/>
              <w:left w:val="nil"/>
              <w:bottom w:val="single" w:sz="8" w:space="0" w:color="auto"/>
              <w:right w:val="single" w:sz="4" w:space="0" w:color="auto"/>
            </w:tcBorders>
            <w:shd w:val="clear" w:color="auto" w:fill="auto"/>
            <w:noWrap/>
            <w:vAlign w:val="bottom"/>
            <w:hideMark/>
          </w:tcPr>
          <w:p w14:paraId="49CB696C"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4 910 €</w:t>
            </w:r>
          </w:p>
        </w:tc>
        <w:tc>
          <w:tcPr>
            <w:tcW w:w="1607" w:type="dxa"/>
            <w:tcBorders>
              <w:top w:val="nil"/>
              <w:left w:val="nil"/>
              <w:bottom w:val="single" w:sz="8" w:space="0" w:color="auto"/>
              <w:right w:val="single" w:sz="8" w:space="0" w:color="auto"/>
            </w:tcBorders>
            <w:shd w:val="clear" w:color="auto" w:fill="auto"/>
            <w:noWrap/>
            <w:vAlign w:val="bottom"/>
            <w:hideMark/>
          </w:tcPr>
          <w:p w14:paraId="1B984228" w14:textId="77777777" w:rsidR="000C70AF" w:rsidRPr="003C26A2" w:rsidRDefault="000C70AF" w:rsidP="00411DC9">
            <w:pPr>
              <w:spacing w:after="0" w:line="240" w:lineRule="auto"/>
              <w:jc w:val="right"/>
              <w:rPr>
                <w:rFonts w:ascii="Calibri" w:eastAsia="Times New Roman" w:hAnsi="Calibri" w:cs="Calibri"/>
                <w:lang w:eastAsia="sk-SK"/>
              </w:rPr>
            </w:pPr>
            <w:r w:rsidRPr="003C26A2">
              <w:rPr>
                <w:rFonts w:ascii="Calibri" w:eastAsia="Times New Roman" w:hAnsi="Calibri" w:cs="Calibri"/>
                <w:lang w:eastAsia="sk-SK"/>
              </w:rPr>
              <w:t>4 910 €</w:t>
            </w:r>
          </w:p>
        </w:tc>
      </w:tr>
      <w:tr w:rsidR="000C70AF" w:rsidRPr="003C26A2" w14:paraId="70B7217E" w14:textId="77777777" w:rsidTr="00411DC9">
        <w:trPr>
          <w:trHeight w:val="408"/>
        </w:trPr>
        <w:tc>
          <w:tcPr>
            <w:tcW w:w="5489" w:type="dxa"/>
            <w:tcBorders>
              <w:top w:val="nil"/>
              <w:left w:val="single" w:sz="8" w:space="0" w:color="auto"/>
              <w:bottom w:val="single" w:sz="8" w:space="0" w:color="auto"/>
              <w:right w:val="single" w:sz="4" w:space="0" w:color="auto"/>
            </w:tcBorders>
            <w:shd w:val="clear" w:color="auto" w:fill="auto"/>
            <w:noWrap/>
            <w:vAlign w:val="center"/>
            <w:hideMark/>
          </w:tcPr>
          <w:p w14:paraId="0B389B7E" w14:textId="77777777" w:rsidR="000C70AF" w:rsidRPr="003C26A2" w:rsidRDefault="000C70AF" w:rsidP="00411DC9">
            <w:pPr>
              <w:spacing w:after="0" w:line="240" w:lineRule="auto"/>
              <w:rPr>
                <w:rFonts w:ascii="Calibri" w:eastAsia="Times New Roman" w:hAnsi="Calibri" w:cs="Calibri"/>
                <w:b/>
                <w:bCs/>
                <w:color w:val="000000"/>
                <w:lang w:eastAsia="sk-SK"/>
              </w:rPr>
            </w:pPr>
            <w:r w:rsidRPr="003C26A2">
              <w:rPr>
                <w:rFonts w:ascii="Calibri" w:eastAsia="Times New Roman" w:hAnsi="Calibri" w:cs="Calibri"/>
                <w:b/>
                <w:bCs/>
                <w:color w:val="000000"/>
                <w:lang w:eastAsia="sk-SK"/>
              </w:rPr>
              <w:t>SPOLU</w:t>
            </w:r>
          </w:p>
        </w:tc>
        <w:tc>
          <w:tcPr>
            <w:tcW w:w="1690" w:type="dxa"/>
            <w:tcBorders>
              <w:top w:val="nil"/>
              <w:left w:val="nil"/>
              <w:bottom w:val="single" w:sz="8" w:space="0" w:color="auto"/>
              <w:right w:val="single" w:sz="4" w:space="0" w:color="auto"/>
            </w:tcBorders>
            <w:shd w:val="clear" w:color="000000" w:fill="0070C0"/>
            <w:noWrap/>
            <w:vAlign w:val="center"/>
            <w:hideMark/>
          </w:tcPr>
          <w:p w14:paraId="15B1F051" w14:textId="77777777" w:rsidR="000C70AF" w:rsidRPr="003C26A2" w:rsidRDefault="000C70AF" w:rsidP="00411DC9">
            <w:pPr>
              <w:spacing w:after="0" w:line="240" w:lineRule="auto"/>
              <w:jc w:val="right"/>
              <w:rPr>
                <w:rFonts w:ascii="Calibri" w:eastAsia="Times New Roman" w:hAnsi="Calibri" w:cs="Calibri"/>
                <w:b/>
                <w:bCs/>
                <w:color w:val="FFFFFF"/>
                <w:lang w:eastAsia="sk-SK"/>
              </w:rPr>
            </w:pPr>
            <w:r w:rsidRPr="003C26A2">
              <w:rPr>
                <w:rFonts w:ascii="Calibri" w:eastAsia="Times New Roman" w:hAnsi="Calibri" w:cs="Calibri"/>
                <w:b/>
                <w:bCs/>
                <w:color w:val="FFFFFF"/>
                <w:lang w:eastAsia="sk-SK"/>
              </w:rPr>
              <w:t>498 030 €</w:t>
            </w:r>
          </w:p>
        </w:tc>
        <w:tc>
          <w:tcPr>
            <w:tcW w:w="1648" w:type="dxa"/>
            <w:tcBorders>
              <w:top w:val="nil"/>
              <w:left w:val="nil"/>
              <w:bottom w:val="single" w:sz="8" w:space="0" w:color="auto"/>
              <w:right w:val="single" w:sz="4" w:space="0" w:color="auto"/>
            </w:tcBorders>
            <w:shd w:val="clear" w:color="000000" w:fill="0070C0"/>
            <w:noWrap/>
            <w:vAlign w:val="center"/>
            <w:hideMark/>
          </w:tcPr>
          <w:p w14:paraId="665D0819" w14:textId="77777777" w:rsidR="000C70AF" w:rsidRPr="003C26A2" w:rsidRDefault="000C70AF" w:rsidP="00411DC9">
            <w:pPr>
              <w:spacing w:after="0" w:line="240" w:lineRule="auto"/>
              <w:jc w:val="right"/>
              <w:rPr>
                <w:rFonts w:ascii="Calibri" w:eastAsia="Times New Roman" w:hAnsi="Calibri" w:cs="Calibri"/>
                <w:b/>
                <w:bCs/>
                <w:color w:val="FFFFFF"/>
                <w:lang w:eastAsia="sk-SK"/>
              </w:rPr>
            </w:pPr>
            <w:r w:rsidRPr="003C26A2">
              <w:rPr>
                <w:rFonts w:ascii="Calibri" w:eastAsia="Times New Roman" w:hAnsi="Calibri" w:cs="Calibri"/>
                <w:b/>
                <w:bCs/>
                <w:color w:val="FFFFFF"/>
                <w:lang w:eastAsia="sk-SK"/>
              </w:rPr>
              <w:t>498 030 €</w:t>
            </w:r>
          </w:p>
        </w:tc>
        <w:tc>
          <w:tcPr>
            <w:tcW w:w="1607" w:type="dxa"/>
            <w:tcBorders>
              <w:top w:val="nil"/>
              <w:left w:val="nil"/>
              <w:bottom w:val="single" w:sz="8" w:space="0" w:color="auto"/>
              <w:right w:val="single" w:sz="8" w:space="0" w:color="auto"/>
            </w:tcBorders>
            <w:shd w:val="clear" w:color="000000" w:fill="0070C0"/>
            <w:noWrap/>
            <w:vAlign w:val="center"/>
            <w:hideMark/>
          </w:tcPr>
          <w:p w14:paraId="1A0C9B86" w14:textId="77777777" w:rsidR="000C70AF" w:rsidRPr="003C26A2" w:rsidRDefault="000C70AF" w:rsidP="00411DC9">
            <w:pPr>
              <w:spacing w:after="0" w:line="240" w:lineRule="auto"/>
              <w:jc w:val="right"/>
              <w:rPr>
                <w:rFonts w:ascii="Calibri" w:eastAsia="Times New Roman" w:hAnsi="Calibri" w:cs="Calibri"/>
                <w:b/>
                <w:bCs/>
                <w:color w:val="FFFFFF"/>
                <w:lang w:eastAsia="sk-SK"/>
              </w:rPr>
            </w:pPr>
            <w:r w:rsidRPr="003C26A2">
              <w:rPr>
                <w:rFonts w:ascii="Calibri" w:eastAsia="Times New Roman" w:hAnsi="Calibri" w:cs="Calibri"/>
                <w:b/>
                <w:bCs/>
                <w:color w:val="FFFFFF"/>
                <w:lang w:eastAsia="sk-SK"/>
              </w:rPr>
              <w:t>498 030 €</w:t>
            </w:r>
          </w:p>
        </w:tc>
      </w:tr>
    </w:tbl>
    <w:p w14:paraId="3C8CD95B" w14:textId="77777777" w:rsidR="000C70AF" w:rsidRDefault="000C70AF" w:rsidP="000C70AF">
      <w:pPr>
        <w:spacing w:before="100" w:beforeAutospacing="1" w:after="100" w:afterAutospacing="1" w:line="240" w:lineRule="auto"/>
        <w:jc w:val="both"/>
        <w:rPr>
          <w:rFonts w:eastAsia="Times New Roman" w:cstheme="minorHAnsi"/>
          <w:sz w:val="24"/>
          <w:szCs w:val="24"/>
          <w:lang w:eastAsia="sk-SK"/>
        </w:rPr>
      </w:pPr>
    </w:p>
    <w:p w14:paraId="027B5832" w14:textId="77777777" w:rsidR="000C70AF" w:rsidRDefault="000C70AF" w:rsidP="000C70AF">
      <w:pPr>
        <w:spacing w:before="100" w:beforeAutospacing="1" w:after="100" w:afterAutospacing="1" w:line="240" w:lineRule="auto"/>
        <w:jc w:val="both"/>
        <w:rPr>
          <w:rFonts w:eastAsia="Times New Roman" w:cstheme="minorHAnsi"/>
          <w:sz w:val="24"/>
          <w:szCs w:val="24"/>
          <w:lang w:eastAsia="sk-SK"/>
        </w:rPr>
      </w:pPr>
    </w:p>
    <w:p w14:paraId="1BD36748" w14:textId="77777777" w:rsidR="000C70AF" w:rsidRDefault="000C70AF" w:rsidP="000C70AF">
      <w:pPr>
        <w:rPr>
          <w:rFonts w:cstheme="minorHAnsi"/>
        </w:rPr>
      </w:pPr>
    </w:p>
    <w:p w14:paraId="47E2EFEC" w14:textId="77777777" w:rsidR="00103726" w:rsidRDefault="00103726" w:rsidP="000C70AF">
      <w:pPr>
        <w:rPr>
          <w:rFonts w:cstheme="minorHAnsi"/>
        </w:rPr>
      </w:pPr>
    </w:p>
    <w:p w14:paraId="6EE1ED0C" w14:textId="77777777" w:rsidR="00103726" w:rsidRDefault="00103726" w:rsidP="000C70AF">
      <w:pPr>
        <w:rPr>
          <w:rFonts w:cstheme="minorHAnsi"/>
        </w:rPr>
      </w:pPr>
    </w:p>
    <w:p w14:paraId="4FB0BC70" w14:textId="77777777" w:rsidR="00103726" w:rsidRDefault="00103726" w:rsidP="000C70AF">
      <w:pPr>
        <w:rPr>
          <w:rFonts w:cstheme="minorHAnsi"/>
        </w:rPr>
      </w:pPr>
    </w:p>
    <w:p w14:paraId="2A1C12C1" w14:textId="77777777" w:rsidR="00103726" w:rsidRPr="00A670E4" w:rsidRDefault="00103726" w:rsidP="000C70AF">
      <w:pPr>
        <w:rPr>
          <w:rFonts w:cstheme="minorHAnsi"/>
        </w:rPr>
      </w:pPr>
    </w:p>
    <w:p w14:paraId="27062FD7" w14:textId="0C0795BF" w:rsidR="00AE47CD" w:rsidRPr="00AE47CD" w:rsidRDefault="00AE47CD" w:rsidP="00AE47CD">
      <w:pPr>
        <w:spacing w:before="100" w:beforeAutospacing="1" w:after="100" w:afterAutospacing="1" w:line="240" w:lineRule="auto"/>
        <w:outlineLvl w:val="1"/>
        <w:rPr>
          <w:rFonts w:eastAsia="Times New Roman" w:cstheme="minorHAnsi"/>
          <w:b/>
          <w:bCs/>
          <w:sz w:val="36"/>
          <w:szCs w:val="36"/>
          <w:lang w:eastAsia="sk-SK"/>
        </w:rPr>
      </w:pPr>
      <w:r w:rsidRPr="00AE47CD">
        <w:rPr>
          <w:rFonts w:eastAsia="Times New Roman" w:cstheme="minorHAnsi"/>
          <w:b/>
          <w:bCs/>
          <w:color w:val="000080"/>
          <w:sz w:val="36"/>
          <w:szCs w:val="36"/>
          <w:lang w:eastAsia="sk-SK"/>
        </w:rPr>
        <w:lastRenderedPageBreak/>
        <w:t>Program 3: Interné služby</w:t>
      </w:r>
      <w:r w:rsidRPr="00AE47CD">
        <w:rPr>
          <w:rFonts w:eastAsia="Times New Roman" w:cstheme="minorHAnsi"/>
          <w:b/>
          <w:bCs/>
          <w:sz w:val="36"/>
          <w:szCs w:val="36"/>
          <w:lang w:eastAsia="sk-SK"/>
        </w:rPr>
        <w:t xml:space="preserve"> </w:t>
      </w:r>
    </w:p>
    <w:p w14:paraId="336615E3" w14:textId="684FBFB5" w:rsidR="00AE47CD" w:rsidRPr="00AE47CD" w:rsidRDefault="00AE47CD" w:rsidP="00AE47CD">
      <w:pPr>
        <w:spacing w:before="100" w:beforeAutospacing="1" w:after="100" w:afterAutospacing="1" w:line="240" w:lineRule="auto"/>
        <w:rPr>
          <w:rFonts w:eastAsiaTheme="minorEastAsia" w:cstheme="minorHAnsi"/>
          <w:sz w:val="24"/>
          <w:szCs w:val="24"/>
          <w:lang w:eastAsia="sk-SK"/>
        </w:rPr>
      </w:pPr>
      <w:r w:rsidRPr="007624FD">
        <w:rPr>
          <w:rFonts w:eastAsiaTheme="minorEastAsia" w:cstheme="minorHAnsi"/>
          <w:b/>
          <w:bCs/>
          <w:sz w:val="24"/>
          <w:szCs w:val="24"/>
          <w:lang w:eastAsia="sk-SK"/>
        </w:rPr>
        <w:t>Zámer:</w:t>
      </w:r>
      <w:r w:rsidRPr="00AE47CD">
        <w:rPr>
          <w:rFonts w:eastAsiaTheme="minorEastAsia" w:cstheme="minorHAnsi"/>
          <w:sz w:val="24"/>
          <w:szCs w:val="24"/>
          <w:lang w:eastAsia="sk-SK"/>
        </w:rPr>
        <w:t xml:space="preserve"> Plynulý a efektívny chod </w:t>
      </w:r>
      <w:r w:rsidR="004E3214">
        <w:rPr>
          <w:rFonts w:eastAsiaTheme="minorEastAsia" w:cstheme="minorHAnsi"/>
          <w:sz w:val="24"/>
          <w:szCs w:val="24"/>
          <w:lang w:eastAsia="sk-SK"/>
        </w:rPr>
        <w:t>Ú</w:t>
      </w:r>
      <w:r w:rsidRPr="00AE47CD">
        <w:rPr>
          <w:rFonts w:eastAsiaTheme="minorEastAsia" w:cstheme="minorHAnsi"/>
          <w:sz w:val="24"/>
          <w:szCs w:val="24"/>
          <w:lang w:eastAsia="sk-SK"/>
        </w:rPr>
        <w:t>radu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72"/>
        <w:gridCol w:w="2053"/>
        <w:gridCol w:w="1478"/>
        <w:gridCol w:w="1478"/>
        <w:gridCol w:w="700"/>
        <w:gridCol w:w="1478"/>
        <w:gridCol w:w="649"/>
        <w:gridCol w:w="1478"/>
        <w:gridCol w:w="664"/>
      </w:tblGrid>
      <w:tr w:rsidR="00AE47CD" w:rsidRPr="00AE47CD" w14:paraId="4F9314DC" w14:textId="77777777" w:rsidTr="0090478F">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626394" w14:textId="77777777" w:rsidR="00AE47CD" w:rsidRPr="00AE47CD" w:rsidRDefault="00AE47CD" w:rsidP="00AE47CD">
            <w:pPr>
              <w:spacing w:after="0" w:line="240" w:lineRule="auto"/>
              <w:jc w:val="center"/>
              <w:rPr>
                <w:rFonts w:eastAsia="Times New Roman" w:cstheme="minorHAnsi"/>
                <w:sz w:val="24"/>
                <w:szCs w:val="24"/>
                <w:lang w:eastAsia="sk-SK"/>
              </w:rPr>
            </w:pPr>
            <w:r w:rsidRPr="00AE47CD">
              <w:rPr>
                <w:rFonts w:eastAsia="Times New Roman" w:cstheme="minorHAnsi"/>
                <w:i/>
                <w:iCs/>
                <w:sz w:val="24"/>
                <w:szCs w:val="24"/>
                <w:lang w:eastAsia="sk-SK"/>
              </w:rPr>
              <w:t>Rozpočet v EUR</w:t>
            </w:r>
          </w:p>
        </w:tc>
      </w:tr>
      <w:tr w:rsidR="00462021" w:rsidRPr="00833135" w14:paraId="697E65FE" w14:textId="77777777" w:rsidTr="00FE69D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8940B92" w14:textId="77777777" w:rsidR="00462021" w:rsidRPr="00AE47CD" w:rsidRDefault="00462021" w:rsidP="00462021">
            <w:pPr>
              <w:spacing w:after="0" w:line="240" w:lineRule="auto"/>
              <w:rPr>
                <w:rFonts w:eastAsia="Times New Roman" w:cstheme="minorHAnsi"/>
                <w:b/>
                <w:bCs/>
                <w:sz w:val="24"/>
                <w:szCs w:val="24"/>
                <w:lang w:eastAsia="sk-SK"/>
              </w:rPr>
            </w:pPr>
            <w:r w:rsidRPr="00AE47CD">
              <w:rPr>
                <w:rFonts w:eastAsia="Times New Roman" w:cstheme="minorHAnsi"/>
                <w:b/>
                <w:bCs/>
                <w:sz w:val="20"/>
                <w:szCs w:val="20"/>
                <w:lang w:eastAsia="sk-SK"/>
              </w:rPr>
              <w:t>EK</w:t>
            </w:r>
          </w:p>
        </w:tc>
        <w:tc>
          <w:tcPr>
            <w:tcW w:w="96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8CBD1A" w14:textId="77777777" w:rsidR="00462021" w:rsidRPr="00AE47CD" w:rsidRDefault="00462021" w:rsidP="00462021">
            <w:pPr>
              <w:spacing w:after="0" w:line="240" w:lineRule="auto"/>
              <w:rPr>
                <w:rFonts w:eastAsia="Times New Roman" w:cstheme="minorHAnsi"/>
                <w:b/>
                <w:bCs/>
                <w:sz w:val="24"/>
                <w:szCs w:val="24"/>
                <w:lang w:eastAsia="sk-SK"/>
              </w:rPr>
            </w:pPr>
            <w:r w:rsidRPr="00AE47CD">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C3F58DA" w14:textId="1A354583" w:rsidR="00462021" w:rsidRPr="00AE47CD" w:rsidRDefault="00462021" w:rsidP="00462021">
            <w:pPr>
              <w:spacing w:after="0" w:line="240" w:lineRule="auto"/>
              <w:jc w:val="center"/>
              <w:rPr>
                <w:rFonts w:eastAsia="Times New Roman" w:cstheme="minorHAnsi"/>
                <w:b/>
                <w:bCs/>
                <w:sz w:val="24"/>
                <w:szCs w:val="24"/>
                <w:lang w:eastAsia="sk-SK"/>
              </w:rPr>
            </w:pPr>
            <w:r w:rsidRPr="00AE47CD">
              <w:rPr>
                <w:rFonts w:eastAsia="Times New Roman" w:cstheme="minorHAns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54064D6" w14:textId="61D2F5CC" w:rsidR="00462021" w:rsidRPr="00AE47CD" w:rsidRDefault="00462021" w:rsidP="00462021">
            <w:pPr>
              <w:spacing w:after="0" w:line="240" w:lineRule="auto"/>
              <w:jc w:val="center"/>
              <w:rPr>
                <w:rFonts w:eastAsia="Times New Roman" w:cstheme="minorHAnsi"/>
                <w:b/>
                <w:bCs/>
                <w:sz w:val="24"/>
                <w:szCs w:val="24"/>
                <w:lang w:eastAsia="sk-SK"/>
              </w:rPr>
            </w:pPr>
            <w:r w:rsidRPr="00121894">
              <w:rPr>
                <w:rFonts w:ascii="Calibri" w:eastAsia="Times New Roman" w:hAnsi="Calibri" w:cs="Calibri"/>
                <w:b/>
                <w:bCs/>
                <w:sz w:val="20"/>
                <w:szCs w:val="20"/>
              </w:rPr>
              <w:t>2025</w:t>
            </w:r>
          </w:p>
        </w:tc>
        <w:tc>
          <w:tcPr>
            <w:tcW w:w="3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691DB6" w14:textId="44F1F139" w:rsidR="00462021" w:rsidRPr="00AE47CD" w:rsidRDefault="00462021" w:rsidP="00462021">
            <w:pPr>
              <w:spacing w:after="0" w:line="240" w:lineRule="auto"/>
              <w:jc w:val="center"/>
              <w:rPr>
                <w:rFonts w:eastAsia="Times New Roman" w:cstheme="minorHAnsi"/>
                <w:b/>
                <w:bCs/>
                <w:sz w:val="24"/>
                <w:szCs w:val="24"/>
                <w:lang w:eastAsia="sk-SK"/>
              </w:rPr>
            </w:pPr>
            <w:r w:rsidRPr="00121894">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5A5C341" w14:textId="30F83EA2" w:rsidR="00462021" w:rsidRPr="00AE47CD" w:rsidRDefault="00462021" w:rsidP="00462021">
            <w:pPr>
              <w:spacing w:after="0" w:line="240" w:lineRule="auto"/>
              <w:jc w:val="center"/>
              <w:rPr>
                <w:rFonts w:eastAsia="Times New Roman" w:cstheme="minorHAnsi"/>
                <w:b/>
                <w:bCs/>
                <w:sz w:val="24"/>
                <w:szCs w:val="24"/>
                <w:lang w:eastAsia="sk-SK"/>
              </w:rPr>
            </w:pPr>
            <w:r w:rsidRPr="00121894">
              <w:rPr>
                <w:rFonts w:ascii="Calibri" w:eastAsia="Times New Roman" w:hAnsi="Calibri" w:cs="Calibri"/>
                <w:b/>
                <w:bCs/>
                <w:sz w:val="20"/>
                <w:szCs w:val="20"/>
              </w:rPr>
              <w:t>2026</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3408348" w14:textId="73077D82" w:rsidR="00462021" w:rsidRPr="00AE47CD" w:rsidRDefault="00462021" w:rsidP="00462021">
            <w:pPr>
              <w:spacing w:after="0" w:line="240" w:lineRule="auto"/>
              <w:jc w:val="center"/>
              <w:rPr>
                <w:rFonts w:eastAsia="Times New Roman" w:cstheme="minorHAnsi"/>
                <w:b/>
                <w:bCs/>
                <w:sz w:val="24"/>
                <w:szCs w:val="24"/>
                <w:lang w:eastAsia="sk-SK"/>
              </w:rPr>
            </w:pPr>
            <w:r w:rsidRPr="00121894">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CF945F0" w14:textId="60AFC03A" w:rsidR="00462021" w:rsidRPr="00AE47CD" w:rsidRDefault="00462021" w:rsidP="00462021">
            <w:pPr>
              <w:spacing w:after="0" w:line="240" w:lineRule="auto"/>
              <w:jc w:val="center"/>
              <w:rPr>
                <w:rFonts w:eastAsia="Times New Roman" w:cstheme="minorHAnsi"/>
                <w:b/>
                <w:bCs/>
                <w:sz w:val="24"/>
                <w:szCs w:val="24"/>
                <w:lang w:eastAsia="sk-SK"/>
              </w:rPr>
            </w:pPr>
            <w:r w:rsidRPr="00121894">
              <w:rPr>
                <w:rFonts w:ascii="Calibri" w:eastAsia="Times New Roman" w:hAnsi="Calibri" w:cs="Calibri"/>
                <w:b/>
                <w:bCs/>
                <w:sz w:val="20"/>
                <w:szCs w:val="20"/>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FCC780" w14:textId="123C2741" w:rsidR="00462021" w:rsidRPr="00AE47CD" w:rsidRDefault="00462021" w:rsidP="00462021">
            <w:pPr>
              <w:spacing w:after="0" w:line="240" w:lineRule="auto"/>
              <w:jc w:val="center"/>
              <w:rPr>
                <w:rFonts w:eastAsia="Times New Roman" w:cstheme="minorHAnsi"/>
                <w:b/>
                <w:bCs/>
                <w:sz w:val="24"/>
                <w:szCs w:val="24"/>
                <w:lang w:eastAsia="sk-SK"/>
              </w:rPr>
            </w:pPr>
            <w:r w:rsidRPr="00121894">
              <w:rPr>
                <w:rFonts w:ascii="Calibri" w:eastAsia="Times New Roman" w:hAnsi="Calibri" w:cs="Calibri"/>
                <w:b/>
                <w:bCs/>
                <w:sz w:val="20"/>
                <w:szCs w:val="20"/>
              </w:rPr>
              <w:t>%</w:t>
            </w:r>
          </w:p>
        </w:tc>
      </w:tr>
      <w:tr w:rsidR="00FE69DF" w:rsidRPr="00833135" w14:paraId="4D07AB58" w14:textId="77777777" w:rsidTr="00FE69D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1BC214" w14:textId="77777777" w:rsidR="00FE69DF" w:rsidRPr="00AE47CD" w:rsidRDefault="00FE69DF" w:rsidP="00FE69DF">
            <w:pPr>
              <w:spacing w:after="0" w:line="240" w:lineRule="auto"/>
              <w:jc w:val="center"/>
              <w:rPr>
                <w:rFonts w:eastAsia="Times New Roman" w:cstheme="minorHAnsi"/>
                <w:b/>
                <w:bCs/>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F135F6" w14:textId="77777777" w:rsidR="00FE69DF" w:rsidRPr="00AE47CD" w:rsidRDefault="00FE69DF" w:rsidP="00FE69DF">
            <w:pPr>
              <w:spacing w:after="0" w:line="240" w:lineRule="auto"/>
              <w:rPr>
                <w:rFonts w:eastAsia="Times New Roman" w:cstheme="minorHAnsi"/>
                <w:b/>
                <w:bCs/>
                <w:sz w:val="24"/>
                <w:szCs w:val="24"/>
                <w:lang w:eastAsia="sk-SK"/>
              </w:rPr>
            </w:pPr>
            <w:r w:rsidRPr="00AE47CD">
              <w:rPr>
                <w:rFonts w:eastAsia="Times New Roman" w:cstheme="minorHAnsi"/>
                <w:b/>
                <w:bCs/>
                <w:sz w:val="20"/>
                <w:szCs w:val="20"/>
                <w:lang w:eastAsia="sk-SK"/>
              </w:rPr>
              <w:t>Výdavky celkom</w:t>
            </w:r>
            <w:r w:rsidRPr="00AE47CD">
              <w:rPr>
                <w:rFonts w:eastAsia="Times New Roman" w:cstheme="minorHAnsi"/>
                <w:b/>
                <w:bCs/>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AFD6CB" w14:textId="26F0D7AD" w:rsidR="00FE69DF" w:rsidRPr="00FE7A86" w:rsidRDefault="00FE69DF" w:rsidP="00FE69DF">
            <w:pPr>
              <w:spacing w:after="0" w:line="240" w:lineRule="auto"/>
              <w:jc w:val="right"/>
              <w:rPr>
                <w:rFonts w:eastAsia="Times New Roman" w:cstheme="minorHAnsi"/>
                <w:b/>
                <w:bCs/>
                <w:sz w:val="20"/>
                <w:szCs w:val="20"/>
                <w:lang w:eastAsia="sk-SK"/>
              </w:rPr>
            </w:pPr>
            <w:r w:rsidRPr="00FE7A86">
              <w:rPr>
                <w:rFonts w:eastAsia="Times New Roman" w:cstheme="minorHAnsi"/>
                <w:b/>
                <w:bCs/>
                <w:sz w:val="20"/>
                <w:szCs w:val="20"/>
                <w:lang w:eastAsia="sk-SK"/>
              </w:rPr>
              <w:t xml:space="preserve">23 454 784,00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CFD49B" w14:textId="70C70A26"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21 426 272,00</w:t>
            </w:r>
            <w:r w:rsidRPr="00E0584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1C1440" w14:textId="2C963AEB"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91,35</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41C233" w14:textId="4EEABF62"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22 799 272,00</w:t>
            </w:r>
            <w:r w:rsidRPr="00E0584D">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9C40E8C" w14:textId="52234D13"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106,41</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6ED99E" w14:textId="441523AD" w:rsidR="00FE69DF" w:rsidRPr="00FE7A86" w:rsidRDefault="00FE69DF" w:rsidP="00FE69DF">
            <w:pPr>
              <w:spacing w:after="0" w:line="240" w:lineRule="auto"/>
              <w:jc w:val="right"/>
              <w:rPr>
                <w:rFonts w:eastAsia="Times New Roman" w:cstheme="minorHAnsi"/>
                <w:b/>
                <w:bCs/>
                <w:sz w:val="20"/>
                <w:szCs w:val="20"/>
                <w:lang w:eastAsia="sk-SK"/>
              </w:rPr>
            </w:pPr>
            <w:r w:rsidRPr="00FE7A86">
              <w:rPr>
                <w:rFonts w:ascii="Calibri" w:eastAsia="Times New Roman" w:hAnsi="Calibri" w:cs="Calibri"/>
                <w:b/>
                <w:bCs/>
                <w:sz w:val="20"/>
                <w:szCs w:val="20"/>
              </w:rPr>
              <w:t>30 912 272,00</w:t>
            </w:r>
            <w:r w:rsidRPr="00FE7A86">
              <w:rPr>
                <w:rFonts w:ascii="Calibri" w:eastAsia="Times New Roman" w:hAnsi="Calibri" w:cs="Calibri"/>
                <w:sz w:val="20"/>
                <w:szCs w:val="20"/>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9F442F" w14:textId="678C0989" w:rsidR="00FE69DF" w:rsidRPr="00FE7A86" w:rsidRDefault="00FE69DF" w:rsidP="00FE69DF">
            <w:pPr>
              <w:spacing w:after="0" w:line="240" w:lineRule="auto"/>
              <w:jc w:val="right"/>
              <w:rPr>
                <w:rFonts w:eastAsia="Times New Roman" w:cstheme="minorHAnsi"/>
                <w:b/>
                <w:bCs/>
                <w:sz w:val="20"/>
                <w:szCs w:val="20"/>
                <w:lang w:eastAsia="sk-SK"/>
              </w:rPr>
            </w:pPr>
            <w:r w:rsidRPr="00FE7A86">
              <w:rPr>
                <w:rFonts w:ascii="Calibri" w:eastAsia="Times New Roman" w:hAnsi="Calibri" w:cs="Calibri"/>
                <w:b/>
                <w:bCs/>
                <w:sz w:val="20"/>
                <w:szCs w:val="20"/>
              </w:rPr>
              <w:t>135,58</w:t>
            </w:r>
            <w:r w:rsidRPr="00FE7A86">
              <w:rPr>
                <w:rFonts w:ascii="Calibri" w:eastAsia="Times New Roman" w:hAnsi="Calibri" w:cs="Calibri"/>
                <w:sz w:val="20"/>
                <w:szCs w:val="20"/>
              </w:rPr>
              <w:t xml:space="preserve"> </w:t>
            </w:r>
          </w:p>
        </w:tc>
      </w:tr>
      <w:tr w:rsidR="00FE69DF" w:rsidRPr="00833135" w14:paraId="3635D99A" w14:textId="77777777" w:rsidTr="00FE69D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453ADE" w14:textId="77777777" w:rsidR="00FE69DF" w:rsidRPr="00AE47CD" w:rsidRDefault="00FE69DF" w:rsidP="00FE69DF">
            <w:pPr>
              <w:spacing w:after="0" w:line="240" w:lineRule="auto"/>
              <w:rPr>
                <w:rFonts w:eastAsia="Times New Roman" w:cstheme="minorHAnsi"/>
                <w:b/>
                <w:bCs/>
                <w:sz w:val="24"/>
                <w:szCs w:val="24"/>
                <w:lang w:eastAsia="sk-SK"/>
              </w:rPr>
            </w:pPr>
            <w:r w:rsidRPr="00AE47CD">
              <w:rPr>
                <w:rFonts w:eastAsia="Times New Roman" w:cstheme="minorHAnsi"/>
                <w:b/>
                <w:bCs/>
                <w:sz w:val="20"/>
                <w:szCs w:val="20"/>
                <w:lang w:eastAsia="sk-SK"/>
              </w:rPr>
              <w:t>600</w:t>
            </w:r>
            <w:r w:rsidRPr="00AE47CD">
              <w:rPr>
                <w:rFonts w:eastAsia="Times New Roman" w:cstheme="minorHAnsi"/>
                <w:b/>
                <w:bCs/>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F01FB5" w14:textId="77777777" w:rsidR="00FE69DF" w:rsidRPr="00AE47CD" w:rsidRDefault="00FE69DF" w:rsidP="00FE69DF">
            <w:pPr>
              <w:spacing w:after="0" w:line="240" w:lineRule="auto"/>
              <w:rPr>
                <w:rFonts w:eastAsia="Times New Roman" w:cstheme="minorHAnsi"/>
                <w:b/>
                <w:bCs/>
                <w:sz w:val="24"/>
                <w:szCs w:val="24"/>
                <w:lang w:eastAsia="sk-SK"/>
              </w:rPr>
            </w:pPr>
            <w:r w:rsidRPr="00AE47CD">
              <w:rPr>
                <w:rFonts w:eastAsia="Times New Roman" w:cstheme="minorHAnsi"/>
                <w:b/>
                <w:bCs/>
                <w:sz w:val="20"/>
                <w:szCs w:val="20"/>
                <w:lang w:eastAsia="sk-SK"/>
              </w:rPr>
              <w:t>Bežné výdavky</w:t>
            </w:r>
            <w:r w:rsidRPr="00AE47CD">
              <w:rPr>
                <w:rFonts w:eastAsia="Times New Roman" w:cstheme="minorHAnsi"/>
                <w:b/>
                <w:bCs/>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FD1A0C" w14:textId="00086191" w:rsidR="00FE69DF" w:rsidRPr="00FE7A86" w:rsidRDefault="00FE69DF" w:rsidP="00FE69DF">
            <w:pPr>
              <w:spacing w:after="0" w:line="240" w:lineRule="auto"/>
              <w:jc w:val="right"/>
              <w:rPr>
                <w:rFonts w:eastAsia="Times New Roman" w:cstheme="minorHAnsi"/>
                <w:b/>
                <w:bCs/>
                <w:sz w:val="20"/>
                <w:szCs w:val="20"/>
                <w:lang w:eastAsia="sk-SK"/>
              </w:rPr>
            </w:pPr>
            <w:r w:rsidRPr="00FE7A86">
              <w:rPr>
                <w:rFonts w:eastAsia="Times New Roman" w:cstheme="minorHAnsi"/>
                <w:b/>
                <w:bCs/>
                <w:sz w:val="20"/>
                <w:szCs w:val="20"/>
                <w:lang w:eastAsia="sk-SK"/>
              </w:rPr>
              <w:t xml:space="preserve">6 825 572,00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DD4082" w14:textId="44CB0A58"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8 571 272,00</w:t>
            </w:r>
            <w:r w:rsidRPr="00E0584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00A8B3" w14:textId="2E09754C"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125,58</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549D0B" w14:textId="784F2D5E"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8 524 272,00</w:t>
            </w:r>
            <w:r w:rsidRPr="00E0584D">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196373" w14:textId="763F8560"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99,45</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08EBF3" w14:textId="01695452" w:rsidR="00FE69DF" w:rsidRPr="00FE7A86" w:rsidRDefault="00FE69DF" w:rsidP="00FE69DF">
            <w:pPr>
              <w:spacing w:after="0" w:line="240" w:lineRule="auto"/>
              <w:jc w:val="right"/>
              <w:rPr>
                <w:rFonts w:eastAsia="Times New Roman" w:cstheme="minorHAnsi"/>
                <w:b/>
                <w:bCs/>
                <w:sz w:val="20"/>
                <w:szCs w:val="20"/>
                <w:lang w:eastAsia="sk-SK"/>
              </w:rPr>
            </w:pPr>
            <w:r w:rsidRPr="00FE7A86">
              <w:rPr>
                <w:rFonts w:ascii="Calibri" w:eastAsia="Times New Roman" w:hAnsi="Calibri" w:cs="Calibri"/>
                <w:b/>
                <w:bCs/>
                <w:sz w:val="20"/>
                <w:szCs w:val="20"/>
              </w:rPr>
              <w:t>8 537 272,00</w:t>
            </w:r>
            <w:r w:rsidRPr="00FE7A86">
              <w:rPr>
                <w:rFonts w:ascii="Calibri" w:eastAsia="Times New Roman" w:hAnsi="Calibri" w:cs="Calibri"/>
                <w:sz w:val="20"/>
                <w:szCs w:val="20"/>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8509376" w14:textId="308D209D" w:rsidR="00FE69DF" w:rsidRPr="00FE7A86" w:rsidRDefault="00FE69DF" w:rsidP="00FE69DF">
            <w:pPr>
              <w:spacing w:after="0" w:line="240" w:lineRule="auto"/>
              <w:jc w:val="right"/>
              <w:rPr>
                <w:rFonts w:eastAsia="Times New Roman" w:cstheme="minorHAnsi"/>
                <w:b/>
                <w:bCs/>
                <w:sz w:val="20"/>
                <w:szCs w:val="20"/>
                <w:lang w:eastAsia="sk-SK"/>
              </w:rPr>
            </w:pPr>
            <w:r w:rsidRPr="00FE7A86">
              <w:rPr>
                <w:rFonts w:ascii="Calibri" w:eastAsia="Times New Roman" w:hAnsi="Calibri" w:cs="Calibri"/>
                <w:b/>
                <w:bCs/>
                <w:sz w:val="20"/>
                <w:szCs w:val="20"/>
              </w:rPr>
              <w:t>100,15</w:t>
            </w:r>
            <w:r w:rsidRPr="00FE7A86">
              <w:rPr>
                <w:rFonts w:ascii="Calibri" w:eastAsia="Times New Roman" w:hAnsi="Calibri" w:cs="Calibri"/>
                <w:sz w:val="20"/>
                <w:szCs w:val="20"/>
              </w:rPr>
              <w:t xml:space="preserve"> </w:t>
            </w:r>
          </w:p>
        </w:tc>
      </w:tr>
      <w:tr w:rsidR="00FE69DF" w:rsidRPr="00AE47CD" w14:paraId="5597DA43" w14:textId="77777777" w:rsidTr="00FE69D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E9CA94" w14:textId="77777777" w:rsidR="00FE69DF" w:rsidRPr="00AE47CD" w:rsidRDefault="00FE69DF" w:rsidP="00FE69DF">
            <w:pPr>
              <w:spacing w:after="0" w:line="240" w:lineRule="auto"/>
              <w:rPr>
                <w:rFonts w:eastAsia="Times New Roman" w:cstheme="minorHAnsi"/>
                <w:sz w:val="24"/>
                <w:szCs w:val="24"/>
                <w:lang w:eastAsia="sk-SK"/>
              </w:rPr>
            </w:pPr>
            <w:r w:rsidRPr="00AE47CD">
              <w:rPr>
                <w:rFonts w:eastAsia="Times New Roman" w:cstheme="minorHAnsi"/>
                <w:sz w:val="20"/>
                <w:szCs w:val="20"/>
                <w:lang w:eastAsia="sk-SK"/>
              </w:rPr>
              <w:t>630</w:t>
            </w:r>
            <w:r w:rsidRPr="00AE47CD">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0D5D3F" w14:textId="77777777" w:rsidR="00FE69DF" w:rsidRPr="00AE47CD" w:rsidRDefault="00FE69DF" w:rsidP="00FE69DF">
            <w:pPr>
              <w:spacing w:after="0" w:line="240" w:lineRule="auto"/>
              <w:rPr>
                <w:rFonts w:eastAsia="Times New Roman" w:cstheme="minorHAnsi"/>
                <w:sz w:val="24"/>
                <w:szCs w:val="24"/>
                <w:lang w:eastAsia="sk-SK"/>
              </w:rPr>
            </w:pPr>
            <w:r w:rsidRPr="00AE47CD">
              <w:rPr>
                <w:rFonts w:eastAsia="Times New Roman" w:cstheme="minorHAnsi"/>
                <w:sz w:val="20"/>
                <w:szCs w:val="20"/>
                <w:lang w:eastAsia="sk-SK"/>
              </w:rPr>
              <w:t>Tovary a služby</w:t>
            </w:r>
            <w:r w:rsidRPr="00AE47CD">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BEE652" w14:textId="29E5BFA6" w:rsidR="00FE69DF" w:rsidRPr="00FE7A86" w:rsidRDefault="00FE69DF" w:rsidP="00FE69DF">
            <w:pPr>
              <w:spacing w:after="0" w:line="240" w:lineRule="auto"/>
              <w:jc w:val="right"/>
              <w:rPr>
                <w:rFonts w:eastAsia="Times New Roman" w:cstheme="minorHAnsi"/>
                <w:sz w:val="20"/>
                <w:szCs w:val="20"/>
                <w:lang w:eastAsia="sk-SK"/>
              </w:rPr>
            </w:pPr>
            <w:r w:rsidRPr="00FE7A86">
              <w:rPr>
                <w:rFonts w:eastAsia="Times New Roman" w:cstheme="minorHAnsi"/>
                <w:sz w:val="20"/>
                <w:szCs w:val="20"/>
                <w:lang w:eastAsia="sk-SK"/>
              </w:rPr>
              <w:t xml:space="preserve">4 129 572,00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96A69D" w14:textId="78DA0238"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4 461 272,00</w:t>
            </w:r>
            <w:r w:rsidRPr="00E0584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1D82B22C" w14:textId="727EBCF3"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108,03</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9FA135B" w14:textId="0AC08E28"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4 414 272,00</w:t>
            </w:r>
            <w:r w:rsidRPr="00E0584D">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9C56DF0" w14:textId="454BE63E"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98,95</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176EE6" w14:textId="19B82632" w:rsidR="00FE69DF" w:rsidRPr="00FE7A86" w:rsidRDefault="00FE69DF" w:rsidP="00FE69DF">
            <w:pPr>
              <w:spacing w:after="0" w:line="240" w:lineRule="auto"/>
              <w:jc w:val="right"/>
              <w:rPr>
                <w:rFonts w:eastAsia="Times New Roman" w:cstheme="minorHAnsi"/>
                <w:sz w:val="20"/>
                <w:szCs w:val="20"/>
                <w:lang w:eastAsia="sk-SK"/>
              </w:rPr>
            </w:pPr>
            <w:r w:rsidRPr="00FE7A86">
              <w:rPr>
                <w:rFonts w:ascii="Calibri" w:eastAsia="Times New Roman" w:hAnsi="Calibri" w:cs="Calibri"/>
                <w:sz w:val="20"/>
                <w:szCs w:val="20"/>
              </w:rPr>
              <w:t xml:space="preserve">4 427 272,00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C0637CF" w14:textId="708D4670" w:rsidR="00FE69DF" w:rsidRPr="00FE7A86" w:rsidRDefault="00FE69DF" w:rsidP="00FE69DF">
            <w:pPr>
              <w:spacing w:after="0" w:line="240" w:lineRule="auto"/>
              <w:jc w:val="right"/>
              <w:rPr>
                <w:rFonts w:eastAsia="Times New Roman" w:cstheme="minorHAnsi"/>
                <w:sz w:val="20"/>
                <w:szCs w:val="20"/>
                <w:lang w:eastAsia="sk-SK"/>
              </w:rPr>
            </w:pPr>
            <w:r w:rsidRPr="00FE7A86">
              <w:rPr>
                <w:rFonts w:ascii="Calibri" w:eastAsia="Times New Roman" w:hAnsi="Calibri" w:cs="Calibri"/>
                <w:sz w:val="20"/>
                <w:szCs w:val="20"/>
              </w:rPr>
              <w:t xml:space="preserve">100,29 </w:t>
            </w:r>
          </w:p>
        </w:tc>
      </w:tr>
      <w:tr w:rsidR="00FE69DF" w:rsidRPr="00AE47CD" w14:paraId="2D6D41F5" w14:textId="77777777" w:rsidTr="00FE69D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9D22EB" w14:textId="77777777" w:rsidR="00FE69DF" w:rsidRPr="00AE47CD" w:rsidRDefault="00FE69DF" w:rsidP="00FE69DF">
            <w:pPr>
              <w:spacing w:after="0" w:line="240" w:lineRule="auto"/>
              <w:rPr>
                <w:rFonts w:eastAsia="Times New Roman" w:cstheme="minorHAnsi"/>
                <w:sz w:val="24"/>
                <w:szCs w:val="24"/>
                <w:lang w:eastAsia="sk-SK"/>
              </w:rPr>
            </w:pPr>
            <w:r w:rsidRPr="00AE47CD">
              <w:rPr>
                <w:rFonts w:eastAsia="Times New Roman" w:cstheme="minorHAnsi"/>
                <w:sz w:val="20"/>
                <w:szCs w:val="20"/>
                <w:lang w:eastAsia="sk-SK"/>
              </w:rPr>
              <w:t>640</w:t>
            </w:r>
            <w:r w:rsidRPr="00AE47CD">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515E66" w14:textId="77777777" w:rsidR="00FE69DF" w:rsidRPr="00AE47CD" w:rsidRDefault="00FE69DF" w:rsidP="00FE69DF">
            <w:pPr>
              <w:spacing w:after="0" w:line="240" w:lineRule="auto"/>
              <w:rPr>
                <w:rFonts w:eastAsia="Times New Roman" w:cstheme="minorHAnsi"/>
                <w:sz w:val="24"/>
                <w:szCs w:val="24"/>
                <w:lang w:eastAsia="sk-SK"/>
              </w:rPr>
            </w:pPr>
            <w:r w:rsidRPr="00AE47CD">
              <w:rPr>
                <w:rFonts w:eastAsia="Times New Roman" w:cstheme="minorHAnsi"/>
                <w:sz w:val="20"/>
                <w:szCs w:val="20"/>
                <w:lang w:eastAsia="sk-SK"/>
              </w:rPr>
              <w:t>Bežné transfery</w:t>
            </w:r>
            <w:r w:rsidRPr="00AE47CD">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9F3E67" w14:textId="13B51E0B" w:rsidR="00FE69DF" w:rsidRPr="00FE7A86" w:rsidRDefault="00FE69DF" w:rsidP="00FE69DF">
            <w:pPr>
              <w:spacing w:after="0" w:line="240" w:lineRule="auto"/>
              <w:jc w:val="right"/>
              <w:rPr>
                <w:rFonts w:eastAsia="Times New Roman" w:cstheme="minorHAnsi"/>
                <w:sz w:val="20"/>
                <w:szCs w:val="20"/>
                <w:lang w:eastAsia="sk-SK"/>
              </w:rPr>
            </w:pPr>
            <w:r w:rsidRPr="00FE7A86">
              <w:rPr>
                <w:rFonts w:eastAsia="Times New Roman" w:cstheme="minorHAnsi"/>
                <w:sz w:val="20"/>
                <w:szCs w:val="20"/>
                <w:lang w:eastAsia="sk-SK"/>
              </w:rPr>
              <w:t xml:space="preserve">2 696 000,00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29DCF8" w14:textId="479CD314"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4 110 000,00</w:t>
            </w:r>
            <w:r w:rsidRPr="00E0584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350EF0FC" w14:textId="38C35F8D"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152,45</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93FB3B0" w14:textId="2F82D0E2"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4 110 000,00</w:t>
            </w:r>
            <w:r w:rsidRPr="00E0584D">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BDD2CFF" w14:textId="7C2E337F"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100,00</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F14061C" w14:textId="78AEBD1A" w:rsidR="00FE69DF" w:rsidRPr="00FE7A86" w:rsidRDefault="00FE69DF" w:rsidP="00FE69DF">
            <w:pPr>
              <w:spacing w:after="0" w:line="240" w:lineRule="auto"/>
              <w:jc w:val="right"/>
              <w:rPr>
                <w:rFonts w:eastAsia="Times New Roman" w:cstheme="minorHAnsi"/>
                <w:sz w:val="20"/>
                <w:szCs w:val="20"/>
                <w:lang w:eastAsia="sk-SK"/>
              </w:rPr>
            </w:pPr>
            <w:r w:rsidRPr="00FE7A86">
              <w:rPr>
                <w:rFonts w:ascii="Calibri" w:eastAsia="Times New Roman" w:hAnsi="Calibri" w:cs="Calibri"/>
                <w:sz w:val="20"/>
                <w:szCs w:val="20"/>
              </w:rPr>
              <w:t xml:space="preserve">4 110 000,00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2E3B20FC" w14:textId="364A7BEA" w:rsidR="00FE69DF" w:rsidRPr="00FE7A86" w:rsidRDefault="00FE69DF" w:rsidP="00FE69DF">
            <w:pPr>
              <w:spacing w:after="0" w:line="240" w:lineRule="auto"/>
              <w:jc w:val="right"/>
              <w:rPr>
                <w:rFonts w:eastAsia="Times New Roman" w:cstheme="minorHAnsi"/>
                <w:sz w:val="20"/>
                <w:szCs w:val="20"/>
                <w:lang w:eastAsia="sk-SK"/>
              </w:rPr>
            </w:pPr>
            <w:r w:rsidRPr="00FE7A86">
              <w:rPr>
                <w:rFonts w:ascii="Calibri" w:eastAsia="Times New Roman" w:hAnsi="Calibri" w:cs="Calibri"/>
                <w:sz w:val="20"/>
                <w:szCs w:val="20"/>
              </w:rPr>
              <w:t xml:space="preserve">100,00 </w:t>
            </w:r>
          </w:p>
        </w:tc>
      </w:tr>
      <w:tr w:rsidR="00FE69DF" w:rsidRPr="00833135" w14:paraId="2D0110B5" w14:textId="77777777" w:rsidTr="00FE69D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8828BF" w14:textId="77777777" w:rsidR="00FE69DF" w:rsidRPr="00AE47CD" w:rsidRDefault="00FE69DF" w:rsidP="00FE69DF">
            <w:pPr>
              <w:spacing w:after="0" w:line="240" w:lineRule="auto"/>
              <w:rPr>
                <w:rFonts w:eastAsia="Times New Roman" w:cstheme="minorHAnsi"/>
                <w:b/>
                <w:bCs/>
                <w:sz w:val="24"/>
                <w:szCs w:val="24"/>
                <w:lang w:eastAsia="sk-SK"/>
              </w:rPr>
            </w:pPr>
            <w:r w:rsidRPr="00AE47CD">
              <w:rPr>
                <w:rFonts w:eastAsia="Times New Roman" w:cstheme="minorHAnsi"/>
                <w:b/>
                <w:bCs/>
                <w:sz w:val="20"/>
                <w:szCs w:val="20"/>
                <w:lang w:eastAsia="sk-SK"/>
              </w:rPr>
              <w:t>700</w:t>
            </w:r>
            <w:r w:rsidRPr="00AE47CD">
              <w:rPr>
                <w:rFonts w:eastAsia="Times New Roman" w:cstheme="minorHAnsi"/>
                <w:b/>
                <w:bCs/>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9011F0" w14:textId="77777777" w:rsidR="00FE69DF" w:rsidRPr="00AE47CD" w:rsidRDefault="00FE69DF" w:rsidP="00FE69DF">
            <w:pPr>
              <w:spacing w:after="0" w:line="240" w:lineRule="auto"/>
              <w:rPr>
                <w:rFonts w:eastAsia="Times New Roman" w:cstheme="minorHAnsi"/>
                <w:b/>
                <w:bCs/>
                <w:sz w:val="24"/>
                <w:szCs w:val="24"/>
                <w:lang w:eastAsia="sk-SK"/>
              </w:rPr>
            </w:pPr>
            <w:r w:rsidRPr="00AE47CD">
              <w:rPr>
                <w:rFonts w:eastAsia="Times New Roman" w:cstheme="minorHAnsi"/>
                <w:b/>
                <w:bCs/>
                <w:sz w:val="20"/>
                <w:szCs w:val="20"/>
                <w:lang w:eastAsia="sk-SK"/>
              </w:rPr>
              <w:t>Kapitálové výdavky</w:t>
            </w:r>
            <w:r w:rsidRPr="00AE47CD">
              <w:rPr>
                <w:rFonts w:eastAsia="Times New Roman" w:cstheme="minorHAnsi"/>
                <w:b/>
                <w:bCs/>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70CE2E8" w14:textId="221C9FAF" w:rsidR="00FE69DF" w:rsidRPr="00FE7A86" w:rsidRDefault="00FE69DF" w:rsidP="00FE69DF">
            <w:pPr>
              <w:spacing w:after="0" w:line="240" w:lineRule="auto"/>
              <w:jc w:val="right"/>
              <w:rPr>
                <w:rFonts w:eastAsia="Times New Roman" w:cstheme="minorHAnsi"/>
                <w:b/>
                <w:bCs/>
                <w:sz w:val="20"/>
                <w:szCs w:val="20"/>
                <w:lang w:eastAsia="sk-SK"/>
              </w:rPr>
            </w:pPr>
            <w:r w:rsidRPr="00FE7A86">
              <w:rPr>
                <w:rFonts w:eastAsia="Times New Roman" w:cstheme="minorHAnsi"/>
                <w:b/>
                <w:bCs/>
                <w:sz w:val="20"/>
                <w:szCs w:val="20"/>
                <w:lang w:eastAsia="sk-SK"/>
              </w:rPr>
              <w:t xml:space="preserve">16 629 212,00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699307" w14:textId="5C6A35ED"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12 855 000,00</w:t>
            </w:r>
            <w:r w:rsidRPr="00E0584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3A6EF3" w14:textId="2D518C25"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77,30</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BF4055" w14:textId="67A04A6A"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14 275 000,00</w:t>
            </w:r>
            <w:r w:rsidRPr="00E0584D">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13F7D6" w14:textId="255E266F" w:rsidR="00FE69DF" w:rsidRPr="00FE7A86" w:rsidRDefault="00FE69DF" w:rsidP="00FE69DF">
            <w:pPr>
              <w:spacing w:after="0" w:line="240" w:lineRule="auto"/>
              <w:jc w:val="right"/>
              <w:rPr>
                <w:rFonts w:eastAsia="Times New Roman" w:cstheme="minorHAnsi"/>
                <w:b/>
                <w:bCs/>
                <w:sz w:val="20"/>
                <w:szCs w:val="20"/>
                <w:lang w:eastAsia="sk-SK"/>
              </w:rPr>
            </w:pPr>
            <w:r w:rsidRPr="00E0584D">
              <w:rPr>
                <w:rFonts w:ascii="Calibri" w:eastAsia="Times New Roman" w:hAnsi="Calibri" w:cs="Calibri"/>
                <w:b/>
                <w:bCs/>
                <w:sz w:val="20"/>
                <w:szCs w:val="20"/>
              </w:rPr>
              <w:t>111,05</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17A96E" w14:textId="310B8C04" w:rsidR="00FE69DF" w:rsidRPr="00FE7A86" w:rsidRDefault="00FE69DF" w:rsidP="00FE69DF">
            <w:pPr>
              <w:spacing w:after="0" w:line="240" w:lineRule="auto"/>
              <w:jc w:val="right"/>
              <w:rPr>
                <w:rFonts w:eastAsia="Times New Roman" w:cstheme="minorHAnsi"/>
                <w:b/>
                <w:bCs/>
                <w:sz w:val="20"/>
                <w:szCs w:val="20"/>
                <w:lang w:eastAsia="sk-SK"/>
              </w:rPr>
            </w:pPr>
            <w:r w:rsidRPr="00FE7A86">
              <w:rPr>
                <w:rFonts w:ascii="Calibri" w:eastAsia="Times New Roman" w:hAnsi="Calibri" w:cs="Calibri"/>
                <w:b/>
                <w:bCs/>
                <w:sz w:val="20"/>
                <w:szCs w:val="20"/>
              </w:rPr>
              <w:t>22 375 000,00</w:t>
            </w:r>
            <w:r w:rsidRPr="00FE7A86">
              <w:rPr>
                <w:rFonts w:ascii="Calibri" w:eastAsia="Times New Roman" w:hAnsi="Calibri" w:cs="Calibri"/>
                <w:sz w:val="20"/>
                <w:szCs w:val="20"/>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CBAEE2" w14:textId="6ACFFE09" w:rsidR="00FE69DF" w:rsidRPr="00FE7A86" w:rsidRDefault="00FE69DF" w:rsidP="00FE69DF">
            <w:pPr>
              <w:spacing w:after="0" w:line="240" w:lineRule="auto"/>
              <w:jc w:val="right"/>
              <w:rPr>
                <w:rFonts w:eastAsia="Times New Roman" w:cstheme="minorHAnsi"/>
                <w:b/>
                <w:bCs/>
                <w:sz w:val="20"/>
                <w:szCs w:val="20"/>
                <w:lang w:eastAsia="sk-SK"/>
              </w:rPr>
            </w:pPr>
            <w:r w:rsidRPr="00FE7A86">
              <w:rPr>
                <w:rFonts w:ascii="Calibri" w:eastAsia="Times New Roman" w:hAnsi="Calibri" w:cs="Calibri"/>
                <w:b/>
                <w:bCs/>
                <w:sz w:val="20"/>
                <w:szCs w:val="20"/>
              </w:rPr>
              <w:t>156,74</w:t>
            </w:r>
            <w:r w:rsidRPr="00FE7A86">
              <w:rPr>
                <w:rFonts w:ascii="Calibri" w:eastAsia="Times New Roman" w:hAnsi="Calibri" w:cs="Calibri"/>
                <w:sz w:val="20"/>
                <w:szCs w:val="20"/>
              </w:rPr>
              <w:t xml:space="preserve"> </w:t>
            </w:r>
          </w:p>
        </w:tc>
      </w:tr>
      <w:tr w:rsidR="00FE69DF" w:rsidRPr="00AE47CD" w14:paraId="6DFD6508" w14:textId="77777777" w:rsidTr="00FE69D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EACC4B" w14:textId="77777777" w:rsidR="00FE69DF" w:rsidRPr="00AE47CD" w:rsidRDefault="00FE69DF" w:rsidP="00FE69DF">
            <w:pPr>
              <w:spacing w:after="0" w:line="240" w:lineRule="auto"/>
              <w:rPr>
                <w:rFonts w:eastAsia="Times New Roman" w:cstheme="minorHAnsi"/>
                <w:sz w:val="24"/>
                <w:szCs w:val="24"/>
                <w:lang w:eastAsia="sk-SK"/>
              </w:rPr>
            </w:pPr>
            <w:r w:rsidRPr="00AE47CD">
              <w:rPr>
                <w:rFonts w:eastAsia="Times New Roman" w:cstheme="minorHAnsi"/>
                <w:sz w:val="20"/>
                <w:szCs w:val="20"/>
                <w:lang w:eastAsia="sk-SK"/>
              </w:rPr>
              <w:t>710</w:t>
            </w:r>
            <w:r w:rsidRPr="00AE47CD">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C193B" w14:textId="77777777" w:rsidR="00FE69DF" w:rsidRPr="00AE47CD" w:rsidRDefault="00FE69DF" w:rsidP="00FE69DF">
            <w:pPr>
              <w:spacing w:after="0" w:line="240" w:lineRule="auto"/>
              <w:rPr>
                <w:rFonts w:eastAsia="Times New Roman" w:cstheme="minorHAnsi"/>
                <w:sz w:val="24"/>
                <w:szCs w:val="24"/>
                <w:lang w:eastAsia="sk-SK"/>
              </w:rPr>
            </w:pPr>
            <w:proofErr w:type="spellStart"/>
            <w:r w:rsidRPr="00AE47CD">
              <w:rPr>
                <w:rFonts w:eastAsia="Times New Roman" w:cstheme="minorHAnsi"/>
                <w:sz w:val="20"/>
                <w:szCs w:val="20"/>
                <w:lang w:eastAsia="sk-SK"/>
              </w:rPr>
              <w:t>Obst</w:t>
            </w:r>
            <w:proofErr w:type="spellEnd"/>
            <w:r w:rsidRPr="00AE47CD">
              <w:rPr>
                <w:rFonts w:eastAsia="Times New Roman" w:cstheme="minorHAnsi"/>
                <w:sz w:val="20"/>
                <w:szCs w:val="20"/>
                <w:lang w:eastAsia="sk-SK"/>
              </w:rPr>
              <w:t xml:space="preserve">. </w:t>
            </w:r>
            <w:proofErr w:type="spellStart"/>
            <w:r w:rsidRPr="00AE47CD">
              <w:rPr>
                <w:rFonts w:eastAsia="Times New Roman" w:cstheme="minorHAnsi"/>
                <w:sz w:val="20"/>
                <w:szCs w:val="20"/>
                <w:lang w:eastAsia="sk-SK"/>
              </w:rPr>
              <w:t>kapit</w:t>
            </w:r>
            <w:proofErr w:type="spellEnd"/>
            <w:r w:rsidRPr="00AE47CD">
              <w:rPr>
                <w:rFonts w:eastAsia="Times New Roman" w:cstheme="minorHAnsi"/>
                <w:sz w:val="20"/>
                <w:szCs w:val="20"/>
                <w:lang w:eastAsia="sk-SK"/>
              </w:rPr>
              <w:t>. aktív</w:t>
            </w:r>
            <w:r w:rsidRPr="00AE47CD">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350F148" w14:textId="4D2812C5" w:rsidR="00FE69DF" w:rsidRPr="00FE7A86" w:rsidRDefault="00FE69DF" w:rsidP="00FE69DF">
            <w:pPr>
              <w:spacing w:after="0" w:line="240" w:lineRule="auto"/>
              <w:jc w:val="right"/>
              <w:rPr>
                <w:rFonts w:eastAsia="Times New Roman" w:cstheme="minorHAnsi"/>
                <w:sz w:val="20"/>
                <w:szCs w:val="20"/>
                <w:lang w:eastAsia="sk-SK"/>
              </w:rPr>
            </w:pPr>
            <w:r w:rsidRPr="00FE7A86">
              <w:rPr>
                <w:rFonts w:eastAsia="Times New Roman" w:cstheme="minorHAnsi"/>
                <w:sz w:val="20"/>
                <w:szCs w:val="20"/>
                <w:lang w:eastAsia="sk-SK"/>
              </w:rPr>
              <w:t xml:space="preserve">5 219 212,00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4532F2" w14:textId="0317B964"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3 090 000,00</w:t>
            </w:r>
            <w:r w:rsidRPr="00E0584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60C034F2" w14:textId="05C8E2C7"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59,20</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BC093F" w14:textId="3F58CC79"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5 275 000,00</w:t>
            </w:r>
            <w:r w:rsidRPr="00E0584D">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0BB8DDA" w14:textId="0EC915DC"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170,71</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3DC779" w14:textId="1D66E818" w:rsidR="00FE69DF" w:rsidRPr="00FE7A86" w:rsidRDefault="00FE69DF" w:rsidP="00FE69DF">
            <w:pPr>
              <w:spacing w:after="0" w:line="240" w:lineRule="auto"/>
              <w:jc w:val="right"/>
              <w:rPr>
                <w:rFonts w:eastAsia="Times New Roman" w:cstheme="minorHAnsi"/>
                <w:sz w:val="20"/>
                <w:szCs w:val="20"/>
                <w:lang w:eastAsia="sk-SK"/>
              </w:rPr>
            </w:pPr>
            <w:r w:rsidRPr="00FE7A86">
              <w:rPr>
                <w:rFonts w:ascii="Calibri" w:eastAsia="Times New Roman" w:hAnsi="Calibri" w:cs="Calibri"/>
                <w:sz w:val="20"/>
                <w:szCs w:val="20"/>
              </w:rPr>
              <w:t xml:space="preserve">12 975 000,00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B1A60B8" w14:textId="0704FE2B" w:rsidR="00FE69DF" w:rsidRPr="00FE7A86" w:rsidRDefault="00FE69DF" w:rsidP="00FE69DF">
            <w:pPr>
              <w:spacing w:after="0" w:line="240" w:lineRule="auto"/>
              <w:jc w:val="right"/>
              <w:rPr>
                <w:rFonts w:eastAsia="Times New Roman" w:cstheme="minorHAnsi"/>
                <w:sz w:val="20"/>
                <w:szCs w:val="20"/>
                <w:lang w:eastAsia="sk-SK"/>
              </w:rPr>
            </w:pPr>
            <w:r w:rsidRPr="00FE7A86">
              <w:rPr>
                <w:rFonts w:ascii="Calibri" w:eastAsia="Times New Roman" w:hAnsi="Calibri" w:cs="Calibri"/>
                <w:sz w:val="20"/>
                <w:szCs w:val="20"/>
              </w:rPr>
              <w:t xml:space="preserve">245,97 </w:t>
            </w:r>
          </w:p>
        </w:tc>
      </w:tr>
      <w:tr w:rsidR="00FE69DF" w:rsidRPr="00AE47CD" w14:paraId="2F2D0351" w14:textId="77777777" w:rsidTr="00FE69D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19DD37" w14:textId="77777777" w:rsidR="00FE69DF" w:rsidRPr="00AE47CD" w:rsidRDefault="00FE69DF" w:rsidP="00FE69DF">
            <w:pPr>
              <w:spacing w:after="0" w:line="240" w:lineRule="auto"/>
              <w:rPr>
                <w:rFonts w:eastAsia="Times New Roman" w:cstheme="minorHAnsi"/>
                <w:sz w:val="24"/>
                <w:szCs w:val="24"/>
                <w:lang w:eastAsia="sk-SK"/>
              </w:rPr>
            </w:pPr>
            <w:r w:rsidRPr="00AE47CD">
              <w:rPr>
                <w:rFonts w:eastAsia="Times New Roman" w:cstheme="minorHAnsi"/>
                <w:sz w:val="20"/>
                <w:szCs w:val="20"/>
                <w:lang w:eastAsia="sk-SK"/>
              </w:rPr>
              <w:t>720</w:t>
            </w:r>
            <w:r w:rsidRPr="00AE47CD">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4863D1" w14:textId="77777777" w:rsidR="00FE69DF" w:rsidRPr="00AE47CD" w:rsidRDefault="00FE69DF" w:rsidP="00FE69DF">
            <w:pPr>
              <w:spacing w:after="0" w:line="240" w:lineRule="auto"/>
              <w:rPr>
                <w:rFonts w:eastAsia="Times New Roman" w:cstheme="minorHAnsi"/>
                <w:sz w:val="24"/>
                <w:szCs w:val="24"/>
                <w:lang w:eastAsia="sk-SK"/>
              </w:rPr>
            </w:pPr>
            <w:r w:rsidRPr="00AE47CD">
              <w:rPr>
                <w:rFonts w:eastAsia="Times New Roman" w:cstheme="minorHAnsi"/>
                <w:sz w:val="20"/>
                <w:szCs w:val="20"/>
                <w:lang w:eastAsia="sk-SK"/>
              </w:rPr>
              <w:t>Kapitálové transfery</w:t>
            </w:r>
            <w:r w:rsidRPr="00AE47CD">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2A24C9" w14:textId="5BB14892" w:rsidR="00FE69DF" w:rsidRPr="00FE7A86" w:rsidRDefault="00FE69DF" w:rsidP="00FE69DF">
            <w:pPr>
              <w:spacing w:after="0" w:line="240" w:lineRule="auto"/>
              <w:jc w:val="right"/>
              <w:rPr>
                <w:rFonts w:eastAsia="Times New Roman" w:cstheme="minorHAnsi"/>
                <w:sz w:val="20"/>
                <w:szCs w:val="20"/>
                <w:lang w:eastAsia="sk-SK"/>
              </w:rPr>
            </w:pPr>
            <w:r w:rsidRPr="00FE7A86">
              <w:rPr>
                <w:rFonts w:eastAsia="Times New Roman" w:cstheme="minorHAnsi"/>
                <w:sz w:val="20"/>
                <w:szCs w:val="20"/>
                <w:lang w:eastAsia="sk-SK"/>
              </w:rPr>
              <w:t xml:space="preserve">11 410 000,00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D22763" w14:textId="00C7B094"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9 765 000,00</w:t>
            </w:r>
            <w:r w:rsidRPr="00E0584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303DB7E3" w14:textId="7F98D568"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85,58</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C45EC6" w14:textId="2119ED06"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9 000 000,00</w:t>
            </w:r>
            <w:r w:rsidRPr="00E0584D">
              <w:rPr>
                <w:rFonts w:ascii="Calibri" w:eastAsia="Times New Roman"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A74AD91" w14:textId="69377C28" w:rsidR="00FE69DF" w:rsidRPr="00FE7A86" w:rsidRDefault="00FE69DF" w:rsidP="00FE69DF">
            <w:pPr>
              <w:spacing w:after="0" w:line="240" w:lineRule="auto"/>
              <w:jc w:val="right"/>
              <w:rPr>
                <w:rFonts w:eastAsia="Times New Roman" w:cstheme="minorHAnsi"/>
                <w:sz w:val="20"/>
                <w:szCs w:val="20"/>
                <w:lang w:eastAsia="sk-SK"/>
              </w:rPr>
            </w:pPr>
            <w:r w:rsidRPr="00E0584D">
              <w:rPr>
                <w:rFonts w:ascii="Calibri" w:eastAsia="Times New Roman" w:hAnsi="Calibri" w:cs="Calibri"/>
                <w:sz w:val="20"/>
                <w:szCs w:val="20"/>
              </w:rPr>
              <w:t>92,17</w:t>
            </w:r>
            <w:r w:rsidRPr="00E0584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9337323" w14:textId="6B12E78D" w:rsidR="00FE69DF" w:rsidRPr="00FE7A86" w:rsidRDefault="00FE69DF" w:rsidP="00FE69DF">
            <w:pPr>
              <w:spacing w:after="0" w:line="240" w:lineRule="auto"/>
              <w:jc w:val="right"/>
              <w:rPr>
                <w:rFonts w:eastAsia="Times New Roman" w:cstheme="minorHAnsi"/>
                <w:sz w:val="20"/>
                <w:szCs w:val="20"/>
                <w:lang w:eastAsia="sk-SK"/>
              </w:rPr>
            </w:pPr>
            <w:r w:rsidRPr="00FE7A86">
              <w:rPr>
                <w:rFonts w:ascii="Calibri" w:eastAsia="Times New Roman" w:hAnsi="Calibri" w:cs="Calibri"/>
                <w:sz w:val="20"/>
                <w:szCs w:val="20"/>
              </w:rPr>
              <w:t xml:space="preserve">9 400 000,00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5D4C8EC" w14:textId="639E07DE" w:rsidR="00FE69DF" w:rsidRPr="00FE7A86" w:rsidRDefault="00FE69DF" w:rsidP="00FE69DF">
            <w:pPr>
              <w:spacing w:after="0" w:line="240" w:lineRule="auto"/>
              <w:jc w:val="right"/>
              <w:rPr>
                <w:rFonts w:eastAsia="Times New Roman" w:cstheme="minorHAnsi"/>
                <w:sz w:val="20"/>
                <w:szCs w:val="20"/>
                <w:lang w:eastAsia="sk-SK"/>
              </w:rPr>
            </w:pPr>
            <w:r w:rsidRPr="00FE7A86">
              <w:rPr>
                <w:rFonts w:ascii="Calibri" w:eastAsia="Times New Roman" w:hAnsi="Calibri" w:cs="Calibri"/>
                <w:sz w:val="20"/>
                <w:szCs w:val="20"/>
              </w:rPr>
              <w:t xml:space="preserve">104,44 </w:t>
            </w:r>
          </w:p>
        </w:tc>
      </w:tr>
    </w:tbl>
    <w:p w14:paraId="3EB7F434" w14:textId="77777777" w:rsidR="00AE47CD" w:rsidRPr="00833135" w:rsidRDefault="00AE47CD" w:rsidP="00AE47CD">
      <w:pPr>
        <w:spacing w:after="0" w:line="240" w:lineRule="auto"/>
        <w:jc w:val="both"/>
        <w:rPr>
          <w:rFonts w:eastAsiaTheme="minorEastAsia" w:cstheme="minorHAnsi"/>
          <w:sz w:val="24"/>
          <w:szCs w:val="24"/>
          <w:lang w:eastAsia="sk-SK"/>
        </w:rPr>
      </w:pPr>
    </w:p>
    <w:p w14:paraId="76F8F25B" w14:textId="18CE55A2" w:rsidR="00AE47CD" w:rsidRPr="00833135" w:rsidRDefault="00AE47CD" w:rsidP="00AE47CD">
      <w:pPr>
        <w:spacing w:after="0" w:line="240" w:lineRule="auto"/>
        <w:jc w:val="both"/>
        <w:rPr>
          <w:rFonts w:eastAsiaTheme="minorEastAsia" w:cstheme="minorHAnsi"/>
          <w:sz w:val="24"/>
          <w:szCs w:val="24"/>
          <w:lang w:eastAsia="sk-SK"/>
        </w:rPr>
      </w:pPr>
      <w:r w:rsidRPr="00AE47CD">
        <w:rPr>
          <w:rFonts w:eastAsiaTheme="minorEastAsia" w:cstheme="minorHAnsi"/>
          <w:sz w:val="24"/>
          <w:szCs w:val="24"/>
          <w:lang w:eastAsia="sk-SK"/>
        </w:rPr>
        <w:t xml:space="preserve">Komentár: Na realizáciu kompetencií v rámci programu Interné služby, BSK vytvára materiálové a technické podmienky pre zabezpečenie všetkých aktivít a činností v rámci podprogramov: </w:t>
      </w:r>
    </w:p>
    <w:p w14:paraId="0F987AFF" w14:textId="77777777" w:rsidR="00AE47CD" w:rsidRPr="00833135" w:rsidRDefault="00AE47CD" w:rsidP="00794A14">
      <w:pPr>
        <w:pStyle w:val="Odsekzoznamu"/>
        <w:numPr>
          <w:ilvl w:val="0"/>
          <w:numId w:val="12"/>
        </w:numPr>
        <w:spacing w:before="0" w:beforeAutospacing="0" w:after="0" w:afterAutospacing="0"/>
        <w:jc w:val="both"/>
        <w:rPr>
          <w:rFonts w:asciiTheme="minorHAnsi" w:eastAsiaTheme="minorEastAsia" w:hAnsiTheme="minorHAnsi" w:cstheme="minorHAnsi"/>
        </w:rPr>
      </w:pPr>
      <w:r w:rsidRPr="00833135">
        <w:rPr>
          <w:rFonts w:asciiTheme="minorHAnsi" w:eastAsiaTheme="minorEastAsia" w:hAnsiTheme="minorHAnsi" w:cstheme="minorHAnsi"/>
        </w:rPr>
        <w:t xml:space="preserve">Správa a evidencia majetku, </w:t>
      </w:r>
    </w:p>
    <w:p w14:paraId="1D724273" w14:textId="77777777" w:rsidR="00AE47CD" w:rsidRPr="00833135" w:rsidRDefault="00AE47CD" w:rsidP="00794A14">
      <w:pPr>
        <w:pStyle w:val="Odsekzoznamu"/>
        <w:numPr>
          <w:ilvl w:val="0"/>
          <w:numId w:val="12"/>
        </w:numPr>
        <w:spacing w:after="0"/>
        <w:jc w:val="both"/>
        <w:rPr>
          <w:rFonts w:asciiTheme="minorHAnsi" w:eastAsiaTheme="minorEastAsia" w:hAnsiTheme="minorHAnsi" w:cstheme="minorHAnsi"/>
        </w:rPr>
      </w:pPr>
      <w:r w:rsidRPr="00833135">
        <w:rPr>
          <w:rFonts w:asciiTheme="minorHAnsi" w:eastAsiaTheme="minorEastAsia" w:hAnsiTheme="minorHAnsi" w:cstheme="minorHAnsi"/>
        </w:rPr>
        <w:t xml:space="preserve">Informačno-technologický systém, </w:t>
      </w:r>
    </w:p>
    <w:p w14:paraId="560EF15A" w14:textId="5EA28FC4" w:rsidR="00AE47CD" w:rsidRPr="00833135" w:rsidRDefault="00AE47CD" w:rsidP="00794A14">
      <w:pPr>
        <w:pStyle w:val="Odsekzoznamu"/>
        <w:numPr>
          <w:ilvl w:val="0"/>
          <w:numId w:val="12"/>
        </w:numPr>
        <w:spacing w:after="0"/>
        <w:jc w:val="both"/>
        <w:rPr>
          <w:rFonts w:asciiTheme="minorHAnsi" w:eastAsiaTheme="minorEastAsia" w:hAnsiTheme="minorHAnsi" w:cstheme="minorHAnsi"/>
        </w:rPr>
      </w:pPr>
      <w:r w:rsidRPr="00833135">
        <w:rPr>
          <w:rFonts w:asciiTheme="minorHAnsi" w:eastAsiaTheme="minorEastAsia" w:hAnsiTheme="minorHAnsi" w:cstheme="minorHAnsi"/>
        </w:rPr>
        <w:t>Majetok - investície, údržba</w:t>
      </w:r>
    </w:p>
    <w:p w14:paraId="35597B24" w14:textId="4E8C704B" w:rsidR="00013302" w:rsidRDefault="00C92D43" w:rsidP="00AE47CD">
      <w:pPr>
        <w:spacing w:before="100" w:beforeAutospacing="1" w:after="100" w:afterAutospacing="1" w:line="240" w:lineRule="auto"/>
        <w:jc w:val="both"/>
        <w:rPr>
          <w:rFonts w:eastAsia="Times New Roman" w:cstheme="minorHAnsi"/>
          <w:b/>
          <w:bCs/>
          <w:sz w:val="27"/>
          <w:szCs w:val="27"/>
          <w:lang w:eastAsia="sk-SK"/>
        </w:rPr>
      </w:pPr>
      <w:r w:rsidRPr="00A073D0">
        <w:rPr>
          <w:rFonts w:eastAsia="Times New Roman" w:cstheme="minorHAnsi"/>
          <w:b/>
          <w:bCs/>
          <w:color w:val="0000FF"/>
          <w:sz w:val="27"/>
          <w:szCs w:val="27"/>
          <w:lang w:eastAsia="sk-SK"/>
        </w:rPr>
        <w:t>Podprogram 3.1: Správa a evidencia majetku</w:t>
      </w:r>
      <w:r w:rsidRPr="00F91A59">
        <w:rPr>
          <w:rFonts w:eastAsia="Times New Roman" w:cstheme="minorHAnsi"/>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5"/>
        <w:gridCol w:w="2053"/>
        <w:gridCol w:w="1589"/>
        <w:gridCol w:w="1589"/>
        <w:gridCol w:w="649"/>
        <w:gridCol w:w="1200"/>
        <w:gridCol w:w="839"/>
        <w:gridCol w:w="1322"/>
        <w:gridCol w:w="664"/>
      </w:tblGrid>
      <w:tr w:rsidR="00013302" w:rsidRPr="00013302" w14:paraId="11C10EF5"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29DFB5D" w14:textId="77777777" w:rsidR="00013302" w:rsidRPr="00013302" w:rsidRDefault="00013302" w:rsidP="00013302">
            <w:pPr>
              <w:spacing w:after="0" w:line="240" w:lineRule="auto"/>
              <w:jc w:val="center"/>
              <w:rPr>
                <w:rFonts w:eastAsia="Times New Roman" w:cstheme="minorHAnsi"/>
                <w:sz w:val="20"/>
                <w:szCs w:val="20"/>
                <w:lang w:eastAsia="sk-SK"/>
              </w:rPr>
            </w:pPr>
            <w:r w:rsidRPr="00013302">
              <w:rPr>
                <w:rFonts w:eastAsia="Times New Roman" w:cstheme="minorHAnsi"/>
                <w:b/>
                <w:bCs/>
                <w:i/>
                <w:iCs/>
                <w:sz w:val="20"/>
                <w:szCs w:val="20"/>
                <w:lang w:eastAsia="sk-SK"/>
              </w:rPr>
              <w:t>Rozpočet v EUR</w:t>
            </w:r>
          </w:p>
        </w:tc>
      </w:tr>
      <w:tr w:rsidR="00013302" w:rsidRPr="00013302" w14:paraId="718EC04A" w14:textId="77777777" w:rsidTr="00EA107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6677D42" w14:textId="77777777" w:rsidR="00013302" w:rsidRPr="00013302" w:rsidRDefault="00013302" w:rsidP="00013302">
            <w:pPr>
              <w:spacing w:after="0" w:line="240" w:lineRule="auto"/>
              <w:rPr>
                <w:rFonts w:eastAsia="Times New Roman" w:cstheme="minorHAnsi"/>
                <w:sz w:val="20"/>
                <w:szCs w:val="20"/>
                <w:lang w:eastAsia="sk-SK"/>
              </w:rPr>
            </w:pPr>
            <w:r w:rsidRPr="00013302">
              <w:rPr>
                <w:rFonts w:eastAsia="Times New Roman" w:cstheme="minorHAnsi"/>
                <w:b/>
                <w:bCs/>
                <w:sz w:val="20"/>
                <w:szCs w:val="20"/>
                <w:lang w:eastAsia="sk-SK"/>
              </w:rPr>
              <w:t>EK</w:t>
            </w:r>
          </w:p>
        </w:tc>
        <w:tc>
          <w:tcPr>
            <w:tcW w:w="96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B3D25EB" w14:textId="77777777" w:rsidR="00013302" w:rsidRPr="00013302" w:rsidRDefault="00013302" w:rsidP="00013302">
            <w:pPr>
              <w:spacing w:after="0" w:line="240" w:lineRule="auto"/>
              <w:rPr>
                <w:rFonts w:eastAsia="Times New Roman" w:cstheme="minorHAnsi"/>
                <w:sz w:val="20"/>
                <w:szCs w:val="20"/>
                <w:lang w:eastAsia="sk-SK"/>
              </w:rPr>
            </w:pPr>
            <w:r w:rsidRPr="00013302">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E47327" w14:textId="77777777" w:rsidR="00013302" w:rsidRPr="00013302" w:rsidRDefault="00013302" w:rsidP="00013302">
            <w:pPr>
              <w:spacing w:after="0" w:line="240" w:lineRule="auto"/>
              <w:jc w:val="center"/>
              <w:rPr>
                <w:rFonts w:eastAsia="Times New Roman" w:cstheme="minorHAnsi"/>
                <w:sz w:val="20"/>
                <w:szCs w:val="20"/>
                <w:lang w:eastAsia="sk-SK"/>
              </w:rPr>
            </w:pPr>
            <w:r w:rsidRPr="00013302">
              <w:rPr>
                <w:rFonts w:eastAsia="Times New Roman" w:cstheme="minorHAns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E225D48" w14:textId="77777777" w:rsidR="00013302" w:rsidRPr="00013302" w:rsidRDefault="00013302" w:rsidP="00013302">
            <w:pPr>
              <w:spacing w:after="0" w:line="240" w:lineRule="auto"/>
              <w:jc w:val="center"/>
              <w:rPr>
                <w:rFonts w:eastAsia="Times New Roman" w:cstheme="minorHAnsi"/>
                <w:sz w:val="20"/>
                <w:szCs w:val="20"/>
                <w:lang w:eastAsia="sk-SK"/>
              </w:rPr>
            </w:pPr>
            <w:r w:rsidRPr="00013302">
              <w:rPr>
                <w:rFonts w:eastAsia="Times New Roman" w:cstheme="minorHAnsi"/>
                <w:b/>
                <w:bCs/>
                <w:sz w:val="20"/>
                <w:szCs w:val="20"/>
                <w:lang w:eastAsia="sk-SK"/>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761833F" w14:textId="77777777" w:rsidR="00013302" w:rsidRPr="00013302" w:rsidRDefault="00013302" w:rsidP="00013302">
            <w:pPr>
              <w:spacing w:after="0" w:line="240" w:lineRule="auto"/>
              <w:jc w:val="center"/>
              <w:rPr>
                <w:rFonts w:eastAsia="Times New Roman" w:cstheme="minorHAnsi"/>
                <w:sz w:val="20"/>
                <w:szCs w:val="20"/>
                <w:lang w:eastAsia="sk-SK"/>
              </w:rPr>
            </w:pPr>
            <w:r w:rsidRPr="00013302">
              <w:rPr>
                <w:rFonts w:eastAsia="Times New Roman" w:cstheme="minorHAnsi"/>
                <w:b/>
                <w:bCs/>
                <w:sz w:val="20"/>
                <w:szCs w:val="20"/>
                <w:lang w:eastAsia="sk-SK"/>
              </w:rPr>
              <w:t>%</w:t>
            </w:r>
          </w:p>
        </w:tc>
        <w:tc>
          <w:tcPr>
            <w:tcW w:w="58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F4FDE7" w14:textId="77777777" w:rsidR="00013302" w:rsidRPr="00013302" w:rsidRDefault="00013302" w:rsidP="00013302">
            <w:pPr>
              <w:spacing w:after="0" w:line="240" w:lineRule="auto"/>
              <w:jc w:val="center"/>
              <w:rPr>
                <w:rFonts w:eastAsia="Times New Roman" w:cstheme="minorHAnsi"/>
                <w:sz w:val="20"/>
                <w:szCs w:val="20"/>
                <w:lang w:eastAsia="sk-SK"/>
              </w:rPr>
            </w:pPr>
            <w:r w:rsidRPr="00013302">
              <w:rPr>
                <w:rFonts w:eastAsia="Times New Roman" w:cstheme="minorHAnsi"/>
                <w:b/>
                <w:bCs/>
                <w:sz w:val="20"/>
                <w:szCs w:val="20"/>
                <w:lang w:eastAsia="sk-SK"/>
              </w:rPr>
              <w:t>2026</w:t>
            </w:r>
          </w:p>
        </w:tc>
        <w:tc>
          <w:tcPr>
            <w:tcW w:w="40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BD3D9E" w14:textId="77777777" w:rsidR="00013302" w:rsidRPr="00013302" w:rsidRDefault="00013302" w:rsidP="00013302">
            <w:pPr>
              <w:spacing w:after="0" w:line="240" w:lineRule="auto"/>
              <w:jc w:val="center"/>
              <w:rPr>
                <w:rFonts w:eastAsia="Times New Roman" w:cstheme="minorHAnsi"/>
                <w:sz w:val="20"/>
                <w:szCs w:val="20"/>
                <w:lang w:eastAsia="sk-SK"/>
              </w:rPr>
            </w:pPr>
            <w:r w:rsidRPr="00013302">
              <w:rPr>
                <w:rFonts w:eastAsia="Times New Roman" w:cstheme="minorHAnsi"/>
                <w:b/>
                <w:bCs/>
                <w:sz w:val="20"/>
                <w:szCs w:val="20"/>
                <w:lang w:eastAsia="sk-SK"/>
              </w:rPr>
              <w:t>%</w:t>
            </w:r>
          </w:p>
        </w:tc>
        <w:tc>
          <w:tcPr>
            <w:tcW w:w="64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5F1A0CE" w14:textId="77777777" w:rsidR="00013302" w:rsidRPr="00013302" w:rsidRDefault="00013302" w:rsidP="00013302">
            <w:pPr>
              <w:spacing w:after="0" w:line="240" w:lineRule="auto"/>
              <w:jc w:val="center"/>
              <w:rPr>
                <w:rFonts w:eastAsia="Times New Roman" w:cstheme="minorHAnsi"/>
                <w:sz w:val="20"/>
                <w:szCs w:val="20"/>
                <w:lang w:eastAsia="sk-SK"/>
              </w:rPr>
            </w:pPr>
            <w:r w:rsidRPr="00013302">
              <w:rPr>
                <w:rFonts w:eastAsia="Times New Roman" w:cstheme="minorHAnsi"/>
                <w:b/>
                <w:bCs/>
                <w:sz w:val="20"/>
                <w:szCs w:val="20"/>
                <w:lang w:eastAsia="sk-SK"/>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1B2C078" w14:textId="77777777" w:rsidR="00013302" w:rsidRPr="00013302" w:rsidRDefault="00013302" w:rsidP="00013302">
            <w:pPr>
              <w:spacing w:after="0" w:line="240" w:lineRule="auto"/>
              <w:jc w:val="center"/>
              <w:rPr>
                <w:rFonts w:eastAsia="Times New Roman" w:cstheme="minorHAnsi"/>
                <w:sz w:val="20"/>
                <w:szCs w:val="20"/>
                <w:lang w:eastAsia="sk-SK"/>
              </w:rPr>
            </w:pPr>
            <w:r w:rsidRPr="00013302">
              <w:rPr>
                <w:rFonts w:eastAsia="Times New Roman" w:cstheme="minorHAnsi"/>
                <w:b/>
                <w:bCs/>
                <w:sz w:val="20"/>
                <w:szCs w:val="20"/>
                <w:lang w:eastAsia="sk-SK"/>
              </w:rPr>
              <w:t>%</w:t>
            </w:r>
          </w:p>
        </w:tc>
      </w:tr>
      <w:tr w:rsidR="00EA107C" w:rsidRPr="00013302" w14:paraId="2DD28427" w14:textId="77777777" w:rsidTr="00EA107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C73CB1A" w14:textId="77777777" w:rsidR="00EA107C" w:rsidRPr="00013302" w:rsidRDefault="00EA107C" w:rsidP="00EA107C">
            <w:pPr>
              <w:spacing w:after="0" w:line="240" w:lineRule="auto"/>
              <w:jc w:val="center"/>
              <w:rPr>
                <w:rFonts w:eastAsia="Times New Roman" w:cstheme="minorHAnsi"/>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434D6E" w14:textId="77777777" w:rsidR="00EA107C" w:rsidRPr="00013302" w:rsidRDefault="00EA107C" w:rsidP="00EA107C">
            <w:pPr>
              <w:spacing w:after="0" w:line="240" w:lineRule="auto"/>
              <w:rPr>
                <w:rFonts w:eastAsia="Times New Roman" w:cstheme="minorHAnsi"/>
                <w:sz w:val="20"/>
                <w:szCs w:val="20"/>
                <w:lang w:eastAsia="sk-SK"/>
              </w:rPr>
            </w:pPr>
            <w:r w:rsidRPr="00013302">
              <w:rPr>
                <w:rFonts w:eastAsia="Times New Roman" w:cstheme="minorHAnsi"/>
                <w:b/>
                <w:bCs/>
                <w:sz w:val="20"/>
                <w:szCs w:val="20"/>
                <w:lang w:eastAsia="sk-SK"/>
              </w:rPr>
              <w:t>Výdavky celkom</w:t>
            </w:r>
            <w:r w:rsidRPr="00013302">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FE5C84"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b/>
                <w:bCs/>
                <w:color w:val="000000" w:themeColor="text1"/>
                <w:sz w:val="20"/>
                <w:szCs w:val="20"/>
                <w:lang w:eastAsia="sk-SK"/>
              </w:rPr>
              <w:t>6 610 812,00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2FE87A" w14:textId="6FDB0913" w:rsidR="00EA107C" w:rsidRPr="00013302" w:rsidRDefault="00EA107C" w:rsidP="00EA107C">
            <w:pPr>
              <w:spacing w:after="0" w:line="240" w:lineRule="auto"/>
              <w:jc w:val="right"/>
              <w:rPr>
                <w:rFonts w:eastAsia="Times New Roman" w:cstheme="minorHAnsi"/>
                <w:color w:val="FF0000"/>
                <w:sz w:val="20"/>
                <w:szCs w:val="20"/>
                <w:lang w:eastAsia="sk-SK"/>
              </w:rPr>
            </w:pPr>
            <w:r w:rsidRPr="00755DF8">
              <w:rPr>
                <w:rFonts w:eastAsia="Times New Roman" w:cstheme="minorHAnsi"/>
                <w:b/>
                <w:bCs/>
                <w:color w:val="000000" w:themeColor="text1"/>
                <w:sz w:val="20"/>
                <w:szCs w:val="20"/>
              </w:rPr>
              <w:t>4 085 600,00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F676D3" w14:textId="04F359AC" w:rsidR="00EA107C" w:rsidRPr="00013302" w:rsidRDefault="00EA107C" w:rsidP="00EA107C">
            <w:pPr>
              <w:spacing w:after="0" w:line="240" w:lineRule="auto"/>
              <w:jc w:val="right"/>
              <w:rPr>
                <w:rFonts w:eastAsia="Times New Roman" w:cstheme="minorHAnsi"/>
                <w:color w:val="FF0000"/>
                <w:sz w:val="20"/>
                <w:szCs w:val="20"/>
                <w:lang w:eastAsia="sk-SK"/>
              </w:rPr>
            </w:pPr>
            <w:r w:rsidRPr="00755DF8">
              <w:rPr>
                <w:rFonts w:eastAsia="Times New Roman" w:cstheme="minorHAnsi"/>
                <w:b/>
                <w:bCs/>
                <w:color w:val="000000" w:themeColor="text1"/>
                <w:sz w:val="20"/>
                <w:szCs w:val="20"/>
              </w:rPr>
              <w:t>61,80</w:t>
            </w:r>
          </w:p>
        </w:tc>
        <w:tc>
          <w:tcPr>
            <w:tcW w:w="58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3942B7" w14:textId="20E4A52C" w:rsidR="00EA107C" w:rsidRPr="00013302" w:rsidRDefault="00EA107C" w:rsidP="00EA107C">
            <w:pPr>
              <w:spacing w:after="0" w:line="240" w:lineRule="auto"/>
              <w:jc w:val="right"/>
              <w:rPr>
                <w:rFonts w:eastAsia="Times New Roman" w:cstheme="minorHAnsi"/>
                <w:color w:val="FF0000"/>
                <w:sz w:val="20"/>
                <w:szCs w:val="20"/>
                <w:lang w:eastAsia="sk-SK"/>
              </w:rPr>
            </w:pPr>
            <w:r w:rsidRPr="00020413">
              <w:rPr>
                <w:rFonts w:eastAsia="Times New Roman" w:cstheme="minorHAnsi"/>
                <w:b/>
                <w:bCs/>
                <w:color w:val="000000" w:themeColor="text1"/>
                <w:sz w:val="20"/>
                <w:szCs w:val="20"/>
              </w:rPr>
              <w:t>6 607 600,00</w:t>
            </w:r>
          </w:p>
        </w:tc>
        <w:tc>
          <w:tcPr>
            <w:tcW w:w="4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C11397" w14:textId="0B262635" w:rsidR="00EA107C" w:rsidRPr="00013302" w:rsidRDefault="00EA107C" w:rsidP="00EA107C">
            <w:pPr>
              <w:spacing w:after="0" w:line="240" w:lineRule="auto"/>
              <w:jc w:val="right"/>
              <w:rPr>
                <w:rFonts w:eastAsia="Times New Roman" w:cstheme="minorHAnsi"/>
                <w:color w:val="FF0000"/>
                <w:sz w:val="20"/>
                <w:szCs w:val="20"/>
                <w:lang w:eastAsia="sk-SK"/>
              </w:rPr>
            </w:pPr>
            <w:r w:rsidRPr="00EC4648">
              <w:rPr>
                <w:rFonts w:eastAsia="Times New Roman" w:cstheme="minorHAnsi"/>
                <w:b/>
                <w:bCs/>
                <w:color w:val="000000" w:themeColor="text1"/>
                <w:sz w:val="20"/>
                <w:szCs w:val="20"/>
              </w:rPr>
              <w:t>161,73</w:t>
            </w:r>
          </w:p>
        </w:tc>
        <w:tc>
          <w:tcPr>
            <w:tcW w:w="64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1948AB"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b/>
                <w:bCs/>
                <w:color w:val="000000" w:themeColor="text1"/>
                <w:sz w:val="20"/>
                <w:szCs w:val="20"/>
                <w:lang w:eastAsia="sk-SK"/>
              </w:rPr>
              <w:t>15 120 600,00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05A689" w14:textId="77777777" w:rsidR="00EA107C" w:rsidRPr="00013302" w:rsidRDefault="00EA107C" w:rsidP="00EA107C">
            <w:pPr>
              <w:spacing w:after="0" w:line="240" w:lineRule="auto"/>
              <w:jc w:val="right"/>
              <w:rPr>
                <w:rFonts w:eastAsia="Times New Roman" w:cstheme="minorHAnsi"/>
                <w:color w:val="000000" w:themeColor="text1"/>
                <w:sz w:val="20"/>
                <w:szCs w:val="20"/>
                <w:lang w:eastAsia="sk-SK"/>
              </w:rPr>
            </w:pPr>
            <w:r w:rsidRPr="00013302">
              <w:rPr>
                <w:rFonts w:eastAsia="Times New Roman" w:cstheme="minorHAnsi"/>
                <w:b/>
                <w:bCs/>
                <w:color w:val="000000" w:themeColor="text1"/>
                <w:sz w:val="20"/>
                <w:szCs w:val="20"/>
                <w:lang w:eastAsia="sk-SK"/>
              </w:rPr>
              <w:t>228,84</w:t>
            </w:r>
          </w:p>
        </w:tc>
      </w:tr>
      <w:tr w:rsidR="00EA107C" w:rsidRPr="00013302" w14:paraId="1FBB1372" w14:textId="77777777" w:rsidTr="00EA107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24905C" w14:textId="77777777" w:rsidR="00EA107C" w:rsidRPr="00013302" w:rsidRDefault="00EA107C" w:rsidP="00EA107C">
            <w:pPr>
              <w:spacing w:after="0" w:line="240" w:lineRule="auto"/>
              <w:rPr>
                <w:rFonts w:eastAsia="Times New Roman" w:cstheme="minorHAnsi"/>
                <w:sz w:val="20"/>
                <w:szCs w:val="20"/>
                <w:lang w:eastAsia="sk-SK"/>
              </w:rPr>
            </w:pPr>
            <w:r w:rsidRPr="00013302">
              <w:rPr>
                <w:rFonts w:eastAsia="Times New Roman" w:cstheme="minorHAnsi"/>
                <w:b/>
                <w:bCs/>
                <w:sz w:val="20"/>
                <w:szCs w:val="20"/>
                <w:lang w:eastAsia="sk-SK"/>
              </w:rPr>
              <w:t>600</w:t>
            </w:r>
            <w:r w:rsidRPr="00013302">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C2C8C8" w14:textId="77777777" w:rsidR="00EA107C" w:rsidRPr="00013302" w:rsidRDefault="00EA107C" w:rsidP="00EA107C">
            <w:pPr>
              <w:spacing w:after="0" w:line="240" w:lineRule="auto"/>
              <w:rPr>
                <w:rFonts w:eastAsia="Times New Roman" w:cstheme="minorHAnsi"/>
                <w:sz w:val="20"/>
                <w:szCs w:val="20"/>
                <w:lang w:eastAsia="sk-SK"/>
              </w:rPr>
            </w:pPr>
            <w:r w:rsidRPr="00013302">
              <w:rPr>
                <w:rFonts w:eastAsia="Times New Roman" w:cstheme="minorHAnsi"/>
                <w:b/>
                <w:bCs/>
                <w:sz w:val="20"/>
                <w:szCs w:val="20"/>
                <w:lang w:eastAsia="sk-SK"/>
              </w:rPr>
              <w:t>Bežné výdavky</w:t>
            </w:r>
            <w:r w:rsidRPr="00013302">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9D4C57"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b/>
                <w:bCs/>
                <w:color w:val="000000" w:themeColor="text1"/>
                <w:sz w:val="20"/>
                <w:szCs w:val="20"/>
                <w:lang w:eastAsia="sk-SK"/>
              </w:rPr>
              <w:t>2 668 600,00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8689D7" w14:textId="456FD3B6" w:rsidR="00EA107C" w:rsidRPr="00013302" w:rsidRDefault="00EA107C" w:rsidP="00EA107C">
            <w:pPr>
              <w:spacing w:after="0" w:line="240" w:lineRule="auto"/>
              <w:jc w:val="right"/>
              <w:rPr>
                <w:rFonts w:eastAsia="Times New Roman" w:cstheme="minorHAnsi"/>
                <w:color w:val="FF0000"/>
                <w:sz w:val="20"/>
                <w:szCs w:val="20"/>
                <w:lang w:eastAsia="sk-SK"/>
              </w:rPr>
            </w:pPr>
            <w:r w:rsidRPr="00755DF8">
              <w:rPr>
                <w:rFonts w:eastAsia="Times New Roman" w:cstheme="minorHAnsi"/>
                <w:b/>
                <w:bCs/>
                <w:color w:val="000000" w:themeColor="text1"/>
                <w:sz w:val="20"/>
                <w:szCs w:val="20"/>
              </w:rPr>
              <w:t>3 085 600,00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62E03C" w14:textId="6E1AB4DD" w:rsidR="00EA107C" w:rsidRPr="00013302" w:rsidRDefault="00EA107C" w:rsidP="00EA107C">
            <w:pPr>
              <w:spacing w:after="0" w:line="240" w:lineRule="auto"/>
              <w:jc w:val="right"/>
              <w:rPr>
                <w:rFonts w:eastAsia="Times New Roman" w:cstheme="minorHAnsi"/>
                <w:color w:val="FF0000"/>
                <w:sz w:val="20"/>
                <w:szCs w:val="20"/>
                <w:lang w:eastAsia="sk-SK"/>
              </w:rPr>
            </w:pPr>
            <w:r w:rsidRPr="00755DF8">
              <w:rPr>
                <w:rFonts w:eastAsia="Times New Roman" w:cstheme="minorHAnsi"/>
                <w:b/>
                <w:bCs/>
                <w:color w:val="000000" w:themeColor="text1"/>
                <w:sz w:val="20"/>
                <w:szCs w:val="20"/>
              </w:rPr>
              <w:t>115,63</w:t>
            </w:r>
          </w:p>
        </w:tc>
        <w:tc>
          <w:tcPr>
            <w:tcW w:w="58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41438D" w14:textId="4638E94D" w:rsidR="00EA107C" w:rsidRPr="00013302" w:rsidRDefault="00EA107C" w:rsidP="00EA107C">
            <w:pPr>
              <w:spacing w:after="0" w:line="240" w:lineRule="auto"/>
              <w:jc w:val="right"/>
              <w:rPr>
                <w:rFonts w:eastAsia="Times New Roman" w:cstheme="minorHAnsi"/>
                <w:color w:val="FF0000"/>
                <w:sz w:val="20"/>
                <w:szCs w:val="20"/>
                <w:lang w:eastAsia="sk-SK"/>
              </w:rPr>
            </w:pPr>
            <w:r w:rsidRPr="00FA715F">
              <w:rPr>
                <w:rFonts w:eastAsia="Times New Roman" w:cstheme="minorHAnsi"/>
                <w:b/>
                <w:bCs/>
                <w:color w:val="000000" w:themeColor="text1"/>
                <w:sz w:val="20"/>
                <w:szCs w:val="20"/>
              </w:rPr>
              <w:t>2 822 600,00</w:t>
            </w:r>
          </w:p>
        </w:tc>
        <w:tc>
          <w:tcPr>
            <w:tcW w:w="4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C94554" w14:textId="0CB92468" w:rsidR="00EA107C" w:rsidRPr="00013302" w:rsidRDefault="00EA107C" w:rsidP="00EA107C">
            <w:pPr>
              <w:spacing w:after="0" w:line="240" w:lineRule="auto"/>
              <w:jc w:val="right"/>
              <w:rPr>
                <w:rFonts w:eastAsia="Times New Roman" w:cstheme="minorHAnsi"/>
                <w:color w:val="FF0000"/>
                <w:sz w:val="20"/>
                <w:szCs w:val="20"/>
                <w:lang w:eastAsia="sk-SK"/>
              </w:rPr>
            </w:pPr>
            <w:r w:rsidRPr="00562053">
              <w:rPr>
                <w:rFonts w:eastAsia="Times New Roman" w:cstheme="minorHAnsi"/>
                <w:b/>
                <w:bCs/>
                <w:color w:val="000000" w:themeColor="text1"/>
                <w:sz w:val="20"/>
                <w:szCs w:val="20"/>
              </w:rPr>
              <w:t>91,48</w:t>
            </w:r>
          </w:p>
        </w:tc>
        <w:tc>
          <w:tcPr>
            <w:tcW w:w="64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755778"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b/>
                <w:bCs/>
                <w:color w:val="000000" w:themeColor="text1"/>
                <w:sz w:val="20"/>
                <w:szCs w:val="20"/>
                <w:lang w:eastAsia="sk-SK"/>
              </w:rPr>
              <w:t>3 120 600,00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A97A06"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b/>
                <w:bCs/>
                <w:color w:val="000000" w:themeColor="text1"/>
                <w:sz w:val="20"/>
                <w:szCs w:val="20"/>
                <w:lang w:eastAsia="sk-SK"/>
              </w:rPr>
              <w:t>110,56</w:t>
            </w:r>
          </w:p>
        </w:tc>
      </w:tr>
      <w:tr w:rsidR="00EA107C" w:rsidRPr="00013302" w14:paraId="70806B32" w14:textId="77777777" w:rsidTr="00EA107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E5B907" w14:textId="77777777" w:rsidR="00EA107C" w:rsidRPr="00013302" w:rsidRDefault="00EA107C" w:rsidP="00EA107C">
            <w:pPr>
              <w:spacing w:after="0" w:line="240" w:lineRule="auto"/>
              <w:rPr>
                <w:rFonts w:eastAsia="Times New Roman" w:cstheme="minorHAnsi"/>
                <w:sz w:val="20"/>
                <w:szCs w:val="20"/>
                <w:lang w:eastAsia="sk-SK"/>
              </w:rPr>
            </w:pPr>
            <w:r w:rsidRPr="00013302">
              <w:rPr>
                <w:rFonts w:eastAsia="Times New Roman" w:cstheme="minorHAnsi"/>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F83FBA" w14:textId="77777777" w:rsidR="00EA107C" w:rsidRPr="00013302" w:rsidRDefault="00EA107C" w:rsidP="00EA107C">
            <w:pPr>
              <w:spacing w:after="0" w:line="240" w:lineRule="auto"/>
              <w:rPr>
                <w:rFonts w:eastAsia="Times New Roman" w:cstheme="minorHAnsi"/>
                <w:sz w:val="20"/>
                <w:szCs w:val="20"/>
                <w:lang w:eastAsia="sk-SK"/>
              </w:rPr>
            </w:pPr>
            <w:r w:rsidRPr="00013302">
              <w:rPr>
                <w:rFonts w:eastAsia="Times New Roman" w:cstheme="minorHAnsi"/>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FB1718C"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color w:val="000000" w:themeColor="text1"/>
                <w:sz w:val="20"/>
                <w:szCs w:val="20"/>
                <w:lang w:eastAsia="sk-SK"/>
              </w:rPr>
              <w:t>2 668 600,00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5E03CB" w14:textId="2F6F66CC" w:rsidR="00EA107C" w:rsidRPr="00013302" w:rsidRDefault="00EA107C" w:rsidP="00EA107C">
            <w:pPr>
              <w:spacing w:after="0" w:line="240" w:lineRule="auto"/>
              <w:jc w:val="right"/>
              <w:rPr>
                <w:rFonts w:eastAsia="Times New Roman" w:cstheme="minorHAnsi"/>
                <w:color w:val="FF0000"/>
                <w:sz w:val="20"/>
                <w:szCs w:val="20"/>
                <w:lang w:eastAsia="sk-SK"/>
              </w:rPr>
            </w:pPr>
            <w:r w:rsidRPr="00755DF8">
              <w:rPr>
                <w:rFonts w:eastAsia="Times New Roman" w:cstheme="minorHAnsi"/>
                <w:color w:val="000000" w:themeColor="text1"/>
                <w:sz w:val="20"/>
                <w:szCs w:val="20"/>
              </w:rPr>
              <w:t>3 075 600,00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02C44703" w14:textId="0136E11E" w:rsidR="00EA107C" w:rsidRPr="00013302" w:rsidRDefault="00EA107C" w:rsidP="00EA107C">
            <w:pPr>
              <w:spacing w:after="0" w:line="240" w:lineRule="auto"/>
              <w:jc w:val="right"/>
              <w:rPr>
                <w:rFonts w:eastAsia="Times New Roman" w:cstheme="minorHAnsi"/>
                <w:color w:val="FF0000"/>
                <w:sz w:val="20"/>
                <w:szCs w:val="20"/>
                <w:lang w:eastAsia="sk-SK"/>
              </w:rPr>
            </w:pPr>
            <w:r w:rsidRPr="00755DF8">
              <w:rPr>
                <w:rFonts w:eastAsia="Times New Roman" w:cstheme="minorHAnsi"/>
                <w:color w:val="000000" w:themeColor="text1"/>
                <w:sz w:val="20"/>
                <w:szCs w:val="20"/>
              </w:rPr>
              <w:t>115,25</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14:paraId="3EE4DD69" w14:textId="575E4C00" w:rsidR="00EA107C" w:rsidRPr="00013302" w:rsidRDefault="00EA107C" w:rsidP="00EA107C">
            <w:pPr>
              <w:spacing w:after="0" w:line="240" w:lineRule="auto"/>
              <w:jc w:val="right"/>
              <w:rPr>
                <w:rFonts w:eastAsia="Times New Roman" w:cstheme="minorHAnsi"/>
                <w:color w:val="FF0000"/>
                <w:sz w:val="20"/>
                <w:szCs w:val="20"/>
                <w:lang w:eastAsia="sk-SK"/>
              </w:rPr>
            </w:pPr>
            <w:r w:rsidRPr="00020413">
              <w:rPr>
                <w:rFonts w:eastAsia="Times New Roman" w:cstheme="minorHAnsi"/>
                <w:color w:val="000000" w:themeColor="text1"/>
                <w:sz w:val="20"/>
                <w:szCs w:val="20"/>
              </w:rPr>
              <w:t>3</w:t>
            </w:r>
            <w:r>
              <w:rPr>
                <w:rFonts w:eastAsia="Times New Roman" w:cstheme="minorHAnsi"/>
                <w:color w:val="000000" w:themeColor="text1"/>
                <w:sz w:val="20"/>
                <w:szCs w:val="20"/>
              </w:rPr>
              <w:t> </w:t>
            </w:r>
            <w:r w:rsidRPr="00020413">
              <w:rPr>
                <w:rFonts w:eastAsia="Times New Roman" w:cstheme="minorHAnsi"/>
                <w:color w:val="000000" w:themeColor="text1"/>
                <w:sz w:val="20"/>
                <w:szCs w:val="20"/>
              </w:rPr>
              <w:t>097</w:t>
            </w:r>
            <w:r>
              <w:rPr>
                <w:rFonts w:eastAsia="Times New Roman" w:cstheme="minorHAnsi"/>
                <w:color w:val="000000" w:themeColor="text1"/>
                <w:sz w:val="20"/>
                <w:szCs w:val="20"/>
              </w:rPr>
              <w:t> </w:t>
            </w:r>
            <w:r w:rsidRPr="00020413">
              <w:rPr>
                <w:rFonts w:eastAsia="Times New Roman" w:cstheme="minorHAnsi"/>
                <w:color w:val="000000" w:themeColor="text1"/>
                <w:sz w:val="20"/>
                <w:szCs w:val="20"/>
              </w:rPr>
              <w:t>600</w:t>
            </w:r>
            <w:r>
              <w:rPr>
                <w:rFonts w:eastAsia="Times New Roman" w:cstheme="minorHAnsi"/>
                <w:color w:val="000000" w:themeColor="text1"/>
                <w:sz w:val="20"/>
                <w:szCs w:val="20"/>
              </w:rPr>
              <w:t>,00</w:t>
            </w:r>
          </w:p>
        </w:tc>
        <w:tc>
          <w:tcPr>
            <w:tcW w:w="406" w:type="pct"/>
            <w:tcBorders>
              <w:top w:val="outset" w:sz="6" w:space="0" w:color="000000"/>
              <w:left w:val="outset" w:sz="6" w:space="0" w:color="000000"/>
              <w:bottom w:val="outset" w:sz="6" w:space="0" w:color="000000"/>
              <w:right w:val="outset" w:sz="6" w:space="0" w:color="000000"/>
            </w:tcBorders>
            <w:noWrap/>
            <w:vAlign w:val="center"/>
            <w:hideMark/>
          </w:tcPr>
          <w:p w14:paraId="6D0EDC23" w14:textId="448ADFC7" w:rsidR="00EA107C" w:rsidRPr="00013302" w:rsidRDefault="00EA107C" w:rsidP="00EA107C">
            <w:pPr>
              <w:spacing w:after="0" w:line="240" w:lineRule="auto"/>
              <w:jc w:val="right"/>
              <w:rPr>
                <w:rFonts w:eastAsia="Times New Roman" w:cstheme="minorHAnsi"/>
                <w:color w:val="FF0000"/>
                <w:sz w:val="20"/>
                <w:szCs w:val="20"/>
                <w:lang w:eastAsia="sk-SK"/>
              </w:rPr>
            </w:pPr>
            <w:r w:rsidRPr="00B9042C">
              <w:rPr>
                <w:rFonts w:eastAsia="Times New Roman" w:cstheme="minorHAnsi"/>
                <w:color w:val="000000" w:themeColor="text1"/>
                <w:sz w:val="20"/>
                <w:szCs w:val="20"/>
              </w:rPr>
              <w:t>100,72</w:t>
            </w:r>
          </w:p>
        </w:tc>
        <w:tc>
          <w:tcPr>
            <w:tcW w:w="644" w:type="pct"/>
            <w:tcBorders>
              <w:top w:val="outset" w:sz="6" w:space="0" w:color="000000"/>
              <w:left w:val="outset" w:sz="6" w:space="0" w:color="000000"/>
              <w:bottom w:val="outset" w:sz="6" w:space="0" w:color="000000"/>
              <w:right w:val="outset" w:sz="6" w:space="0" w:color="000000"/>
            </w:tcBorders>
            <w:noWrap/>
            <w:vAlign w:val="center"/>
            <w:hideMark/>
          </w:tcPr>
          <w:p w14:paraId="6E201722"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color w:val="000000" w:themeColor="text1"/>
                <w:sz w:val="20"/>
                <w:szCs w:val="20"/>
                <w:lang w:eastAsia="sk-SK"/>
              </w:rPr>
              <w:t>3 110 600,00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0246D42"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color w:val="000000" w:themeColor="text1"/>
                <w:sz w:val="20"/>
                <w:szCs w:val="20"/>
                <w:lang w:eastAsia="sk-SK"/>
              </w:rPr>
              <w:t>100,42</w:t>
            </w:r>
          </w:p>
        </w:tc>
      </w:tr>
      <w:tr w:rsidR="00EA107C" w:rsidRPr="00013302" w14:paraId="14392723" w14:textId="77777777" w:rsidTr="00EA107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9D3E6D" w14:textId="77777777" w:rsidR="00EA107C" w:rsidRPr="00013302" w:rsidRDefault="00EA107C" w:rsidP="00EA107C">
            <w:pPr>
              <w:spacing w:after="0" w:line="240" w:lineRule="auto"/>
              <w:rPr>
                <w:rFonts w:eastAsia="Times New Roman" w:cstheme="minorHAnsi"/>
                <w:sz w:val="20"/>
                <w:szCs w:val="20"/>
                <w:lang w:eastAsia="sk-SK"/>
              </w:rPr>
            </w:pPr>
            <w:r w:rsidRPr="00013302">
              <w:rPr>
                <w:rFonts w:eastAsia="Times New Roman" w:cstheme="minorHAnsi"/>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708661" w14:textId="77777777" w:rsidR="00EA107C" w:rsidRPr="00013302" w:rsidRDefault="00EA107C" w:rsidP="00EA107C">
            <w:pPr>
              <w:spacing w:after="0" w:line="240" w:lineRule="auto"/>
              <w:rPr>
                <w:rFonts w:eastAsia="Times New Roman" w:cstheme="minorHAnsi"/>
                <w:sz w:val="20"/>
                <w:szCs w:val="20"/>
                <w:lang w:eastAsia="sk-SK"/>
              </w:rPr>
            </w:pPr>
            <w:r w:rsidRPr="00013302">
              <w:rPr>
                <w:rFonts w:eastAsia="Times New Roman" w:cstheme="minorHAnsi"/>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E02C94"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color w:val="000000" w:themeColor="text1"/>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1AEEA0" w14:textId="04E69E22" w:rsidR="00EA107C" w:rsidRPr="00013302" w:rsidRDefault="00EA107C" w:rsidP="00EA107C">
            <w:pPr>
              <w:spacing w:after="0" w:line="240" w:lineRule="auto"/>
              <w:jc w:val="right"/>
              <w:rPr>
                <w:rFonts w:eastAsia="Times New Roman" w:cstheme="minorHAnsi"/>
                <w:color w:val="FF0000"/>
                <w:sz w:val="20"/>
                <w:szCs w:val="20"/>
                <w:lang w:eastAsia="sk-SK"/>
              </w:rPr>
            </w:pPr>
            <w:r w:rsidRPr="00755DF8">
              <w:rPr>
                <w:rFonts w:eastAsia="Times New Roman" w:cstheme="minorHAnsi"/>
                <w:color w:val="000000" w:themeColor="text1"/>
                <w:sz w:val="20"/>
                <w:szCs w:val="20"/>
              </w:rPr>
              <w:t>10 000,00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A414731" w14:textId="77777777" w:rsidR="00EA107C" w:rsidRPr="00013302" w:rsidRDefault="00EA107C" w:rsidP="00EA107C">
            <w:pPr>
              <w:spacing w:after="0" w:line="240" w:lineRule="auto"/>
              <w:jc w:val="right"/>
              <w:rPr>
                <w:rFonts w:eastAsia="Times New Roman" w:cstheme="minorHAnsi"/>
                <w:color w:val="FF0000"/>
                <w:sz w:val="20"/>
                <w:szCs w:val="20"/>
                <w:lang w:eastAsia="sk-SK"/>
              </w:rPr>
            </w:pP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14:paraId="4554FF30" w14:textId="154C035C" w:rsidR="00EA107C" w:rsidRPr="00013302" w:rsidRDefault="00EA107C" w:rsidP="00EA107C">
            <w:pPr>
              <w:spacing w:after="0" w:line="240" w:lineRule="auto"/>
              <w:jc w:val="right"/>
              <w:rPr>
                <w:rFonts w:eastAsia="Times New Roman" w:cstheme="minorHAnsi"/>
                <w:color w:val="FF0000"/>
                <w:sz w:val="20"/>
                <w:szCs w:val="20"/>
                <w:lang w:eastAsia="sk-SK"/>
              </w:rPr>
            </w:pPr>
            <w:r w:rsidRPr="00020413">
              <w:rPr>
                <w:rFonts w:eastAsia="Times New Roman" w:cstheme="minorHAnsi"/>
                <w:color w:val="000000" w:themeColor="text1"/>
                <w:sz w:val="20"/>
                <w:szCs w:val="20"/>
              </w:rPr>
              <w:t>10 000,00</w:t>
            </w:r>
          </w:p>
        </w:tc>
        <w:tc>
          <w:tcPr>
            <w:tcW w:w="406" w:type="pct"/>
            <w:tcBorders>
              <w:top w:val="outset" w:sz="6" w:space="0" w:color="000000"/>
              <w:left w:val="outset" w:sz="6" w:space="0" w:color="000000"/>
              <w:bottom w:val="outset" w:sz="6" w:space="0" w:color="000000"/>
              <w:right w:val="outset" w:sz="6" w:space="0" w:color="000000"/>
            </w:tcBorders>
            <w:noWrap/>
            <w:vAlign w:val="center"/>
            <w:hideMark/>
          </w:tcPr>
          <w:p w14:paraId="68CEACDA" w14:textId="76DF276E" w:rsidR="00EA107C" w:rsidRPr="00013302" w:rsidRDefault="00EA107C" w:rsidP="00EA107C">
            <w:pPr>
              <w:spacing w:after="0" w:line="240" w:lineRule="auto"/>
              <w:jc w:val="right"/>
              <w:rPr>
                <w:rFonts w:eastAsia="Times New Roman" w:cstheme="minorHAnsi"/>
                <w:color w:val="FF0000"/>
                <w:sz w:val="20"/>
                <w:szCs w:val="20"/>
                <w:lang w:eastAsia="sk-SK"/>
              </w:rPr>
            </w:pPr>
            <w:r w:rsidRPr="00020413">
              <w:rPr>
                <w:rFonts w:eastAsia="Times New Roman" w:cstheme="minorHAnsi"/>
                <w:color w:val="000000" w:themeColor="text1"/>
                <w:sz w:val="20"/>
                <w:szCs w:val="20"/>
              </w:rPr>
              <w:t>100,00</w:t>
            </w:r>
          </w:p>
        </w:tc>
        <w:tc>
          <w:tcPr>
            <w:tcW w:w="644" w:type="pct"/>
            <w:tcBorders>
              <w:top w:val="outset" w:sz="6" w:space="0" w:color="000000"/>
              <w:left w:val="outset" w:sz="6" w:space="0" w:color="000000"/>
              <w:bottom w:val="outset" w:sz="6" w:space="0" w:color="000000"/>
              <w:right w:val="outset" w:sz="6" w:space="0" w:color="000000"/>
            </w:tcBorders>
            <w:noWrap/>
            <w:vAlign w:val="center"/>
            <w:hideMark/>
          </w:tcPr>
          <w:p w14:paraId="5BCA0DEC"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color w:val="000000" w:themeColor="text1"/>
                <w:sz w:val="20"/>
                <w:szCs w:val="20"/>
                <w:lang w:eastAsia="sk-SK"/>
              </w:rPr>
              <w:t>10 000,00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184F1B2"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color w:val="000000" w:themeColor="text1"/>
                <w:sz w:val="20"/>
                <w:szCs w:val="20"/>
                <w:lang w:eastAsia="sk-SK"/>
              </w:rPr>
              <w:t>100,00</w:t>
            </w:r>
          </w:p>
        </w:tc>
      </w:tr>
      <w:tr w:rsidR="00EA107C" w:rsidRPr="00013302" w14:paraId="6390A1E8" w14:textId="77777777" w:rsidTr="00EA107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9F2BB9" w14:textId="77777777" w:rsidR="00EA107C" w:rsidRPr="00013302" w:rsidRDefault="00EA107C" w:rsidP="00EA107C">
            <w:pPr>
              <w:spacing w:after="0" w:line="240" w:lineRule="auto"/>
              <w:rPr>
                <w:rFonts w:eastAsia="Times New Roman" w:cstheme="minorHAnsi"/>
                <w:sz w:val="20"/>
                <w:szCs w:val="20"/>
                <w:lang w:eastAsia="sk-SK"/>
              </w:rPr>
            </w:pPr>
            <w:r w:rsidRPr="00013302">
              <w:rPr>
                <w:rFonts w:eastAsia="Times New Roman" w:cstheme="minorHAnsi"/>
                <w:b/>
                <w:bCs/>
                <w:sz w:val="20"/>
                <w:szCs w:val="20"/>
                <w:lang w:eastAsia="sk-SK"/>
              </w:rPr>
              <w:t>700</w:t>
            </w:r>
            <w:r w:rsidRPr="00013302">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5D5962" w14:textId="77777777" w:rsidR="00EA107C" w:rsidRPr="00013302" w:rsidRDefault="00EA107C" w:rsidP="00EA107C">
            <w:pPr>
              <w:spacing w:after="0" w:line="240" w:lineRule="auto"/>
              <w:rPr>
                <w:rFonts w:eastAsia="Times New Roman" w:cstheme="minorHAnsi"/>
                <w:sz w:val="20"/>
                <w:szCs w:val="20"/>
                <w:lang w:eastAsia="sk-SK"/>
              </w:rPr>
            </w:pPr>
            <w:r w:rsidRPr="00013302">
              <w:rPr>
                <w:rFonts w:eastAsia="Times New Roman" w:cstheme="minorHAnsi"/>
                <w:b/>
                <w:bCs/>
                <w:sz w:val="20"/>
                <w:szCs w:val="20"/>
                <w:lang w:eastAsia="sk-SK"/>
              </w:rPr>
              <w:t>Kapitálové výdavky</w:t>
            </w:r>
            <w:r w:rsidRPr="00013302">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3AE423"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b/>
                <w:bCs/>
                <w:color w:val="000000" w:themeColor="text1"/>
                <w:sz w:val="20"/>
                <w:szCs w:val="20"/>
                <w:lang w:eastAsia="sk-SK"/>
              </w:rPr>
              <w:t>3 942 212,00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4EDCE5" w14:textId="01601CF6" w:rsidR="00EA107C" w:rsidRPr="00013302" w:rsidRDefault="00EA107C" w:rsidP="00EA107C">
            <w:pPr>
              <w:spacing w:after="0" w:line="240" w:lineRule="auto"/>
              <w:jc w:val="right"/>
              <w:rPr>
                <w:rFonts w:eastAsia="Times New Roman" w:cstheme="minorHAnsi"/>
                <w:color w:val="FF0000"/>
                <w:sz w:val="20"/>
                <w:szCs w:val="20"/>
                <w:lang w:eastAsia="sk-SK"/>
              </w:rPr>
            </w:pPr>
            <w:r w:rsidRPr="00755DF8">
              <w:rPr>
                <w:rFonts w:eastAsia="Times New Roman" w:cstheme="minorHAnsi"/>
                <w:b/>
                <w:bCs/>
                <w:color w:val="000000" w:themeColor="text1"/>
                <w:sz w:val="20"/>
                <w:szCs w:val="20"/>
              </w:rPr>
              <w:t>1 000 000,00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7D104A" w14:textId="423AF877" w:rsidR="00EA107C" w:rsidRPr="00013302" w:rsidRDefault="00EA107C" w:rsidP="00EA107C">
            <w:pPr>
              <w:spacing w:after="0" w:line="240" w:lineRule="auto"/>
              <w:jc w:val="right"/>
              <w:rPr>
                <w:rFonts w:eastAsia="Times New Roman" w:cstheme="minorHAnsi"/>
                <w:color w:val="FF0000"/>
                <w:sz w:val="20"/>
                <w:szCs w:val="20"/>
                <w:lang w:eastAsia="sk-SK"/>
              </w:rPr>
            </w:pPr>
            <w:r w:rsidRPr="00C17BE2">
              <w:rPr>
                <w:rFonts w:eastAsia="Times New Roman" w:cstheme="minorHAnsi"/>
                <w:b/>
                <w:bCs/>
                <w:color w:val="000000" w:themeColor="text1"/>
                <w:sz w:val="20"/>
                <w:szCs w:val="20"/>
              </w:rPr>
              <w:t>25,37</w:t>
            </w:r>
          </w:p>
        </w:tc>
        <w:tc>
          <w:tcPr>
            <w:tcW w:w="58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E6AB38" w14:textId="137FDBA1" w:rsidR="00EA107C" w:rsidRPr="00013302" w:rsidRDefault="00EA107C" w:rsidP="00EA107C">
            <w:pPr>
              <w:spacing w:after="0" w:line="240" w:lineRule="auto"/>
              <w:jc w:val="right"/>
              <w:rPr>
                <w:rFonts w:eastAsia="Times New Roman" w:cstheme="minorHAnsi"/>
                <w:b/>
                <w:bCs/>
                <w:color w:val="FF0000"/>
                <w:sz w:val="20"/>
                <w:szCs w:val="20"/>
                <w:lang w:eastAsia="sk-SK"/>
              </w:rPr>
            </w:pPr>
            <w:r w:rsidRPr="00020413">
              <w:rPr>
                <w:rFonts w:eastAsia="Times New Roman" w:cstheme="minorHAnsi"/>
                <w:b/>
                <w:bCs/>
                <w:color w:val="000000" w:themeColor="text1"/>
                <w:sz w:val="20"/>
                <w:szCs w:val="20"/>
              </w:rPr>
              <w:t>3 500 000,00</w:t>
            </w:r>
          </w:p>
        </w:tc>
        <w:tc>
          <w:tcPr>
            <w:tcW w:w="4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434FFF" w14:textId="09B6DB3B" w:rsidR="00EA107C" w:rsidRPr="00013302" w:rsidRDefault="00EA107C" w:rsidP="00EA107C">
            <w:pPr>
              <w:spacing w:after="0" w:line="240" w:lineRule="auto"/>
              <w:jc w:val="right"/>
              <w:rPr>
                <w:rFonts w:eastAsia="Times New Roman" w:cstheme="minorHAnsi"/>
                <w:b/>
                <w:bCs/>
                <w:color w:val="FF0000"/>
                <w:sz w:val="20"/>
                <w:szCs w:val="20"/>
                <w:lang w:eastAsia="sk-SK"/>
              </w:rPr>
            </w:pPr>
            <w:r w:rsidRPr="00314C1B">
              <w:rPr>
                <w:rFonts w:eastAsia="Times New Roman" w:cstheme="minorHAnsi"/>
                <w:b/>
                <w:bCs/>
                <w:color w:val="000000" w:themeColor="text1"/>
                <w:sz w:val="20"/>
                <w:szCs w:val="20"/>
              </w:rPr>
              <w:t>350,00</w:t>
            </w:r>
          </w:p>
        </w:tc>
        <w:tc>
          <w:tcPr>
            <w:tcW w:w="64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60BC81"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b/>
                <w:bCs/>
                <w:color w:val="000000" w:themeColor="text1"/>
                <w:sz w:val="20"/>
                <w:szCs w:val="20"/>
                <w:lang w:eastAsia="sk-SK"/>
              </w:rPr>
              <w:t>12 000 000,00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2C9D04" w14:textId="77777777" w:rsidR="00EA107C" w:rsidRPr="00013302" w:rsidRDefault="00EA107C" w:rsidP="00EA107C">
            <w:pPr>
              <w:spacing w:after="0" w:line="240" w:lineRule="auto"/>
              <w:jc w:val="right"/>
              <w:rPr>
                <w:rFonts w:eastAsia="Times New Roman" w:cstheme="minorHAnsi"/>
                <w:b/>
                <w:bCs/>
                <w:color w:val="FF0000"/>
                <w:sz w:val="20"/>
                <w:szCs w:val="20"/>
                <w:lang w:eastAsia="sk-SK"/>
              </w:rPr>
            </w:pPr>
            <w:r w:rsidRPr="00013302">
              <w:rPr>
                <w:rFonts w:eastAsia="Times New Roman" w:cstheme="minorHAnsi"/>
                <w:b/>
                <w:bCs/>
                <w:color w:val="000000" w:themeColor="text1"/>
                <w:sz w:val="20"/>
                <w:szCs w:val="20"/>
                <w:lang w:eastAsia="sk-SK"/>
              </w:rPr>
              <w:t>342,86</w:t>
            </w:r>
          </w:p>
        </w:tc>
      </w:tr>
      <w:tr w:rsidR="00EA107C" w:rsidRPr="00013302" w14:paraId="44FB8BE6" w14:textId="77777777" w:rsidTr="00EA107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A01A12" w14:textId="77777777" w:rsidR="00EA107C" w:rsidRPr="00013302" w:rsidRDefault="00EA107C" w:rsidP="00EA107C">
            <w:pPr>
              <w:spacing w:after="0" w:line="240" w:lineRule="auto"/>
              <w:rPr>
                <w:rFonts w:eastAsia="Times New Roman" w:cstheme="minorHAnsi"/>
                <w:sz w:val="20"/>
                <w:szCs w:val="20"/>
                <w:lang w:eastAsia="sk-SK"/>
              </w:rPr>
            </w:pPr>
            <w:r w:rsidRPr="00013302">
              <w:rPr>
                <w:rFonts w:eastAsia="Times New Roman" w:cstheme="minorHAnsi"/>
                <w:sz w:val="20"/>
                <w:szCs w:val="20"/>
                <w:lang w:eastAsia="sk-SK"/>
              </w:rPr>
              <w:t xml:space="preserve">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1507BF" w14:textId="77777777" w:rsidR="00EA107C" w:rsidRPr="00013302" w:rsidRDefault="00EA107C" w:rsidP="00EA107C">
            <w:pPr>
              <w:spacing w:after="0" w:line="240" w:lineRule="auto"/>
              <w:rPr>
                <w:rFonts w:eastAsia="Times New Roman" w:cstheme="minorHAnsi"/>
                <w:sz w:val="20"/>
                <w:szCs w:val="20"/>
                <w:lang w:eastAsia="sk-SK"/>
              </w:rPr>
            </w:pPr>
            <w:proofErr w:type="spellStart"/>
            <w:r w:rsidRPr="00013302">
              <w:rPr>
                <w:rFonts w:eastAsia="Times New Roman" w:cstheme="minorHAnsi"/>
                <w:sz w:val="20"/>
                <w:szCs w:val="20"/>
                <w:lang w:eastAsia="sk-SK"/>
              </w:rPr>
              <w:t>Obst</w:t>
            </w:r>
            <w:proofErr w:type="spellEnd"/>
            <w:r w:rsidRPr="00013302">
              <w:rPr>
                <w:rFonts w:eastAsia="Times New Roman" w:cstheme="minorHAnsi"/>
                <w:sz w:val="20"/>
                <w:szCs w:val="20"/>
                <w:lang w:eastAsia="sk-SK"/>
              </w:rPr>
              <w:t xml:space="preserve">. </w:t>
            </w:r>
            <w:proofErr w:type="spellStart"/>
            <w:r w:rsidRPr="00013302">
              <w:rPr>
                <w:rFonts w:eastAsia="Times New Roman" w:cstheme="minorHAnsi"/>
                <w:sz w:val="20"/>
                <w:szCs w:val="20"/>
                <w:lang w:eastAsia="sk-SK"/>
              </w:rPr>
              <w:t>kapit</w:t>
            </w:r>
            <w:proofErr w:type="spellEnd"/>
            <w:r w:rsidRPr="00013302">
              <w:rPr>
                <w:rFonts w:eastAsia="Times New Roman" w:cstheme="minorHAnsi"/>
                <w:sz w:val="20"/>
                <w:szCs w:val="20"/>
                <w:lang w:eastAsia="sk-SK"/>
              </w:rPr>
              <w:t xml:space="preserve">. aktív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D6F0C0"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color w:val="000000" w:themeColor="text1"/>
                <w:sz w:val="20"/>
                <w:szCs w:val="20"/>
                <w:lang w:eastAsia="sk-SK"/>
              </w:rPr>
              <w:t>3 942 212,00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DE985E" w14:textId="2B13020F" w:rsidR="00EA107C" w:rsidRPr="00013302" w:rsidRDefault="00EA107C" w:rsidP="00EA107C">
            <w:pPr>
              <w:spacing w:after="0" w:line="240" w:lineRule="auto"/>
              <w:jc w:val="right"/>
              <w:rPr>
                <w:rFonts w:eastAsia="Times New Roman" w:cstheme="minorHAnsi"/>
                <w:color w:val="FF0000"/>
                <w:sz w:val="20"/>
                <w:szCs w:val="20"/>
                <w:lang w:eastAsia="sk-SK"/>
              </w:rPr>
            </w:pPr>
            <w:r w:rsidRPr="00755DF8">
              <w:rPr>
                <w:rFonts w:eastAsia="Times New Roman" w:cstheme="minorHAnsi"/>
                <w:color w:val="000000" w:themeColor="text1"/>
                <w:sz w:val="20"/>
                <w:szCs w:val="20"/>
              </w:rPr>
              <w:t>1 000 000,00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2A8824D8" w14:textId="01BCBD15" w:rsidR="00EA107C" w:rsidRPr="00013302" w:rsidRDefault="00EA107C" w:rsidP="00EA107C">
            <w:pPr>
              <w:spacing w:after="0" w:line="240" w:lineRule="auto"/>
              <w:jc w:val="right"/>
              <w:rPr>
                <w:rFonts w:eastAsia="Times New Roman" w:cstheme="minorHAnsi"/>
                <w:color w:val="FF0000"/>
                <w:sz w:val="20"/>
                <w:szCs w:val="20"/>
                <w:lang w:eastAsia="sk-SK"/>
              </w:rPr>
            </w:pPr>
            <w:r w:rsidRPr="00C17BE2">
              <w:rPr>
                <w:rFonts w:eastAsia="Times New Roman" w:cstheme="minorHAnsi"/>
                <w:color w:val="000000" w:themeColor="text1"/>
                <w:sz w:val="20"/>
                <w:szCs w:val="20"/>
              </w:rPr>
              <w:t>25,37</w:t>
            </w:r>
          </w:p>
        </w:tc>
        <w:tc>
          <w:tcPr>
            <w:tcW w:w="584" w:type="pct"/>
            <w:tcBorders>
              <w:top w:val="outset" w:sz="6" w:space="0" w:color="000000"/>
              <w:left w:val="outset" w:sz="6" w:space="0" w:color="000000"/>
              <w:bottom w:val="outset" w:sz="6" w:space="0" w:color="000000"/>
              <w:right w:val="outset" w:sz="6" w:space="0" w:color="000000"/>
            </w:tcBorders>
            <w:noWrap/>
            <w:vAlign w:val="center"/>
            <w:hideMark/>
          </w:tcPr>
          <w:p w14:paraId="43FA2C04" w14:textId="009CE4AE" w:rsidR="00EA107C" w:rsidRPr="00013302" w:rsidRDefault="00EA107C" w:rsidP="00EA107C">
            <w:pPr>
              <w:spacing w:after="0" w:line="240" w:lineRule="auto"/>
              <w:jc w:val="right"/>
              <w:rPr>
                <w:rFonts w:eastAsia="Times New Roman" w:cstheme="minorHAnsi"/>
                <w:color w:val="FF0000"/>
                <w:sz w:val="20"/>
                <w:szCs w:val="20"/>
                <w:lang w:eastAsia="sk-SK"/>
              </w:rPr>
            </w:pPr>
            <w:r w:rsidRPr="00020413">
              <w:rPr>
                <w:rFonts w:eastAsia="Times New Roman" w:cstheme="minorHAnsi"/>
                <w:color w:val="000000" w:themeColor="text1"/>
                <w:sz w:val="20"/>
                <w:szCs w:val="20"/>
              </w:rPr>
              <w:t>3 500 000,00</w:t>
            </w:r>
          </w:p>
        </w:tc>
        <w:tc>
          <w:tcPr>
            <w:tcW w:w="406" w:type="pct"/>
            <w:tcBorders>
              <w:top w:val="outset" w:sz="6" w:space="0" w:color="000000"/>
              <w:left w:val="outset" w:sz="6" w:space="0" w:color="000000"/>
              <w:bottom w:val="outset" w:sz="6" w:space="0" w:color="000000"/>
              <w:right w:val="outset" w:sz="6" w:space="0" w:color="000000"/>
            </w:tcBorders>
            <w:noWrap/>
            <w:vAlign w:val="center"/>
            <w:hideMark/>
          </w:tcPr>
          <w:p w14:paraId="6F775C1C" w14:textId="228661BF" w:rsidR="00EA107C" w:rsidRPr="00013302" w:rsidRDefault="00EA107C" w:rsidP="00EA107C">
            <w:pPr>
              <w:spacing w:after="0" w:line="240" w:lineRule="auto"/>
              <w:jc w:val="right"/>
              <w:rPr>
                <w:rFonts w:eastAsia="Times New Roman" w:cstheme="minorHAnsi"/>
                <w:color w:val="FF0000"/>
                <w:sz w:val="20"/>
                <w:szCs w:val="20"/>
                <w:lang w:eastAsia="sk-SK"/>
              </w:rPr>
            </w:pPr>
            <w:r w:rsidRPr="00314C1B">
              <w:rPr>
                <w:rFonts w:eastAsia="Times New Roman" w:cstheme="minorHAnsi"/>
                <w:color w:val="000000" w:themeColor="text1"/>
                <w:sz w:val="20"/>
                <w:szCs w:val="20"/>
              </w:rPr>
              <w:t>350,00</w:t>
            </w:r>
          </w:p>
        </w:tc>
        <w:tc>
          <w:tcPr>
            <w:tcW w:w="644" w:type="pct"/>
            <w:tcBorders>
              <w:top w:val="outset" w:sz="6" w:space="0" w:color="000000"/>
              <w:left w:val="outset" w:sz="6" w:space="0" w:color="000000"/>
              <w:bottom w:val="outset" w:sz="6" w:space="0" w:color="000000"/>
              <w:right w:val="outset" w:sz="6" w:space="0" w:color="000000"/>
            </w:tcBorders>
            <w:noWrap/>
            <w:vAlign w:val="center"/>
            <w:hideMark/>
          </w:tcPr>
          <w:p w14:paraId="51158306"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color w:val="000000" w:themeColor="text1"/>
                <w:sz w:val="20"/>
                <w:szCs w:val="20"/>
                <w:lang w:eastAsia="sk-SK"/>
              </w:rPr>
              <w:t>12 000 000,00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15069E7" w14:textId="77777777" w:rsidR="00EA107C" w:rsidRPr="00013302" w:rsidRDefault="00EA107C" w:rsidP="00EA107C">
            <w:pPr>
              <w:spacing w:after="0" w:line="240" w:lineRule="auto"/>
              <w:jc w:val="right"/>
              <w:rPr>
                <w:rFonts w:eastAsia="Times New Roman" w:cstheme="minorHAnsi"/>
                <w:color w:val="FF0000"/>
                <w:sz w:val="20"/>
                <w:szCs w:val="20"/>
                <w:lang w:eastAsia="sk-SK"/>
              </w:rPr>
            </w:pPr>
            <w:r w:rsidRPr="00013302">
              <w:rPr>
                <w:rFonts w:eastAsia="Times New Roman" w:cstheme="minorHAnsi"/>
                <w:color w:val="000000" w:themeColor="text1"/>
                <w:sz w:val="20"/>
                <w:szCs w:val="20"/>
                <w:lang w:eastAsia="sk-SK"/>
              </w:rPr>
              <w:t>342,86</w:t>
            </w:r>
          </w:p>
        </w:tc>
      </w:tr>
    </w:tbl>
    <w:p w14:paraId="0132CD40" w14:textId="77777777" w:rsidR="00013302" w:rsidRPr="00013302" w:rsidRDefault="00013302" w:rsidP="00013302">
      <w:pPr>
        <w:spacing w:after="0" w:line="240" w:lineRule="auto"/>
        <w:rPr>
          <w:rFonts w:eastAsiaTheme="minorEastAsia" w:cstheme="minorHAnsi"/>
          <w:vanish/>
          <w:sz w:val="20"/>
          <w:szCs w:val="20"/>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15"/>
        <w:gridCol w:w="1939"/>
        <w:gridCol w:w="2071"/>
        <w:gridCol w:w="1939"/>
        <w:gridCol w:w="2086"/>
      </w:tblGrid>
      <w:tr w:rsidR="00013302" w:rsidRPr="00013302" w14:paraId="03B4189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F8C9CC" w14:textId="77777777" w:rsidR="00013302" w:rsidRPr="00EA3962" w:rsidRDefault="00013302" w:rsidP="00013302">
            <w:pPr>
              <w:spacing w:after="0" w:line="240" w:lineRule="auto"/>
              <w:rPr>
                <w:rFonts w:eastAsia="Times New Roman" w:cstheme="minorHAnsi"/>
                <w:sz w:val="24"/>
                <w:szCs w:val="24"/>
                <w:lang w:eastAsia="sk-SK"/>
              </w:rPr>
            </w:pPr>
            <w:r w:rsidRPr="00EA3962">
              <w:rPr>
                <w:rFonts w:eastAsia="Times New Roman" w:cstheme="minorHAns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625DC5" w14:textId="77777777" w:rsidR="00013302" w:rsidRPr="00EA3962" w:rsidRDefault="00013302" w:rsidP="00013302">
            <w:pPr>
              <w:spacing w:after="0" w:line="240" w:lineRule="auto"/>
              <w:rPr>
                <w:rFonts w:eastAsia="Times New Roman" w:cstheme="minorHAnsi"/>
                <w:sz w:val="24"/>
                <w:szCs w:val="24"/>
                <w:lang w:eastAsia="sk-SK"/>
              </w:rPr>
            </w:pPr>
            <w:r w:rsidRPr="00EA3962">
              <w:rPr>
                <w:rFonts w:eastAsia="Times New Roman" w:cstheme="minorHAnsi"/>
                <w:sz w:val="24"/>
                <w:szCs w:val="24"/>
                <w:lang w:eastAsia="sk-SK"/>
              </w:rPr>
              <w:t>Oddelenie správy majetku </w:t>
            </w:r>
            <w:r w:rsidRPr="00EA3962">
              <w:rPr>
                <w:rFonts w:eastAsia="Times New Roman" w:cstheme="minorHAnsi"/>
                <w:sz w:val="24"/>
                <w:szCs w:val="24"/>
                <w:lang w:eastAsia="sk-SK"/>
              </w:rPr>
              <w:br/>
              <w:t xml:space="preserve">Oddelenie </w:t>
            </w:r>
            <w:proofErr w:type="spellStart"/>
            <w:r w:rsidRPr="00EA3962">
              <w:rPr>
                <w:rFonts w:eastAsia="Times New Roman" w:cstheme="minorHAnsi"/>
                <w:sz w:val="24"/>
                <w:szCs w:val="24"/>
                <w:lang w:eastAsia="sk-SK"/>
              </w:rPr>
              <w:t>autoprevádzky</w:t>
            </w:r>
            <w:proofErr w:type="spellEnd"/>
            <w:r w:rsidRPr="00EA3962">
              <w:rPr>
                <w:rFonts w:eastAsia="Times New Roman" w:cstheme="minorHAnsi"/>
                <w:sz w:val="24"/>
                <w:szCs w:val="24"/>
                <w:lang w:eastAsia="sk-SK"/>
              </w:rPr>
              <w:t> </w:t>
            </w:r>
            <w:r w:rsidRPr="00EA3962">
              <w:rPr>
                <w:rFonts w:eastAsia="Times New Roman" w:cstheme="minorHAnsi"/>
                <w:sz w:val="24"/>
                <w:szCs w:val="24"/>
                <w:lang w:eastAsia="sk-SK"/>
              </w:rPr>
              <w:br/>
              <w:t>Oddelenie riadenia ľudských zdrojov a miezd </w:t>
            </w:r>
          </w:p>
        </w:tc>
      </w:tr>
      <w:tr w:rsidR="00013302" w:rsidRPr="00013302" w14:paraId="5C6F02B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1EFACF" w14:textId="77777777" w:rsidR="00013302" w:rsidRPr="00EA3962" w:rsidRDefault="00013302" w:rsidP="00013302">
            <w:pPr>
              <w:spacing w:after="0" w:line="240" w:lineRule="auto"/>
              <w:rPr>
                <w:rFonts w:eastAsia="Times New Roman" w:cstheme="minorHAnsi"/>
                <w:sz w:val="24"/>
                <w:szCs w:val="24"/>
                <w:lang w:eastAsia="sk-SK"/>
              </w:rPr>
            </w:pPr>
            <w:r w:rsidRPr="00EA3962">
              <w:rPr>
                <w:rFonts w:eastAsia="Times New Roman" w:cstheme="minorHAns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8892A7" w14:textId="77777777" w:rsidR="00013302" w:rsidRPr="00EA3962" w:rsidRDefault="00013302" w:rsidP="00013302">
            <w:pPr>
              <w:spacing w:after="0" w:line="240" w:lineRule="auto"/>
              <w:rPr>
                <w:rFonts w:eastAsia="Times New Roman" w:cstheme="minorHAnsi"/>
                <w:b/>
                <w:bCs/>
                <w:sz w:val="24"/>
                <w:szCs w:val="24"/>
                <w:lang w:eastAsia="sk-SK"/>
              </w:rPr>
            </w:pPr>
            <w:r w:rsidRPr="00EA3962">
              <w:rPr>
                <w:rFonts w:eastAsia="Times New Roman" w:cstheme="minorHAnsi"/>
                <w:b/>
                <w:bCs/>
                <w:sz w:val="24"/>
                <w:szCs w:val="24"/>
                <w:lang w:eastAsia="sk-SK"/>
              </w:rPr>
              <w:t>Zabezpečiť potrebné interiérové vybavenie, všeobecný materiál a literatúru </w:t>
            </w:r>
          </w:p>
        </w:tc>
      </w:tr>
      <w:tr w:rsidR="00013302" w:rsidRPr="00013302" w14:paraId="4EC5EEA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C9351A" w14:textId="77777777" w:rsidR="00013302" w:rsidRPr="00EA3962" w:rsidRDefault="00013302" w:rsidP="00013302">
            <w:pPr>
              <w:spacing w:after="0" w:line="240" w:lineRule="auto"/>
              <w:rPr>
                <w:rFonts w:eastAsia="Times New Roman" w:cstheme="minorHAnsi"/>
                <w:sz w:val="24"/>
                <w:szCs w:val="24"/>
                <w:lang w:eastAsia="sk-SK"/>
              </w:rPr>
            </w:pPr>
            <w:r w:rsidRPr="00EA396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06E683" w14:textId="77777777" w:rsidR="00013302" w:rsidRPr="00EA3962" w:rsidRDefault="00013302" w:rsidP="00013302">
            <w:pPr>
              <w:spacing w:after="0" w:line="240" w:lineRule="auto"/>
              <w:rPr>
                <w:rFonts w:eastAsia="Times New Roman" w:cstheme="minorHAnsi"/>
                <w:sz w:val="24"/>
                <w:szCs w:val="24"/>
                <w:lang w:eastAsia="sk-SK"/>
              </w:rPr>
            </w:pPr>
            <w:r w:rsidRPr="00EA3962">
              <w:rPr>
                <w:rFonts w:eastAsia="Times New Roman" w:cstheme="minorHAnsi"/>
                <w:sz w:val="24"/>
                <w:szCs w:val="24"/>
                <w:lang w:eastAsia="sk-SK"/>
              </w:rPr>
              <w:t>Ročný náklad na dodanie odbornej literatúry a dennej tlače </w:t>
            </w:r>
          </w:p>
        </w:tc>
      </w:tr>
      <w:tr w:rsidR="00013302" w:rsidRPr="00013302" w14:paraId="2F0F1C9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6260CE" w14:textId="77777777" w:rsidR="00013302" w:rsidRPr="00EA3962" w:rsidRDefault="00013302" w:rsidP="00013302">
            <w:pPr>
              <w:spacing w:after="0" w:line="240" w:lineRule="auto"/>
              <w:rPr>
                <w:rFonts w:eastAsia="Times New Roman" w:cstheme="minorHAnsi"/>
                <w:sz w:val="24"/>
                <w:szCs w:val="24"/>
                <w:lang w:eastAsia="sk-SK"/>
              </w:rPr>
            </w:pPr>
            <w:r w:rsidRPr="00EA396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287F46" w14:textId="77777777" w:rsidR="00013302" w:rsidRPr="00EA3962" w:rsidRDefault="00013302" w:rsidP="00013302">
            <w:pPr>
              <w:spacing w:after="0" w:line="240" w:lineRule="auto"/>
              <w:jc w:val="center"/>
              <w:rPr>
                <w:rFonts w:eastAsia="Times New Roman" w:cstheme="minorHAnsi"/>
                <w:sz w:val="24"/>
                <w:szCs w:val="24"/>
                <w:lang w:eastAsia="sk-SK"/>
              </w:rPr>
            </w:pPr>
            <w:r w:rsidRPr="00EA3962">
              <w:rPr>
                <w:rFonts w:eastAsia="Times New Roman" w:cstheme="minorHAns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A7825C" w14:textId="77777777" w:rsidR="00013302" w:rsidRPr="00EA3962" w:rsidRDefault="00013302" w:rsidP="00013302">
            <w:pPr>
              <w:spacing w:after="0" w:line="240" w:lineRule="auto"/>
              <w:jc w:val="center"/>
              <w:rPr>
                <w:rFonts w:eastAsia="Times New Roman" w:cstheme="minorHAnsi"/>
                <w:sz w:val="24"/>
                <w:szCs w:val="24"/>
                <w:lang w:eastAsia="sk-SK"/>
              </w:rPr>
            </w:pPr>
            <w:r w:rsidRPr="00EA3962">
              <w:rPr>
                <w:rFonts w:eastAsia="Times New Roman" w:cstheme="minorHAns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40ECC6" w14:textId="77777777" w:rsidR="00013302" w:rsidRPr="00EA3962" w:rsidRDefault="00013302" w:rsidP="00013302">
            <w:pPr>
              <w:spacing w:after="0" w:line="240" w:lineRule="auto"/>
              <w:jc w:val="center"/>
              <w:rPr>
                <w:rFonts w:eastAsia="Times New Roman" w:cstheme="minorHAnsi"/>
                <w:sz w:val="24"/>
                <w:szCs w:val="24"/>
                <w:lang w:eastAsia="sk-SK"/>
              </w:rPr>
            </w:pPr>
            <w:r w:rsidRPr="00EA3962">
              <w:rPr>
                <w:rFonts w:eastAsia="Times New Roman" w:cstheme="minorHAns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C82A65" w14:textId="77777777" w:rsidR="00013302" w:rsidRPr="00EA3962" w:rsidRDefault="00013302" w:rsidP="00013302">
            <w:pPr>
              <w:spacing w:after="0" w:line="240" w:lineRule="auto"/>
              <w:jc w:val="center"/>
              <w:rPr>
                <w:rFonts w:eastAsia="Times New Roman" w:cstheme="minorHAnsi"/>
                <w:sz w:val="24"/>
                <w:szCs w:val="24"/>
                <w:lang w:eastAsia="sk-SK"/>
              </w:rPr>
            </w:pPr>
            <w:r w:rsidRPr="00EA3962">
              <w:rPr>
                <w:rFonts w:eastAsia="Times New Roman" w:cstheme="minorHAnsi"/>
                <w:sz w:val="24"/>
                <w:szCs w:val="24"/>
                <w:lang w:eastAsia="sk-SK"/>
              </w:rPr>
              <w:t>2027</w:t>
            </w:r>
          </w:p>
        </w:tc>
      </w:tr>
      <w:tr w:rsidR="00013302" w:rsidRPr="00013302" w14:paraId="380E9D8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C893A9" w14:textId="77777777" w:rsidR="00013302" w:rsidRPr="00EA3962" w:rsidRDefault="00013302" w:rsidP="00013302">
            <w:pPr>
              <w:spacing w:after="0" w:line="240" w:lineRule="auto"/>
              <w:rPr>
                <w:rFonts w:eastAsia="Times New Roman" w:cstheme="minorHAnsi"/>
                <w:sz w:val="24"/>
                <w:szCs w:val="24"/>
                <w:lang w:eastAsia="sk-SK"/>
              </w:rPr>
            </w:pPr>
            <w:r w:rsidRPr="00EA396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D5AD30" w14:textId="77777777" w:rsidR="00013302" w:rsidRPr="00EA3962" w:rsidRDefault="00013302" w:rsidP="00013302">
            <w:pPr>
              <w:spacing w:after="0" w:line="240" w:lineRule="auto"/>
              <w:jc w:val="center"/>
              <w:rPr>
                <w:rFonts w:eastAsia="Times New Roman" w:cstheme="minorHAnsi"/>
                <w:color w:val="FF0000"/>
                <w:sz w:val="24"/>
                <w:szCs w:val="24"/>
                <w:lang w:eastAsia="sk-SK"/>
              </w:rPr>
            </w:pPr>
            <w:r w:rsidRPr="00EA3962">
              <w:rPr>
                <w:rFonts w:eastAsia="Times New Roman" w:cstheme="minorHAnsi"/>
                <w:color w:val="000000" w:themeColor="text1"/>
                <w:sz w:val="24"/>
                <w:szCs w:val="24"/>
                <w:lang w:eastAsia="sk-SK"/>
              </w:rPr>
              <w:t> 12 000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61C867" w14:textId="77777777" w:rsidR="00013302" w:rsidRPr="00EA3962" w:rsidRDefault="00013302" w:rsidP="00013302">
            <w:pPr>
              <w:spacing w:after="0" w:line="240" w:lineRule="auto"/>
              <w:jc w:val="center"/>
              <w:rPr>
                <w:rFonts w:eastAsia="Times New Roman" w:cstheme="minorHAnsi"/>
                <w:b/>
                <w:bCs/>
                <w:color w:val="FF0000"/>
                <w:sz w:val="24"/>
                <w:szCs w:val="24"/>
                <w:lang w:eastAsia="sk-SK"/>
              </w:rPr>
            </w:pPr>
            <w:r w:rsidRPr="00EA3962">
              <w:rPr>
                <w:rFonts w:eastAsia="Times New Roman" w:cstheme="minorHAnsi"/>
                <w:b/>
                <w:bCs/>
                <w:color w:val="FF0000"/>
                <w:sz w:val="24"/>
                <w:szCs w:val="24"/>
                <w:lang w:eastAsia="sk-SK"/>
              </w:rPr>
              <w:t> </w:t>
            </w:r>
            <w:r w:rsidRPr="00EA3962">
              <w:rPr>
                <w:rFonts w:eastAsia="Times New Roman" w:cstheme="minorHAnsi"/>
                <w:color w:val="000000" w:themeColor="text1"/>
                <w:sz w:val="24"/>
                <w:szCs w:val="24"/>
                <w:lang w:eastAsia="sk-SK"/>
              </w:rPr>
              <w:t> </w:t>
            </w:r>
            <w:r w:rsidRPr="00EA3962">
              <w:rPr>
                <w:rFonts w:eastAsia="Times New Roman" w:cstheme="minorHAnsi"/>
                <w:b/>
                <w:bCs/>
                <w:color w:val="000000" w:themeColor="text1"/>
                <w:sz w:val="24"/>
                <w:szCs w:val="24"/>
                <w:lang w:eastAsia="sk-SK"/>
              </w:rPr>
              <w:t>10 000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51F993" w14:textId="77777777" w:rsidR="00013302" w:rsidRPr="00EA3962" w:rsidRDefault="00013302" w:rsidP="00013302">
            <w:pPr>
              <w:spacing w:after="0" w:line="240" w:lineRule="auto"/>
              <w:jc w:val="center"/>
              <w:rPr>
                <w:rFonts w:eastAsia="Times New Roman" w:cstheme="minorHAnsi"/>
                <w:color w:val="FF0000"/>
                <w:sz w:val="24"/>
                <w:szCs w:val="24"/>
                <w:lang w:eastAsia="sk-SK"/>
              </w:rPr>
            </w:pPr>
            <w:r w:rsidRPr="00EA3962">
              <w:rPr>
                <w:rFonts w:eastAsia="Times New Roman" w:cstheme="minorHAnsi"/>
                <w:color w:val="000000" w:themeColor="text1"/>
                <w:sz w:val="24"/>
                <w:szCs w:val="24"/>
                <w:lang w:eastAsia="sk-SK"/>
              </w:rPr>
              <w:t> 10 000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E0544C" w14:textId="77777777" w:rsidR="00013302" w:rsidRPr="00EA3962" w:rsidRDefault="00013302" w:rsidP="00013302">
            <w:pPr>
              <w:spacing w:after="0" w:line="240" w:lineRule="auto"/>
              <w:jc w:val="center"/>
              <w:rPr>
                <w:rFonts w:eastAsia="Times New Roman" w:cstheme="minorHAnsi"/>
                <w:color w:val="FF0000"/>
                <w:sz w:val="24"/>
                <w:szCs w:val="24"/>
                <w:lang w:eastAsia="sk-SK"/>
              </w:rPr>
            </w:pPr>
            <w:r w:rsidRPr="00EA3962">
              <w:rPr>
                <w:rFonts w:eastAsia="Times New Roman" w:cstheme="minorHAnsi"/>
                <w:color w:val="FF0000"/>
                <w:sz w:val="24"/>
                <w:szCs w:val="24"/>
                <w:lang w:eastAsia="sk-SK"/>
              </w:rPr>
              <w:t> </w:t>
            </w:r>
            <w:r w:rsidRPr="00EA3962">
              <w:rPr>
                <w:rFonts w:eastAsia="Times New Roman" w:cstheme="minorHAnsi"/>
                <w:color w:val="000000" w:themeColor="text1"/>
                <w:sz w:val="24"/>
                <w:szCs w:val="24"/>
                <w:lang w:eastAsia="sk-SK"/>
              </w:rPr>
              <w:t> 10 000</w:t>
            </w:r>
          </w:p>
        </w:tc>
      </w:tr>
      <w:tr w:rsidR="00013302" w:rsidRPr="00013302" w14:paraId="1F97C9B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BF4866" w14:textId="77777777" w:rsidR="00013302" w:rsidRPr="00EA3962" w:rsidRDefault="00013302" w:rsidP="00013302">
            <w:pPr>
              <w:spacing w:after="0" w:line="240" w:lineRule="auto"/>
              <w:rPr>
                <w:rFonts w:eastAsia="Times New Roman" w:cstheme="minorHAnsi"/>
                <w:sz w:val="24"/>
                <w:szCs w:val="24"/>
                <w:lang w:eastAsia="sk-SK"/>
              </w:rPr>
            </w:pPr>
            <w:r w:rsidRPr="00EA396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493589" w14:textId="77777777" w:rsidR="00013302" w:rsidRPr="00EA3962" w:rsidRDefault="00013302" w:rsidP="00013302">
            <w:pPr>
              <w:spacing w:after="0" w:line="240" w:lineRule="auto"/>
              <w:rPr>
                <w:rFonts w:eastAsia="Times New Roman" w:cstheme="minorHAnsi"/>
                <w:sz w:val="24"/>
                <w:szCs w:val="24"/>
                <w:lang w:eastAsia="sk-SK"/>
              </w:rPr>
            </w:pPr>
            <w:r w:rsidRPr="00EA3962">
              <w:rPr>
                <w:rFonts w:eastAsia="Times New Roman" w:cstheme="minorHAnsi"/>
                <w:sz w:val="24"/>
                <w:szCs w:val="24"/>
                <w:lang w:eastAsia="sk-SK"/>
              </w:rPr>
              <w:t>Ročný náklad na zakúpené interiérové vybavenie </w:t>
            </w:r>
          </w:p>
        </w:tc>
      </w:tr>
      <w:tr w:rsidR="00013302" w:rsidRPr="00013302" w14:paraId="0182BD0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2288EA" w14:textId="77777777" w:rsidR="00013302" w:rsidRPr="00EA3962" w:rsidRDefault="00013302" w:rsidP="00013302">
            <w:pPr>
              <w:spacing w:after="0" w:line="240" w:lineRule="auto"/>
              <w:rPr>
                <w:rFonts w:eastAsia="Times New Roman" w:cstheme="minorHAnsi"/>
                <w:sz w:val="24"/>
                <w:szCs w:val="24"/>
                <w:lang w:eastAsia="sk-SK"/>
              </w:rPr>
            </w:pPr>
            <w:r w:rsidRPr="00EA396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EB3028" w14:textId="77777777" w:rsidR="00013302" w:rsidRPr="00EA3962" w:rsidRDefault="00013302" w:rsidP="00013302">
            <w:pPr>
              <w:spacing w:after="0" w:line="240" w:lineRule="auto"/>
              <w:jc w:val="center"/>
              <w:rPr>
                <w:rFonts w:eastAsia="Times New Roman" w:cstheme="minorHAnsi"/>
                <w:sz w:val="24"/>
                <w:szCs w:val="24"/>
                <w:lang w:eastAsia="sk-SK"/>
              </w:rPr>
            </w:pPr>
            <w:r w:rsidRPr="00EA3962">
              <w:rPr>
                <w:rFonts w:eastAsia="Times New Roman" w:cstheme="minorHAns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A33C61" w14:textId="77777777" w:rsidR="00013302" w:rsidRPr="00EA3962" w:rsidRDefault="00013302" w:rsidP="00013302">
            <w:pPr>
              <w:spacing w:after="0" w:line="240" w:lineRule="auto"/>
              <w:jc w:val="center"/>
              <w:rPr>
                <w:rFonts w:eastAsia="Times New Roman" w:cstheme="minorHAnsi"/>
                <w:sz w:val="24"/>
                <w:szCs w:val="24"/>
                <w:lang w:eastAsia="sk-SK"/>
              </w:rPr>
            </w:pPr>
            <w:r w:rsidRPr="00EA3962">
              <w:rPr>
                <w:rFonts w:eastAsia="Times New Roman" w:cstheme="minorHAns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504AE0" w14:textId="77777777" w:rsidR="00013302" w:rsidRPr="00EA3962" w:rsidRDefault="00013302" w:rsidP="00013302">
            <w:pPr>
              <w:spacing w:after="0" w:line="240" w:lineRule="auto"/>
              <w:jc w:val="center"/>
              <w:rPr>
                <w:rFonts w:eastAsia="Times New Roman" w:cstheme="minorHAnsi"/>
                <w:sz w:val="24"/>
                <w:szCs w:val="24"/>
                <w:lang w:eastAsia="sk-SK"/>
              </w:rPr>
            </w:pPr>
            <w:r w:rsidRPr="00EA3962">
              <w:rPr>
                <w:rFonts w:eastAsia="Times New Roman" w:cstheme="minorHAns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5553F5" w14:textId="77777777" w:rsidR="00013302" w:rsidRPr="00EA3962" w:rsidRDefault="00013302" w:rsidP="00013302">
            <w:pPr>
              <w:spacing w:after="0" w:line="240" w:lineRule="auto"/>
              <w:jc w:val="center"/>
              <w:rPr>
                <w:rFonts w:eastAsia="Times New Roman" w:cstheme="minorHAnsi"/>
                <w:sz w:val="24"/>
                <w:szCs w:val="24"/>
                <w:lang w:eastAsia="sk-SK"/>
              </w:rPr>
            </w:pPr>
            <w:r w:rsidRPr="00EA3962">
              <w:rPr>
                <w:rFonts w:eastAsia="Times New Roman" w:cstheme="minorHAnsi"/>
                <w:sz w:val="24"/>
                <w:szCs w:val="24"/>
                <w:lang w:eastAsia="sk-SK"/>
              </w:rPr>
              <w:t>2027</w:t>
            </w:r>
          </w:p>
        </w:tc>
      </w:tr>
      <w:tr w:rsidR="00013302" w:rsidRPr="00013302" w14:paraId="11085E2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9A0238" w14:textId="77777777" w:rsidR="00013302" w:rsidRPr="00EA3962" w:rsidRDefault="00013302" w:rsidP="00013302">
            <w:pPr>
              <w:spacing w:after="0" w:line="240" w:lineRule="auto"/>
              <w:rPr>
                <w:rFonts w:eastAsia="Times New Roman" w:cstheme="minorHAnsi"/>
                <w:sz w:val="24"/>
                <w:szCs w:val="24"/>
                <w:lang w:eastAsia="sk-SK"/>
              </w:rPr>
            </w:pPr>
            <w:r w:rsidRPr="00EA396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53E7ED" w14:textId="77777777" w:rsidR="00013302" w:rsidRPr="00EA3962" w:rsidRDefault="00013302" w:rsidP="00013302">
            <w:pPr>
              <w:spacing w:after="0" w:line="240" w:lineRule="auto"/>
              <w:jc w:val="center"/>
              <w:rPr>
                <w:rFonts w:eastAsia="Times New Roman" w:cstheme="minorHAnsi"/>
                <w:color w:val="FF0000"/>
                <w:sz w:val="24"/>
                <w:szCs w:val="24"/>
                <w:lang w:eastAsia="sk-SK"/>
              </w:rPr>
            </w:pPr>
            <w:r w:rsidRPr="00EA3962">
              <w:rPr>
                <w:rFonts w:eastAsia="Times New Roman" w:cstheme="minorHAnsi"/>
                <w:color w:val="000000" w:themeColor="text1"/>
                <w:sz w:val="24"/>
                <w:szCs w:val="24"/>
                <w:lang w:eastAsia="sk-SK"/>
              </w:rPr>
              <w:t>60 000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F53C51" w14:textId="77777777" w:rsidR="00013302" w:rsidRPr="00EA3962" w:rsidRDefault="00013302" w:rsidP="00013302">
            <w:pPr>
              <w:spacing w:after="0" w:line="240" w:lineRule="auto"/>
              <w:jc w:val="center"/>
              <w:rPr>
                <w:rFonts w:eastAsia="Times New Roman" w:cstheme="minorHAnsi"/>
                <w:b/>
                <w:bCs/>
                <w:color w:val="FF0000"/>
                <w:sz w:val="24"/>
                <w:szCs w:val="24"/>
                <w:lang w:eastAsia="sk-SK"/>
              </w:rPr>
            </w:pPr>
            <w:r w:rsidRPr="00EA3962">
              <w:rPr>
                <w:rFonts w:eastAsia="Times New Roman" w:cstheme="minorHAnsi"/>
                <w:b/>
                <w:bCs/>
                <w:color w:val="FF0000"/>
                <w:sz w:val="24"/>
                <w:szCs w:val="24"/>
                <w:lang w:eastAsia="sk-SK"/>
              </w:rPr>
              <w:t> </w:t>
            </w:r>
            <w:r w:rsidRPr="00EA3962">
              <w:rPr>
                <w:rFonts w:eastAsia="Times New Roman" w:cstheme="minorHAnsi"/>
                <w:b/>
                <w:bCs/>
                <w:color w:val="000000" w:themeColor="text1"/>
                <w:sz w:val="24"/>
                <w:szCs w:val="24"/>
                <w:lang w:eastAsia="sk-SK"/>
              </w:rPr>
              <w:t>60 000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1796A6" w14:textId="77777777" w:rsidR="00013302" w:rsidRPr="00EA3962" w:rsidRDefault="00013302" w:rsidP="00013302">
            <w:pPr>
              <w:spacing w:after="0" w:line="240" w:lineRule="auto"/>
              <w:jc w:val="center"/>
              <w:rPr>
                <w:rFonts w:eastAsia="Times New Roman" w:cstheme="minorHAnsi"/>
                <w:color w:val="FF0000"/>
                <w:sz w:val="24"/>
                <w:szCs w:val="24"/>
                <w:lang w:eastAsia="sk-SK"/>
              </w:rPr>
            </w:pPr>
            <w:r w:rsidRPr="00EA3962">
              <w:rPr>
                <w:rFonts w:eastAsia="Times New Roman" w:cstheme="minorHAnsi"/>
                <w:color w:val="000000" w:themeColor="text1"/>
                <w:sz w:val="24"/>
                <w:szCs w:val="24"/>
                <w:lang w:eastAsia="sk-SK"/>
              </w:rPr>
              <w:t>60 000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FB4EBC" w14:textId="77777777" w:rsidR="00013302" w:rsidRPr="00EA3962" w:rsidRDefault="00013302" w:rsidP="00013302">
            <w:pPr>
              <w:spacing w:after="0" w:line="240" w:lineRule="auto"/>
              <w:jc w:val="center"/>
              <w:rPr>
                <w:rFonts w:eastAsia="Times New Roman" w:cstheme="minorHAnsi"/>
                <w:color w:val="FF0000"/>
                <w:sz w:val="24"/>
                <w:szCs w:val="24"/>
                <w:lang w:eastAsia="sk-SK"/>
              </w:rPr>
            </w:pPr>
            <w:r w:rsidRPr="00EA3962">
              <w:rPr>
                <w:rFonts w:eastAsia="Times New Roman" w:cstheme="minorHAnsi"/>
                <w:color w:val="FF0000"/>
                <w:sz w:val="24"/>
                <w:szCs w:val="24"/>
                <w:lang w:eastAsia="sk-SK"/>
              </w:rPr>
              <w:t> </w:t>
            </w:r>
            <w:r w:rsidRPr="00EA3962">
              <w:rPr>
                <w:rFonts w:eastAsia="Times New Roman" w:cstheme="minorHAnsi"/>
                <w:color w:val="000000" w:themeColor="text1"/>
                <w:sz w:val="24"/>
                <w:szCs w:val="24"/>
                <w:lang w:eastAsia="sk-SK"/>
              </w:rPr>
              <w:t>60 000</w:t>
            </w:r>
          </w:p>
        </w:tc>
      </w:tr>
    </w:tbl>
    <w:p w14:paraId="369176AA" w14:textId="64528A7C" w:rsidR="008909BC" w:rsidRDefault="00013302" w:rsidP="00AE47CD">
      <w:pPr>
        <w:spacing w:before="100" w:beforeAutospacing="1" w:after="100" w:afterAutospacing="1" w:line="240" w:lineRule="auto"/>
        <w:jc w:val="both"/>
        <w:rPr>
          <w:rFonts w:eastAsiaTheme="minorEastAsia" w:cstheme="minorHAnsi"/>
          <w:sz w:val="24"/>
          <w:szCs w:val="24"/>
          <w:lang w:eastAsia="sk-SK"/>
        </w:rPr>
      </w:pPr>
      <w:r w:rsidRPr="00013302">
        <w:rPr>
          <w:rFonts w:eastAsiaTheme="minorEastAsia" w:cstheme="minorHAnsi"/>
          <w:b/>
          <w:bCs/>
          <w:sz w:val="24"/>
          <w:szCs w:val="24"/>
          <w:lang w:eastAsia="sk-SK"/>
        </w:rPr>
        <w:t xml:space="preserve">Komentár: </w:t>
      </w:r>
      <w:r w:rsidRPr="00013302">
        <w:rPr>
          <w:rFonts w:eastAsiaTheme="minorEastAsia" w:cstheme="minorHAnsi"/>
          <w:sz w:val="24"/>
          <w:szCs w:val="24"/>
          <w:lang w:eastAsia="sk-SK"/>
        </w:rPr>
        <w:t xml:space="preserve">V podprograme sú zahrnuté všetky prevádzkové náklady na budovy v správe Úradu BSK (energie, poštovné, nájomné, poistenie, dane, všeobecné a špeciálne služby... ), výdavky na zabezpečenie materiálového a administratívneho vybavenia Úradu BSK a náklady spojené s prevádzkou </w:t>
      </w:r>
      <w:proofErr w:type="spellStart"/>
      <w:r w:rsidRPr="00013302">
        <w:rPr>
          <w:rFonts w:eastAsiaTheme="minorEastAsia" w:cstheme="minorHAnsi"/>
          <w:sz w:val="24"/>
          <w:szCs w:val="24"/>
          <w:lang w:eastAsia="sk-SK"/>
        </w:rPr>
        <w:t>autoparku</w:t>
      </w:r>
      <w:proofErr w:type="spellEnd"/>
      <w:r w:rsidRPr="00013302">
        <w:rPr>
          <w:rFonts w:eastAsiaTheme="minorEastAsia" w:cstheme="minorHAnsi"/>
          <w:sz w:val="24"/>
          <w:szCs w:val="24"/>
          <w:lang w:eastAsia="sk-SK"/>
        </w:rPr>
        <w:t xml:space="preserve"> BSK </w:t>
      </w:r>
      <w:r w:rsidRPr="00013302">
        <w:rPr>
          <w:rFonts w:eastAsiaTheme="minorEastAsia" w:cstheme="minorHAnsi"/>
          <w:sz w:val="24"/>
          <w:szCs w:val="24"/>
          <w:lang w:eastAsia="sk-SK"/>
        </w:rPr>
        <w:lastRenderedPageBreak/>
        <w:t>(pohonné hmoty, oleje, servisné a garančné prehliadky, opravy a údržba vozidiel, poistenie, ...). Podprogram zahŕňa tiež výdavky na stravovanie školenia, semináre, kurzy pre zamestnancov BSK.</w:t>
      </w:r>
      <w:r w:rsidR="00576522">
        <w:rPr>
          <w:rFonts w:eastAsiaTheme="minorEastAsia" w:cstheme="minorHAnsi"/>
          <w:sz w:val="24"/>
          <w:szCs w:val="24"/>
          <w:lang w:eastAsia="sk-SK"/>
        </w:rPr>
        <w:t xml:space="preserve"> Kapitálové výdavky sa týkajú pozem</w:t>
      </w:r>
      <w:r w:rsidR="00F73E07">
        <w:rPr>
          <w:rFonts w:eastAsiaTheme="minorEastAsia" w:cstheme="minorHAnsi"/>
          <w:sz w:val="24"/>
          <w:szCs w:val="24"/>
          <w:lang w:eastAsia="sk-SK"/>
        </w:rPr>
        <w:t>kov pod cestami a sú bližšie popísané v Programe 6.</w:t>
      </w:r>
    </w:p>
    <w:p w14:paraId="6403EDBA" w14:textId="77777777" w:rsidR="00C92D43" w:rsidRPr="00833135" w:rsidRDefault="00C92D43" w:rsidP="00C92D43">
      <w:pPr>
        <w:spacing w:after="0" w:line="240" w:lineRule="auto"/>
        <w:rPr>
          <w:rFonts w:eastAsiaTheme="minorEastAsia" w:cstheme="minorHAnsi"/>
          <w:vanish/>
          <w:sz w:val="24"/>
          <w:szCs w:val="24"/>
          <w:lang w:eastAsia="sk-SK"/>
        </w:rPr>
      </w:pPr>
    </w:p>
    <w:p w14:paraId="08D15E80" w14:textId="77777777" w:rsidR="00A067A2" w:rsidRDefault="00A067A2" w:rsidP="00A067A2">
      <w:pPr>
        <w:spacing w:before="100" w:beforeAutospacing="1" w:after="100" w:afterAutospacing="1" w:line="240" w:lineRule="auto"/>
        <w:outlineLvl w:val="2"/>
        <w:rPr>
          <w:rFonts w:eastAsia="Times New Roman" w:cstheme="minorHAnsi"/>
          <w:b/>
          <w:bCs/>
          <w:sz w:val="27"/>
          <w:szCs w:val="27"/>
          <w:lang w:eastAsia="sk-SK"/>
        </w:rPr>
      </w:pPr>
      <w:r w:rsidRPr="00A067A2">
        <w:rPr>
          <w:rFonts w:eastAsia="Times New Roman" w:cstheme="minorHAnsi"/>
          <w:b/>
          <w:bCs/>
          <w:color w:val="0000FF"/>
          <w:sz w:val="27"/>
          <w:szCs w:val="27"/>
          <w:lang w:eastAsia="sk-SK"/>
        </w:rPr>
        <w:t>Podprogram 3.2: Informačno-technologický systém</w:t>
      </w:r>
      <w:r w:rsidRPr="00A067A2">
        <w:rPr>
          <w:rFonts w:eastAsia="Times New Roman" w:cstheme="minorHAnsi"/>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4"/>
        <w:gridCol w:w="2167"/>
        <w:gridCol w:w="1479"/>
        <w:gridCol w:w="1479"/>
        <w:gridCol w:w="649"/>
        <w:gridCol w:w="1480"/>
        <w:gridCol w:w="548"/>
        <w:gridCol w:w="1480"/>
        <w:gridCol w:w="664"/>
      </w:tblGrid>
      <w:tr w:rsidR="00111255" w:rsidRPr="00111255" w14:paraId="7CD66EC8"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172AEB"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b/>
                <w:bCs/>
                <w:i/>
                <w:iCs/>
                <w:sz w:val="24"/>
                <w:szCs w:val="24"/>
                <w:lang w:eastAsia="sk-SK"/>
              </w:rPr>
              <w:t>Rozpočet v EUR</w:t>
            </w:r>
          </w:p>
        </w:tc>
      </w:tr>
      <w:tr w:rsidR="00111255" w:rsidRPr="00111255" w14:paraId="11E8F13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964E0C6"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0FD7FB"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DDA00A"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5149AB"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683FB24"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46671A"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7EE0DD0"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294B555"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FD8520"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w:t>
            </w:r>
          </w:p>
        </w:tc>
      </w:tr>
      <w:tr w:rsidR="00111255" w:rsidRPr="00111255" w14:paraId="79A3EF6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7ACDF5"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3BF6F5"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Výdavky celkom</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7E15BC"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1 533 972,00</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D14832B"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2 016 472,00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F8F976"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131,45</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871E4D"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1 747 472,00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A24253"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86,66</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D70F2B"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1 347 472,00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6DB41F"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77,11</w:t>
            </w:r>
            <w:r w:rsidRPr="00111255">
              <w:rPr>
                <w:rFonts w:ascii="Calibri" w:eastAsia="Times New Roman" w:hAnsi="Calibri" w:cs="Calibri"/>
                <w:sz w:val="24"/>
                <w:szCs w:val="24"/>
                <w:lang w:eastAsia="sk-SK"/>
              </w:rPr>
              <w:t xml:space="preserve"> </w:t>
            </w:r>
          </w:p>
        </w:tc>
      </w:tr>
      <w:tr w:rsidR="00111255" w:rsidRPr="00111255" w14:paraId="02A56F9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2398E9"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600</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ADE481"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Bežné výdavky</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241C1A"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1 156 972,00</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56F95F"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1 026 472,00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A988E1"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88,72</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F4F1A3"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972 472,00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E6C225"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94,74</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B2EDAA"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972 472,00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5485FF"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100,00</w:t>
            </w:r>
            <w:r w:rsidRPr="00111255">
              <w:rPr>
                <w:rFonts w:ascii="Calibri" w:eastAsia="Times New Roman" w:hAnsi="Calibri" w:cs="Calibri"/>
                <w:sz w:val="24"/>
                <w:szCs w:val="24"/>
                <w:lang w:eastAsia="sk-SK"/>
              </w:rPr>
              <w:t xml:space="preserve"> </w:t>
            </w:r>
          </w:p>
        </w:tc>
      </w:tr>
      <w:tr w:rsidR="00111255" w:rsidRPr="00111255" w14:paraId="53AB7C8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B5BEAE"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630</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60EB1D"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Tovary a služby</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28701C"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1 156 972,00</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619AF8"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1 026 472,00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882E9CB"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88,72</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14FF873"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972 472,00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3FB163C"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94,74</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291006D"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972 472,00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FCA0195"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100,00</w:t>
            </w:r>
            <w:r w:rsidRPr="00111255">
              <w:rPr>
                <w:rFonts w:ascii="Calibri" w:eastAsia="Times New Roman" w:hAnsi="Calibri" w:cs="Calibri"/>
                <w:sz w:val="24"/>
                <w:szCs w:val="24"/>
                <w:lang w:eastAsia="sk-SK"/>
              </w:rPr>
              <w:t xml:space="preserve"> </w:t>
            </w:r>
          </w:p>
        </w:tc>
      </w:tr>
      <w:tr w:rsidR="00111255" w:rsidRPr="00111255" w14:paraId="0C187B3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D46DBA"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700</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8264FF"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Kapitálové výdavky</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6937D1"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377 000,00</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8F3B13"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990 000,00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D9FBD5"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262,60</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69EC923"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775 000,00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970460"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78,28</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8FCDB7"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375 000,00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D39C1A"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b/>
                <w:bCs/>
                <w:sz w:val="20"/>
                <w:szCs w:val="20"/>
                <w:lang w:eastAsia="sk-SK"/>
              </w:rPr>
              <w:t>48,39</w:t>
            </w:r>
            <w:r w:rsidRPr="00111255">
              <w:rPr>
                <w:rFonts w:ascii="Calibri" w:eastAsia="Times New Roman" w:hAnsi="Calibri" w:cs="Calibri"/>
                <w:sz w:val="24"/>
                <w:szCs w:val="24"/>
                <w:lang w:eastAsia="sk-SK"/>
              </w:rPr>
              <w:t xml:space="preserve"> </w:t>
            </w:r>
          </w:p>
        </w:tc>
      </w:tr>
      <w:tr w:rsidR="00111255" w:rsidRPr="00111255" w14:paraId="04011D6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3CE5A6"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710</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42C8E8" w14:textId="77777777" w:rsidR="00111255" w:rsidRPr="00111255" w:rsidRDefault="00111255" w:rsidP="00111255">
            <w:pPr>
              <w:spacing w:after="0" w:line="240" w:lineRule="auto"/>
              <w:rPr>
                <w:rFonts w:ascii="Calibri" w:eastAsia="Times New Roman" w:hAnsi="Calibri" w:cs="Calibri"/>
                <w:sz w:val="24"/>
                <w:szCs w:val="24"/>
                <w:lang w:eastAsia="sk-SK"/>
              </w:rPr>
            </w:pPr>
            <w:proofErr w:type="spellStart"/>
            <w:r w:rsidRPr="00111255">
              <w:rPr>
                <w:rFonts w:ascii="Calibri" w:eastAsia="Times New Roman" w:hAnsi="Calibri" w:cs="Calibri"/>
                <w:sz w:val="20"/>
                <w:szCs w:val="20"/>
                <w:lang w:eastAsia="sk-SK"/>
              </w:rPr>
              <w:t>Obst</w:t>
            </w:r>
            <w:proofErr w:type="spellEnd"/>
            <w:r w:rsidRPr="00111255">
              <w:rPr>
                <w:rFonts w:ascii="Calibri" w:eastAsia="Times New Roman" w:hAnsi="Calibri" w:cs="Calibri"/>
                <w:sz w:val="20"/>
                <w:szCs w:val="20"/>
                <w:lang w:eastAsia="sk-SK"/>
              </w:rPr>
              <w:t xml:space="preserve">. </w:t>
            </w:r>
            <w:proofErr w:type="spellStart"/>
            <w:r w:rsidRPr="00111255">
              <w:rPr>
                <w:rFonts w:ascii="Calibri" w:eastAsia="Times New Roman" w:hAnsi="Calibri" w:cs="Calibri"/>
                <w:sz w:val="20"/>
                <w:szCs w:val="20"/>
                <w:lang w:eastAsia="sk-SK"/>
              </w:rPr>
              <w:t>kapit</w:t>
            </w:r>
            <w:proofErr w:type="spellEnd"/>
            <w:r w:rsidRPr="00111255">
              <w:rPr>
                <w:rFonts w:ascii="Calibri" w:eastAsia="Times New Roman" w:hAnsi="Calibri" w:cs="Calibri"/>
                <w:sz w:val="20"/>
                <w:szCs w:val="20"/>
                <w:lang w:eastAsia="sk-SK"/>
              </w:rPr>
              <w:t>. aktív</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221737"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377 000,00</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CE175E4"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990 000,00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0748EA9"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262,60</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291B347"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775 000,00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A976204"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78,28</w:t>
            </w:r>
            <w:r w:rsidRPr="0011125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C980847"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375 000,00</w:t>
            </w:r>
            <w:r w:rsidRPr="0011125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F824796" w14:textId="77777777" w:rsidR="00111255" w:rsidRPr="00111255" w:rsidRDefault="00111255" w:rsidP="00111255">
            <w:pPr>
              <w:spacing w:after="0" w:line="240" w:lineRule="auto"/>
              <w:jc w:val="right"/>
              <w:rPr>
                <w:rFonts w:ascii="Calibri" w:eastAsia="Times New Roman" w:hAnsi="Calibri" w:cs="Calibri"/>
                <w:sz w:val="24"/>
                <w:szCs w:val="24"/>
                <w:lang w:eastAsia="sk-SK"/>
              </w:rPr>
            </w:pPr>
            <w:r w:rsidRPr="00111255">
              <w:rPr>
                <w:rFonts w:ascii="Calibri" w:eastAsia="Times New Roman" w:hAnsi="Calibri" w:cs="Calibri"/>
                <w:sz w:val="20"/>
                <w:szCs w:val="20"/>
                <w:lang w:eastAsia="sk-SK"/>
              </w:rPr>
              <w:t>48,39</w:t>
            </w:r>
            <w:r w:rsidRPr="00111255">
              <w:rPr>
                <w:rFonts w:ascii="Calibri" w:eastAsia="Times New Roman" w:hAnsi="Calibri" w:cs="Calibri"/>
                <w:sz w:val="24"/>
                <w:szCs w:val="24"/>
                <w:lang w:eastAsia="sk-SK"/>
              </w:rPr>
              <w:t xml:space="preserve"> </w:t>
            </w:r>
          </w:p>
        </w:tc>
      </w:tr>
    </w:tbl>
    <w:p w14:paraId="39D114EA" w14:textId="77777777" w:rsidR="00111255" w:rsidRPr="00111255" w:rsidRDefault="00111255" w:rsidP="00111255">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16"/>
        <w:gridCol w:w="1829"/>
        <w:gridCol w:w="1830"/>
        <w:gridCol w:w="1830"/>
        <w:gridCol w:w="1845"/>
      </w:tblGrid>
      <w:tr w:rsidR="00111255" w:rsidRPr="00111255" w14:paraId="39A4368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1C2675"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FC1AFD"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sz w:val="24"/>
                <w:szCs w:val="24"/>
                <w:lang w:eastAsia="sk-SK"/>
              </w:rPr>
              <w:t>Odbor informatiky</w:t>
            </w:r>
          </w:p>
        </w:tc>
      </w:tr>
      <w:tr w:rsidR="00111255" w:rsidRPr="00111255" w14:paraId="2E9B6A7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CB9720"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71A387"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4"/>
                <w:szCs w:val="24"/>
                <w:lang w:eastAsia="sk-SK"/>
              </w:rPr>
              <w:t>Zabezpečiť kvalitný informačno-technologický systém</w:t>
            </w:r>
          </w:p>
        </w:tc>
      </w:tr>
      <w:tr w:rsidR="00111255" w:rsidRPr="00111255" w14:paraId="65AA83A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4FBA16"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A29E94"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sz w:val="24"/>
                <w:szCs w:val="24"/>
                <w:lang w:eastAsia="sk-SK"/>
              </w:rPr>
              <w:t>Priemerný vek výpočtovej techniky v mesiacoch v roku</w:t>
            </w:r>
          </w:p>
        </w:tc>
      </w:tr>
      <w:tr w:rsidR="00111255" w:rsidRPr="00111255" w14:paraId="3E6E2D9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88BEF5"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12A66D"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87933D"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287DE0"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71D7BD"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sz w:val="24"/>
                <w:szCs w:val="24"/>
                <w:lang w:eastAsia="sk-SK"/>
              </w:rPr>
              <w:t>2027</w:t>
            </w:r>
          </w:p>
        </w:tc>
      </w:tr>
      <w:tr w:rsidR="00111255" w:rsidRPr="00111255" w14:paraId="2A244E4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D737EC" w14:textId="77777777" w:rsidR="00111255" w:rsidRPr="00111255" w:rsidRDefault="00111255" w:rsidP="00111255">
            <w:pPr>
              <w:spacing w:after="0" w:line="240" w:lineRule="auto"/>
              <w:rPr>
                <w:rFonts w:ascii="Calibri" w:eastAsia="Times New Roman" w:hAnsi="Calibri" w:cs="Calibri"/>
                <w:sz w:val="24"/>
                <w:szCs w:val="24"/>
                <w:lang w:eastAsia="sk-SK"/>
              </w:rPr>
            </w:pPr>
            <w:r w:rsidRPr="0011125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891235"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sz w:val="24"/>
                <w:szCs w:val="24"/>
                <w:lang w:eastAsia="sk-SK"/>
              </w:rPr>
              <w:t> 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8C3AF2"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b/>
                <w:bCs/>
                <w:sz w:val="24"/>
                <w:szCs w:val="24"/>
                <w:lang w:eastAsia="sk-SK"/>
              </w:rPr>
              <w:t> 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BE1887"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sz w:val="24"/>
                <w:szCs w:val="24"/>
                <w:lang w:eastAsia="sk-SK"/>
              </w:rPr>
              <w:t> 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BFB8E0" w14:textId="77777777" w:rsidR="00111255" w:rsidRPr="00111255" w:rsidRDefault="00111255" w:rsidP="00111255">
            <w:pPr>
              <w:spacing w:after="0" w:line="240" w:lineRule="auto"/>
              <w:jc w:val="center"/>
              <w:rPr>
                <w:rFonts w:ascii="Calibri" w:eastAsia="Times New Roman" w:hAnsi="Calibri" w:cs="Calibri"/>
                <w:sz w:val="24"/>
                <w:szCs w:val="24"/>
                <w:lang w:eastAsia="sk-SK"/>
              </w:rPr>
            </w:pPr>
            <w:r w:rsidRPr="00111255">
              <w:rPr>
                <w:rFonts w:ascii="Calibri" w:eastAsia="Times New Roman" w:hAnsi="Calibri" w:cs="Calibri"/>
                <w:sz w:val="24"/>
                <w:szCs w:val="24"/>
                <w:lang w:eastAsia="sk-SK"/>
              </w:rPr>
              <w:t> 24</w:t>
            </w:r>
          </w:p>
        </w:tc>
      </w:tr>
    </w:tbl>
    <w:p w14:paraId="4DDCD383" w14:textId="77777777" w:rsidR="00111255" w:rsidRPr="00111255" w:rsidRDefault="00111255" w:rsidP="00111255">
      <w:pPr>
        <w:spacing w:after="0" w:line="240" w:lineRule="auto"/>
        <w:jc w:val="both"/>
        <w:rPr>
          <w:rFonts w:ascii="Calibri" w:eastAsia="Times New Roman" w:hAnsi="Calibri" w:cs="Calibri"/>
          <w:b/>
          <w:bCs/>
          <w:sz w:val="24"/>
          <w:szCs w:val="24"/>
          <w:lang w:eastAsia="sk-SK"/>
        </w:rPr>
      </w:pPr>
    </w:p>
    <w:p w14:paraId="0B297D4B" w14:textId="6CA0FAB5" w:rsidR="00111255" w:rsidRDefault="00111255" w:rsidP="00B76018">
      <w:pPr>
        <w:spacing w:after="0" w:line="240" w:lineRule="auto"/>
        <w:jc w:val="both"/>
        <w:rPr>
          <w:rFonts w:ascii="Calibri" w:eastAsia="Times New Roman" w:hAnsi="Calibri" w:cs="Calibri"/>
          <w:sz w:val="24"/>
          <w:szCs w:val="24"/>
          <w:lang w:eastAsia="sk-SK"/>
        </w:rPr>
      </w:pPr>
      <w:r w:rsidRPr="00111255">
        <w:rPr>
          <w:rFonts w:ascii="Calibri" w:eastAsia="Times New Roman" w:hAnsi="Calibri" w:cs="Calibri"/>
          <w:b/>
          <w:bCs/>
          <w:sz w:val="24"/>
          <w:szCs w:val="24"/>
          <w:lang w:eastAsia="sk-SK"/>
        </w:rPr>
        <w:t xml:space="preserve">Komentár: </w:t>
      </w:r>
      <w:r w:rsidRPr="00111255">
        <w:rPr>
          <w:rFonts w:ascii="Calibri" w:eastAsia="Times New Roman" w:hAnsi="Calibri" w:cs="Calibri"/>
          <w:sz w:val="24"/>
          <w:szCs w:val="24"/>
          <w:lang w:eastAsia="sk-SK"/>
        </w:rPr>
        <w:t xml:space="preserve">V rámci predmetného podprogramu vykonáva oddelenie informatiky všetky činnosti, ktoré zabezpečujú správne a nepretržité fungovanie všetkých informačných systémov a aplikácii, bezpečnú archiváciu a prenos dát, ktoré sú v správe oddelenia informatiky Úradu Bratislavského samosprávneho kraja. V uvedených výdavkoch je zahrnutá inovácia a modernizácia sieťovej infraštruktúry, podpora a rozšírenie funkčnosti pre mzdový a personálny systém </w:t>
      </w:r>
      <w:proofErr w:type="spellStart"/>
      <w:r w:rsidRPr="00111255">
        <w:rPr>
          <w:rFonts w:ascii="Calibri" w:eastAsia="Times New Roman" w:hAnsi="Calibri" w:cs="Calibri"/>
          <w:sz w:val="24"/>
          <w:szCs w:val="24"/>
          <w:lang w:eastAsia="sk-SK"/>
        </w:rPr>
        <w:t>Vema</w:t>
      </w:r>
      <w:proofErr w:type="spellEnd"/>
      <w:r w:rsidRPr="00111255">
        <w:rPr>
          <w:rFonts w:ascii="Calibri" w:eastAsia="Times New Roman" w:hAnsi="Calibri" w:cs="Calibri"/>
          <w:sz w:val="24"/>
          <w:szCs w:val="24"/>
          <w:lang w:eastAsia="sk-SK"/>
        </w:rPr>
        <w:t>, ekonomický systém SPIN, systém Elektronických služieb BSK pre občanov, právne systémy, antivírové a antispamové aplikačné riešenia, systém elektronického zastupiteľstva, analýza a zavedenie procesov pre ochranu osobných údajov, súlad s nariadením GDPR a štandardami kybernetickej a informačnej bezpečnosti, vytvorenie portálového riešenia internej elektronickej komunikácie a zdieľania informácií a dát zamestnancami Úradu BSK, systémová podpora organizácií v</w:t>
      </w:r>
      <w:r w:rsidR="00F67858">
        <w:rPr>
          <w:rFonts w:ascii="Calibri" w:eastAsia="Times New Roman" w:hAnsi="Calibri" w:cs="Calibri"/>
          <w:sz w:val="24"/>
          <w:szCs w:val="24"/>
          <w:lang w:eastAsia="sk-SK"/>
        </w:rPr>
        <w:t> </w:t>
      </w:r>
      <w:r w:rsidRPr="00111255">
        <w:rPr>
          <w:rFonts w:ascii="Calibri" w:eastAsia="Times New Roman" w:hAnsi="Calibri" w:cs="Calibri"/>
          <w:sz w:val="24"/>
          <w:szCs w:val="24"/>
          <w:lang w:eastAsia="sk-SK"/>
        </w:rPr>
        <w:t>zriaďovateľskej</w:t>
      </w:r>
      <w:r w:rsidR="00F67858">
        <w:rPr>
          <w:rFonts w:ascii="Calibri" w:eastAsia="Times New Roman" w:hAnsi="Calibri" w:cs="Calibri"/>
          <w:sz w:val="24"/>
          <w:szCs w:val="24"/>
          <w:lang w:eastAsia="sk-SK"/>
        </w:rPr>
        <w:t xml:space="preserve"> pôsobnosti BSK.</w:t>
      </w:r>
    </w:p>
    <w:p w14:paraId="6C69D75D" w14:textId="77777777" w:rsidR="00B76018" w:rsidRPr="00B76018" w:rsidRDefault="00B76018" w:rsidP="00B76018">
      <w:pPr>
        <w:spacing w:after="0" w:line="240" w:lineRule="auto"/>
        <w:jc w:val="both"/>
        <w:rPr>
          <w:rFonts w:ascii="Calibri" w:eastAsia="Times New Roman" w:hAnsi="Calibri" w:cs="Calibri"/>
          <w:sz w:val="24"/>
          <w:szCs w:val="24"/>
          <w:lang w:eastAsia="sk-SK"/>
        </w:rPr>
      </w:pPr>
    </w:p>
    <w:p w14:paraId="5E43F5ED" w14:textId="77777777" w:rsidR="00FB612B" w:rsidRPr="00FB612B" w:rsidRDefault="00FB612B" w:rsidP="00FB612B">
      <w:pPr>
        <w:spacing w:before="100" w:beforeAutospacing="1" w:after="100" w:afterAutospacing="1" w:line="240" w:lineRule="auto"/>
        <w:outlineLvl w:val="2"/>
        <w:rPr>
          <w:rFonts w:eastAsia="Times New Roman" w:cstheme="minorHAnsi"/>
          <w:b/>
          <w:bCs/>
          <w:sz w:val="27"/>
          <w:szCs w:val="27"/>
          <w:lang w:eastAsia="sk-SK"/>
        </w:rPr>
      </w:pPr>
      <w:r w:rsidRPr="00FB612B">
        <w:rPr>
          <w:rFonts w:eastAsia="Times New Roman" w:cstheme="minorHAnsi"/>
          <w:b/>
          <w:bCs/>
          <w:color w:val="0000FF"/>
          <w:sz w:val="27"/>
          <w:szCs w:val="27"/>
          <w:lang w:eastAsia="sk-SK"/>
        </w:rPr>
        <w:t>Podprogram 3.3: Majetok- investície, údržba</w:t>
      </w:r>
      <w:r w:rsidRPr="00FB612B">
        <w:rPr>
          <w:rFonts w:eastAsia="Times New Roman" w:cstheme="minorHAnsi"/>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50"/>
        <w:gridCol w:w="2212"/>
        <w:gridCol w:w="1457"/>
        <w:gridCol w:w="1457"/>
        <w:gridCol w:w="649"/>
        <w:gridCol w:w="1457"/>
        <w:gridCol w:w="647"/>
        <w:gridCol w:w="1457"/>
        <w:gridCol w:w="664"/>
      </w:tblGrid>
      <w:tr w:rsidR="00FB612B" w:rsidRPr="00FB612B" w14:paraId="2884388B" w14:textId="77777777" w:rsidTr="004F5B30">
        <w:trPr>
          <w:tblCellSpacing w:w="15" w:type="dxa"/>
        </w:trPr>
        <w:tc>
          <w:tcPr>
            <w:tcW w:w="0" w:type="auto"/>
            <w:gridSpan w:val="9"/>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703E7E67"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i/>
                <w:iCs/>
                <w:sz w:val="24"/>
                <w:szCs w:val="24"/>
                <w:lang w:eastAsia="sk-SK"/>
              </w:rPr>
              <w:t>Rozpočet v EUR</w:t>
            </w:r>
          </w:p>
        </w:tc>
      </w:tr>
      <w:tr w:rsidR="00FB612B" w:rsidRPr="00FB612B" w14:paraId="4EE7A7CA"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737A0189"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EK</w:t>
            </w:r>
          </w:p>
        </w:tc>
        <w:tc>
          <w:tcPr>
            <w:tcW w:w="100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2A99EB31"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Ekonomická klasifikácia</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6DE08B8B"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2024</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5A563E0B"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2025</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3997113A"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737CA0C1"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2026</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0F2FFF48"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3F6127AD"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2027</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0D3BEC5F"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w:t>
            </w:r>
          </w:p>
        </w:tc>
      </w:tr>
      <w:tr w:rsidR="00FB612B" w:rsidRPr="00FB612B" w14:paraId="07E68444"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281CE1D3" w14:textId="77777777" w:rsidR="00FB612B" w:rsidRPr="00FB612B" w:rsidRDefault="00FB612B" w:rsidP="00FB612B">
            <w:pPr>
              <w:spacing w:after="0" w:line="240" w:lineRule="auto"/>
              <w:jc w:val="center"/>
              <w:rPr>
                <w:rFonts w:eastAsia="Times New Roman" w:cstheme="minorHAnsi"/>
                <w:sz w:val="24"/>
                <w:szCs w:val="24"/>
                <w:lang w:eastAsia="sk-SK"/>
              </w:rPr>
            </w:pP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771035A3"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Výdavky celkom</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43E6B430"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15 310 000,00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049B6697"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15 324 200,00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58BB5777"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100,09</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26175B4E"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14 444 200,00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69168877"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94,26</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207E21DD"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14 444 200,00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21E5CC97"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100,00</w:t>
            </w:r>
          </w:p>
        </w:tc>
      </w:tr>
      <w:tr w:rsidR="00FB612B" w:rsidRPr="00FB612B" w14:paraId="079A8856"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316CDC27"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600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38468788"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Bežné výdavky</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04CA2B33"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3 000 000,00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5AE7FF3E"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4 459 200,00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1137E4D0"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148,64</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2851B9A2"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4 444 200,00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624B4CEC"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99,66</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7DD2E81A"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4 444 200,00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1F1F1CA4"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100,00</w:t>
            </w:r>
            <w:r w:rsidRPr="00FB612B">
              <w:rPr>
                <w:rFonts w:eastAsia="Times New Roman" w:cstheme="minorHAnsi"/>
                <w:sz w:val="24"/>
                <w:szCs w:val="24"/>
                <w:lang w:eastAsia="sk-SK"/>
              </w:rPr>
              <w:t xml:space="preserve"> </w:t>
            </w:r>
          </w:p>
        </w:tc>
      </w:tr>
      <w:tr w:rsidR="00FB612B" w:rsidRPr="00FB612B" w14:paraId="65798352"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E6D0D07"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630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hideMark/>
          </w:tcPr>
          <w:p w14:paraId="4899B1D0"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Tovary a služby</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B476475"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304 000,00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0CE5CBED"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359 200,00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6CCFA65"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118,16</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0AED07A"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344 200,00</w:t>
            </w:r>
            <w:r w:rsidRPr="00FB612B">
              <w:rPr>
                <w:rFonts w:eastAsia="Times New Roman" w:cstheme="minorHAnsi"/>
                <w:sz w:val="24"/>
                <w:szCs w:val="24"/>
                <w:lang w:eastAsia="sk-SK"/>
              </w:rPr>
              <w:t xml:space="preserve"> </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2D80C5B8"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95,82</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02DDED0"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344 200,00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3AC9A987"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100,00</w:t>
            </w:r>
            <w:r w:rsidRPr="00FB612B">
              <w:rPr>
                <w:rFonts w:eastAsia="Times New Roman"/>
                <w:sz w:val="24"/>
                <w:szCs w:val="24"/>
                <w:lang w:eastAsia="sk-SK"/>
              </w:rPr>
              <w:t xml:space="preserve"> </w:t>
            </w:r>
          </w:p>
        </w:tc>
      </w:tr>
      <w:tr w:rsidR="00FB612B" w:rsidRPr="00FB612B" w14:paraId="2220E418"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01AFD47C"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640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hideMark/>
          </w:tcPr>
          <w:p w14:paraId="5177378B"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Bežné transfery</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59AA690"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2 696 000,00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78F4D5B3"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4 100 000,00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3B729BD"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152,08</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04C91F4A"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4 100 000,00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32C21561"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100,00</w:t>
            </w:r>
            <w:r w:rsidRPr="00FB612B">
              <w:rPr>
                <w:rFonts w:eastAsia="Times New Roman"/>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5ABAE641"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4 100 000,00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F203869"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100,00</w:t>
            </w:r>
            <w:r w:rsidRPr="00FB612B">
              <w:rPr>
                <w:rFonts w:eastAsia="Times New Roman"/>
                <w:sz w:val="24"/>
                <w:szCs w:val="24"/>
                <w:lang w:eastAsia="sk-SK"/>
              </w:rPr>
              <w:t xml:space="preserve"> </w:t>
            </w:r>
          </w:p>
        </w:tc>
      </w:tr>
      <w:tr w:rsidR="00FB612B" w:rsidRPr="00FB612B" w14:paraId="2197794B"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62DB3F4A"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700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017DA2B"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Kapitálové výdavky</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7E1966C1"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12 310 000,00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2F87F0BA"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10 865 000,00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0D2AD7BB"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88,26</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3FA2D156"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10 000 000,00</w:t>
            </w:r>
            <w:r w:rsidRPr="00FB612B">
              <w:rPr>
                <w:rFonts w:eastAsia="Times New Roman" w:cstheme="minorHAnsi"/>
                <w:sz w:val="24"/>
                <w:szCs w:val="24"/>
                <w:lang w:eastAsia="sk-SK"/>
              </w:rPr>
              <w:t xml:space="preserve"> </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6445B71E"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92,04</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618EE2CC"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10 000 000,00</w:t>
            </w:r>
            <w:r w:rsidRPr="00FB612B">
              <w:rPr>
                <w:rFonts w:eastAsia="Times New Roman" w:cstheme="minorHAnsi"/>
                <w:sz w:val="24"/>
                <w:szCs w:val="24"/>
                <w:lang w:eastAsia="sk-SK"/>
              </w:rPr>
              <w:t xml:space="preserve"> </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419F9156"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100,00</w:t>
            </w:r>
          </w:p>
        </w:tc>
      </w:tr>
      <w:tr w:rsidR="00FB612B" w:rsidRPr="00FB612B" w14:paraId="630B08EF"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B14FF0C"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710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hideMark/>
          </w:tcPr>
          <w:p w14:paraId="7F89502A" w14:textId="77777777" w:rsidR="00FB612B" w:rsidRPr="00FB612B" w:rsidRDefault="00FB612B" w:rsidP="00FB612B">
            <w:pPr>
              <w:spacing w:after="0" w:line="240" w:lineRule="auto"/>
              <w:rPr>
                <w:rFonts w:eastAsia="Times New Roman" w:cstheme="minorHAnsi"/>
                <w:sz w:val="24"/>
                <w:szCs w:val="24"/>
                <w:lang w:eastAsia="sk-SK"/>
              </w:rPr>
            </w:pPr>
            <w:proofErr w:type="spellStart"/>
            <w:r w:rsidRPr="00FB612B">
              <w:rPr>
                <w:rFonts w:eastAsia="Times New Roman" w:cstheme="minorHAnsi"/>
                <w:sz w:val="20"/>
                <w:szCs w:val="20"/>
                <w:lang w:eastAsia="sk-SK"/>
              </w:rPr>
              <w:t>Obst</w:t>
            </w:r>
            <w:proofErr w:type="spellEnd"/>
            <w:r w:rsidRPr="00FB612B">
              <w:rPr>
                <w:rFonts w:eastAsia="Times New Roman" w:cstheme="minorHAnsi"/>
                <w:sz w:val="20"/>
                <w:szCs w:val="20"/>
                <w:lang w:eastAsia="sk-SK"/>
              </w:rPr>
              <w:t xml:space="preserve">. </w:t>
            </w:r>
            <w:proofErr w:type="spellStart"/>
            <w:r w:rsidRPr="00FB612B">
              <w:rPr>
                <w:rFonts w:eastAsia="Times New Roman" w:cstheme="minorHAnsi"/>
                <w:sz w:val="20"/>
                <w:szCs w:val="20"/>
                <w:lang w:eastAsia="sk-SK"/>
              </w:rPr>
              <w:t>kapit</w:t>
            </w:r>
            <w:proofErr w:type="spellEnd"/>
            <w:r w:rsidRPr="00FB612B">
              <w:rPr>
                <w:rFonts w:eastAsia="Times New Roman" w:cstheme="minorHAnsi"/>
                <w:sz w:val="20"/>
                <w:szCs w:val="20"/>
                <w:lang w:eastAsia="sk-SK"/>
              </w:rPr>
              <w:t>. aktív</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51D54F2C"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900 000,00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7F4B24D2"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1 100 000,00</w:t>
            </w:r>
            <w:r w:rsidRPr="00FB612B">
              <w:rPr>
                <w:rFonts w:eastAsia="Times New Roman" w:cstheme="minorHAnsi"/>
                <w:sz w:val="24"/>
                <w:szCs w:val="24"/>
                <w:lang w:eastAsia="sk-SK"/>
              </w:rPr>
              <w:t xml:space="preserve"> </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00D08454"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122,22</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5A713DB1"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1 000 000,00</w:t>
            </w:r>
            <w:r w:rsidRPr="00FB612B">
              <w:rPr>
                <w:rFonts w:eastAsia="Times New Roman" w:cstheme="minorHAnsi"/>
                <w:sz w:val="24"/>
                <w:szCs w:val="24"/>
                <w:lang w:eastAsia="sk-SK"/>
              </w:rPr>
              <w:t xml:space="preserve"> </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5588B77"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90,91</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70EB2334"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600 000,00</w:t>
            </w:r>
            <w:r w:rsidRPr="00FB612B">
              <w:rPr>
                <w:rFonts w:eastAsia="Times New Roman" w:cstheme="minorHAnsi"/>
                <w:sz w:val="24"/>
                <w:szCs w:val="24"/>
                <w:lang w:eastAsia="sk-SK"/>
              </w:rPr>
              <w:t xml:space="preserve"> </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07B26CF8"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60,00</w:t>
            </w:r>
          </w:p>
        </w:tc>
      </w:tr>
      <w:tr w:rsidR="00FB612B" w:rsidRPr="00FB612B" w14:paraId="09C5A5A2"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3962A46C"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720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hideMark/>
          </w:tcPr>
          <w:p w14:paraId="184A96C8"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Kapitálové transfery</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00873E71"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11 410 000,00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5F7328F9"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9 765 000,00</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5FF7D3F0"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85,58</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18A90AE"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9 000 000,00</w:t>
            </w:r>
            <w:r w:rsidRPr="00FB612B">
              <w:rPr>
                <w:rFonts w:eastAsia="Times New Roman" w:cstheme="minorHAnsi"/>
                <w:sz w:val="24"/>
                <w:szCs w:val="24"/>
                <w:lang w:eastAsia="sk-SK"/>
              </w:rPr>
              <w:t xml:space="preserve"> </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7BDD2BAA"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92,17</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EE10B65"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9 400 000,00</w:t>
            </w:r>
            <w:r w:rsidRPr="00FB612B">
              <w:rPr>
                <w:rFonts w:eastAsia="Times New Roman" w:cstheme="minorHAnsi"/>
                <w:sz w:val="24"/>
                <w:szCs w:val="24"/>
                <w:lang w:eastAsia="sk-SK"/>
              </w:rPr>
              <w:t xml:space="preserve"> </w:t>
            </w:r>
          </w:p>
        </w:tc>
        <w:tc>
          <w:tcPr>
            <w:tcW w:w="250"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A7F1E99"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104,44</w:t>
            </w:r>
          </w:p>
        </w:tc>
      </w:tr>
    </w:tbl>
    <w:p w14:paraId="7E6FE75A" w14:textId="77777777" w:rsidR="00FB612B" w:rsidRPr="00FB612B" w:rsidRDefault="00FB612B" w:rsidP="00FB612B">
      <w:pPr>
        <w:spacing w:after="0" w:line="240" w:lineRule="auto"/>
        <w:rPr>
          <w:rFonts w:eastAsiaTheme="minorEastAsia" w:cstheme="minorHAns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23"/>
        <w:gridCol w:w="2028"/>
        <w:gridCol w:w="2028"/>
        <w:gridCol w:w="2028"/>
        <w:gridCol w:w="2043"/>
      </w:tblGrid>
      <w:tr w:rsidR="00FB612B" w:rsidRPr="00FB612B" w14:paraId="75A8B95D" w14:textId="77777777" w:rsidTr="004F5B3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0B6E0B"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8969B3"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4"/>
                <w:szCs w:val="24"/>
                <w:lang w:eastAsia="sk-SK"/>
              </w:rPr>
              <w:t>Oddelenie investičných činností</w:t>
            </w:r>
          </w:p>
        </w:tc>
      </w:tr>
      <w:tr w:rsidR="00FB612B" w:rsidRPr="00FB612B" w14:paraId="31F13281" w14:textId="77777777" w:rsidTr="004F5B3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DC0D9C"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02F801"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4"/>
                <w:szCs w:val="24"/>
                <w:lang w:eastAsia="sk-SK"/>
              </w:rPr>
              <w:t>Zabezpečiť zlepšenie stavu majetku BSK ( v %)</w:t>
            </w:r>
          </w:p>
        </w:tc>
      </w:tr>
      <w:tr w:rsidR="00FB612B" w:rsidRPr="00FB612B" w14:paraId="13494BCA" w14:textId="77777777" w:rsidTr="004F5B3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2B472C"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4"/>
                <w:szCs w:val="24"/>
                <w:lang w:eastAsia="sk-SK"/>
              </w:rPr>
              <w:lastRenderedPageBreak/>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562153"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4"/>
                <w:szCs w:val="24"/>
                <w:lang w:eastAsia="sk-SK"/>
              </w:rPr>
              <w:t>Skutočné plnenie investičného plánu a plánu bežných opráv a údržby majetku BSK</w:t>
            </w:r>
          </w:p>
        </w:tc>
      </w:tr>
      <w:tr w:rsidR="00FB612B" w:rsidRPr="00FB612B" w14:paraId="2A1BB124" w14:textId="77777777" w:rsidTr="004F5B3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ED47AA"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E3494F"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801B9D"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B02D8D"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D05A0E"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sz w:val="24"/>
                <w:szCs w:val="24"/>
                <w:lang w:eastAsia="sk-SK"/>
              </w:rPr>
              <w:t>2027</w:t>
            </w:r>
          </w:p>
        </w:tc>
      </w:tr>
      <w:tr w:rsidR="00FB612B" w:rsidRPr="00FB612B" w14:paraId="27DE0C92" w14:textId="77777777" w:rsidTr="004F5B3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6774B2"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F47023"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7EAD47"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CA7056"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444A2B"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sz w:val="24"/>
                <w:szCs w:val="24"/>
                <w:lang w:eastAsia="sk-SK"/>
              </w:rPr>
              <w:t> 100</w:t>
            </w:r>
          </w:p>
        </w:tc>
      </w:tr>
    </w:tbl>
    <w:p w14:paraId="0C94F251" w14:textId="77777777" w:rsidR="00FB612B" w:rsidRPr="00FB612B" w:rsidRDefault="00FB612B" w:rsidP="00FB612B">
      <w:pPr>
        <w:spacing w:before="100" w:beforeAutospacing="1" w:after="100" w:afterAutospacing="1" w:line="240" w:lineRule="auto"/>
        <w:jc w:val="both"/>
        <w:rPr>
          <w:rFonts w:eastAsiaTheme="minorEastAsia" w:cstheme="minorHAnsi"/>
          <w:sz w:val="24"/>
          <w:szCs w:val="24"/>
          <w:lang w:eastAsia="sk-SK"/>
        </w:rPr>
      </w:pPr>
      <w:r w:rsidRPr="00FB612B">
        <w:rPr>
          <w:rFonts w:eastAsiaTheme="minorEastAsia" w:cstheme="minorHAnsi"/>
          <w:b/>
          <w:bCs/>
          <w:sz w:val="24"/>
          <w:szCs w:val="24"/>
          <w:lang w:eastAsia="sk-SK"/>
        </w:rPr>
        <w:t xml:space="preserve">Komentár: </w:t>
      </w:r>
      <w:r w:rsidRPr="00FB612B">
        <w:rPr>
          <w:rFonts w:eastAsiaTheme="minorEastAsia" w:cstheme="minorHAnsi"/>
          <w:sz w:val="24"/>
          <w:szCs w:val="24"/>
          <w:lang w:eastAsia="sk-SK"/>
        </w:rPr>
        <w:t xml:space="preserve">Podprogram zahŕňa opravy, údržbu, projektové dokumentácie, rekonštrukcie majetku BSK /školských, sociálnych, kultúrnych a zdravotníckych zariadení v ZP BSK/. Investičný plán obsahuje nové akcie, ktoré je potrebné vykonať vzhľadom na stav majetku, ale taktiež </w:t>
      </w:r>
      <w:proofErr w:type="spellStart"/>
      <w:r w:rsidRPr="00FB612B">
        <w:rPr>
          <w:rFonts w:eastAsiaTheme="minorEastAsia" w:cstheme="minorHAnsi"/>
          <w:sz w:val="24"/>
          <w:szCs w:val="24"/>
          <w:lang w:eastAsia="sk-SK"/>
        </w:rPr>
        <w:t>zazmluvnené</w:t>
      </w:r>
      <w:proofErr w:type="spellEnd"/>
      <w:r w:rsidRPr="00FB612B">
        <w:rPr>
          <w:rFonts w:eastAsiaTheme="minorEastAsia" w:cstheme="minorHAnsi"/>
          <w:sz w:val="24"/>
          <w:szCs w:val="24"/>
          <w:lang w:eastAsia="sk-SK"/>
        </w:rPr>
        <w:t xml:space="preserve"> akcie a akcie, ktoré  sa obstarali v roku 2024 a ich ukončenie je naplánované v rokoch 2025-2027.</w:t>
      </w:r>
    </w:p>
    <w:p w14:paraId="4920C685" w14:textId="77777777" w:rsidR="00FB612B" w:rsidRPr="00FB612B" w:rsidRDefault="00FB612B" w:rsidP="00FB612B">
      <w:pPr>
        <w:spacing w:before="100" w:beforeAutospacing="1" w:after="100" w:afterAutospacing="1" w:line="240" w:lineRule="auto"/>
        <w:jc w:val="both"/>
        <w:rPr>
          <w:rFonts w:eastAsia="Times New Roman"/>
          <w:color w:val="0000FF"/>
          <w:sz w:val="24"/>
          <w:szCs w:val="24"/>
          <w:lang w:eastAsia="sk-SK"/>
        </w:rPr>
      </w:pPr>
      <w:r w:rsidRPr="00FB612B">
        <w:rPr>
          <w:rFonts w:eastAsiaTheme="minorEastAsia" w:cstheme="minorHAnsi"/>
          <w:sz w:val="24"/>
          <w:szCs w:val="24"/>
          <w:lang w:eastAsia="sk-SK"/>
        </w:rPr>
        <w:t>Investičný plán a zásobník opráv a údržby sa nachádza na oddelení investičných činností. Zásobník sa môže meniť vzhľadom na mimoriadne a nepredvídateľné situácie.</w:t>
      </w:r>
    </w:p>
    <w:p w14:paraId="096CC5E5" w14:textId="77777777" w:rsidR="00FB612B" w:rsidRPr="00FB612B" w:rsidRDefault="00FB612B" w:rsidP="00FB612B">
      <w:pPr>
        <w:spacing w:after="0" w:line="240" w:lineRule="auto"/>
        <w:outlineLvl w:val="3"/>
        <w:rPr>
          <w:rFonts w:eastAsia="Times New Roman" w:cstheme="minorHAnsi"/>
          <w:b/>
          <w:bCs/>
          <w:sz w:val="24"/>
          <w:szCs w:val="24"/>
          <w:lang w:eastAsia="sk-SK"/>
        </w:rPr>
      </w:pPr>
      <w:r w:rsidRPr="00FB612B">
        <w:rPr>
          <w:rFonts w:eastAsia="Times New Roman" w:cstheme="minorHAnsi"/>
          <w:b/>
          <w:bCs/>
          <w:color w:val="0000FF"/>
          <w:sz w:val="24"/>
          <w:szCs w:val="24"/>
          <w:lang w:eastAsia="sk-SK"/>
        </w:rPr>
        <w:t>Prvok 3.3.1: Bežné opravy a údržba</w:t>
      </w:r>
      <w:r w:rsidRPr="00FB612B">
        <w:rPr>
          <w:rFonts w:eastAsia="Times New Roman" w:cstheme="minorHAnsi"/>
          <w:b/>
          <w:bCs/>
          <w:sz w:val="24"/>
          <w:szCs w:val="24"/>
          <w:lang w:eastAsia="sk-SK"/>
        </w:rPr>
        <w:t xml:space="preserve"> </w:t>
      </w:r>
    </w:p>
    <w:p w14:paraId="2445F752" w14:textId="77777777" w:rsidR="00FB612B" w:rsidRPr="00FB612B" w:rsidRDefault="00FB612B" w:rsidP="00FB612B">
      <w:pPr>
        <w:spacing w:after="0" w:line="240" w:lineRule="auto"/>
        <w:rPr>
          <w:rFonts w:eastAsiaTheme="minorEastAsia" w:cstheme="minorHAnsi"/>
          <w:sz w:val="24"/>
          <w:szCs w:val="24"/>
          <w:lang w:eastAsia="sk-SK"/>
        </w:rPr>
      </w:pPr>
      <w:r w:rsidRPr="00FB612B">
        <w:rPr>
          <w:rFonts w:eastAsiaTheme="minorEastAsia" w:cstheme="minorHAnsi"/>
          <w:b/>
          <w:bCs/>
          <w:sz w:val="24"/>
          <w:szCs w:val="24"/>
          <w:lang w:eastAsia="sk-SK"/>
        </w:rPr>
        <w:t xml:space="preserve">Zámer: </w:t>
      </w:r>
      <w:r w:rsidRPr="00FB612B">
        <w:rPr>
          <w:rFonts w:eastAsiaTheme="minorEastAsia" w:cstheme="minorHAnsi"/>
          <w:sz w:val="24"/>
          <w:szCs w:val="24"/>
          <w:lang w:eastAsia="sk-SK"/>
        </w:rPr>
        <w:t>Bežné opravy a údržba majetku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2"/>
        <w:gridCol w:w="2140"/>
        <w:gridCol w:w="1462"/>
        <w:gridCol w:w="1462"/>
        <w:gridCol w:w="649"/>
        <w:gridCol w:w="1462"/>
        <w:gridCol w:w="647"/>
        <w:gridCol w:w="1462"/>
        <w:gridCol w:w="664"/>
      </w:tblGrid>
      <w:tr w:rsidR="00FB612B" w:rsidRPr="00FB612B" w14:paraId="184FC8D9" w14:textId="77777777" w:rsidTr="004F5B30">
        <w:trPr>
          <w:tblCellSpacing w:w="15" w:type="dxa"/>
        </w:trPr>
        <w:tc>
          <w:tcPr>
            <w:tcW w:w="0" w:type="auto"/>
            <w:gridSpan w:val="9"/>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2B2DD4F7"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i/>
                <w:iCs/>
                <w:sz w:val="24"/>
                <w:szCs w:val="24"/>
                <w:lang w:eastAsia="sk-SK"/>
              </w:rPr>
              <w:t>Rozpočet v EUR</w:t>
            </w:r>
          </w:p>
        </w:tc>
      </w:tr>
      <w:tr w:rsidR="00FB612B" w:rsidRPr="00FB612B" w14:paraId="6D03A9B1"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47D8DA63"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EK</w:t>
            </w:r>
          </w:p>
        </w:tc>
        <w:tc>
          <w:tcPr>
            <w:tcW w:w="1022"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653EF296"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Ekonomická klasifikácia</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3AED508A"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2024</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3D379520"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2025</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1860C20C"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5300FC88"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2026</w:t>
            </w:r>
          </w:p>
        </w:tc>
        <w:tc>
          <w:tcPr>
            <w:tcW w:w="296"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67E4D3C2"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509C97F6"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2027</w:t>
            </w:r>
          </w:p>
        </w:tc>
        <w:tc>
          <w:tcPr>
            <w:tcW w:w="296"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227E9415"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w:t>
            </w:r>
          </w:p>
        </w:tc>
      </w:tr>
      <w:tr w:rsidR="00FB612B" w:rsidRPr="00FB612B" w14:paraId="00B3908B"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4091D0C1" w14:textId="77777777" w:rsidR="00FB612B" w:rsidRPr="00FB612B" w:rsidRDefault="00FB612B" w:rsidP="00FB612B">
            <w:pPr>
              <w:spacing w:after="0" w:line="240" w:lineRule="auto"/>
              <w:jc w:val="center"/>
              <w:rPr>
                <w:rFonts w:eastAsia="Times New Roman" w:cstheme="minorHAnsi"/>
                <w:sz w:val="24"/>
                <w:szCs w:val="24"/>
                <w:lang w:eastAsia="sk-SK"/>
              </w:rPr>
            </w:pP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350253DB"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Výdavky celkom</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3557C6EF"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3 000 000,00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03779884"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4 459 200,00</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1E22C3B1"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b/>
                <w:bCs/>
                <w:sz w:val="20"/>
                <w:szCs w:val="20"/>
                <w:lang w:eastAsia="sk-SK"/>
              </w:rPr>
              <w:t>148,64</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36BA1892"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4 444 200,00</w:t>
            </w:r>
          </w:p>
        </w:tc>
        <w:tc>
          <w:tcPr>
            <w:tcW w:w="296"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1C4D6684"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b/>
                <w:bCs/>
                <w:sz w:val="20"/>
                <w:szCs w:val="20"/>
                <w:lang w:eastAsia="sk-SK"/>
              </w:rPr>
              <w:t>99,66</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6062A8BF"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4 444 200,00</w:t>
            </w:r>
          </w:p>
        </w:tc>
        <w:tc>
          <w:tcPr>
            <w:tcW w:w="296"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43F09C93"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b/>
                <w:bCs/>
                <w:sz w:val="20"/>
                <w:szCs w:val="20"/>
                <w:lang w:eastAsia="sk-SK"/>
              </w:rPr>
              <w:t>100,00</w:t>
            </w:r>
            <w:r w:rsidRPr="00FB612B">
              <w:rPr>
                <w:rFonts w:eastAsia="Times New Roman"/>
                <w:sz w:val="24"/>
                <w:szCs w:val="24"/>
                <w:lang w:eastAsia="sk-SK"/>
              </w:rPr>
              <w:t xml:space="preserve"> </w:t>
            </w:r>
          </w:p>
        </w:tc>
      </w:tr>
      <w:tr w:rsidR="00FB612B" w:rsidRPr="00FB612B" w14:paraId="3F8B56D5"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03BCCF82"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600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7D716BBE"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Bežné výdavky</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033F423C"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3 000 000,00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2CDCA2BB"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4 459 200,00</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275BBCD9"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b/>
                <w:bCs/>
                <w:sz w:val="20"/>
                <w:szCs w:val="20"/>
                <w:lang w:eastAsia="sk-SK"/>
              </w:rPr>
              <w:t>148,64</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0568A44E"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4 444 200,00</w:t>
            </w:r>
          </w:p>
        </w:tc>
        <w:tc>
          <w:tcPr>
            <w:tcW w:w="296"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1A740527"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b/>
                <w:bCs/>
                <w:sz w:val="20"/>
                <w:szCs w:val="20"/>
                <w:lang w:eastAsia="sk-SK"/>
              </w:rPr>
              <w:t>99,66</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6FF66136"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4 444 200,00</w:t>
            </w:r>
          </w:p>
        </w:tc>
        <w:tc>
          <w:tcPr>
            <w:tcW w:w="296"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59FC4FB9"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b/>
                <w:bCs/>
                <w:sz w:val="20"/>
                <w:szCs w:val="20"/>
                <w:lang w:eastAsia="sk-SK"/>
              </w:rPr>
              <w:t>100,00</w:t>
            </w:r>
            <w:r w:rsidRPr="00FB612B">
              <w:rPr>
                <w:rFonts w:eastAsia="Times New Roman"/>
                <w:sz w:val="24"/>
                <w:szCs w:val="24"/>
                <w:lang w:eastAsia="sk-SK"/>
              </w:rPr>
              <w:t xml:space="preserve"> </w:t>
            </w:r>
          </w:p>
        </w:tc>
      </w:tr>
      <w:tr w:rsidR="00FB612B" w:rsidRPr="00FB612B" w14:paraId="1B9A9B57"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5F8EEF10"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630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hideMark/>
          </w:tcPr>
          <w:p w14:paraId="09760FCF"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Tovary a služby</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11492742"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304 000,00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3E73C526"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359 200,00</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7A5F2927"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118,16</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2FBAC204"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344 200,00</w:t>
            </w:r>
          </w:p>
        </w:tc>
        <w:tc>
          <w:tcPr>
            <w:tcW w:w="296"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2AB1EF3E"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95,82</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0733E48F"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344 200,00</w:t>
            </w:r>
          </w:p>
        </w:tc>
        <w:tc>
          <w:tcPr>
            <w:tcW w:w="296"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CD3FCEA"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100,00</w:t>
            </w:r>
            <w:r w:rsidRPr="00FB612B">
              <w:rPr>
                <w:rFonts w:eastAsia="Times New Roman"/>
                <w:sz w:val="24"/>
                <w:szCs w:val="24"/>
                <w:lang w:eastAsia="sk-SK"/>
              </w:rPr>
              <w:t xml:space="preserve"> </w:t>
            </w:r>
          </w:p>
        </w:tc>
      </w:tr>
      <w:tr w:rsidR="00FB612B" w:rsidRPr="00FB612B" w14:paraId="517EDD7C"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154615AD"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640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hideMark/>
          </w:tcPr>
          <w:p w14:paraId="3CBA42BF"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Bežné transfery</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509F7C5E"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2 696 000,00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1172F9F8"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4 100 000,00</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02EC4E14"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152,08</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3E7C0479" w14:textId="77777777" w:rsidR="00FB612B" w:rsidRPr="00FB612B" w:rsidRDefault="00FB612B" w:rsidP="00FB612B">
            <w:pPr>
              <w:spacing w:after="0" w:line="240" w:lineRule="auto"/>
              <w:jc w:val="right"/>
              <w:rPr>
                <w:rFonts w:eastAsia="Times New Roman"/>
                <w:sz w:val="20"/>
                <w:szCs w:val="20"/>
                <w:lang w:eastAsia="sk-SK"/>
              </w:rPr>
            </w:pPr>
            <w:r w:rsidRPr="00FB612B">
              <w:rPr>
                <w:rFonts w:eastAsiaTheme="minorEastAsia"/>
                <w:sz w:val="20"/>
                <w:szCs w:val="20"/>
                <w:lang w:eastAsia="sk-SK"/>
              </w:rPr>
              <w:t>4 100 000,00</w:t>
            </w:r>
          </w:p>
          <w:p w14:paraId="36C45A12" w14:textId="77777777" w:rsidR="00FB612B" w:rsidRPr="00FB612B" w:rsidRDefault="00FB612B" w:rsidP="00FB612B">
            <w:pPr>
              <w:spacing w:after="0" w:line="240" w:lineRule="auto"/>
              <w:jc w:val="right"/>
              <w:rPr>
                <w:rFonts w:eastAsia="Times New Roman"/>
                <w:sz w:val="24"/>
                <w:szCs w:val="24"/>
                <w:lang w:eastAsia="sk-SK"/>
              </w:rPr>
            </w:pPr>
          </w:p>
        </w:tc>
        <w:tc>
          <w:tcPr>
            <w:tcW w:w="296"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25C0334A"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100,00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597C740D"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4 100 000,00</w:t>
            </w:r>
          </w:p>
        </w:tc>
        <w:tc>
          <w:tcPr>
            <w:tcW w:w="296"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167CEC38"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100,00</w:t>
            </w:r>
            <w:r w:rsidRPr="00FB612B">
              <w:rPr>
                <w:rFonts w:eastAsia="Times New Roman"/>
                <w:sz w:val="24"/>
                <w:szCs w:val="24"/>
                <w:lang w:eastAsia="sk-SK"/>
              </w:rPr>
              <w:t xml:space="preserve"> </w:t>
            </w:r>
          </w:p>
        </w:tc>
      </w:tr>
    </w:tbl>
    <w:p w14:paraId="0B03C048" w14:textId="77777777" w:rsidR="00FB612B" w:rsidRPr="00FB612B" w:rsidRDefault="00FB612B" w:rsidP="00FB612B">
      <w:pPr>
        <w:spacing w:after="0" w:line="240" w:lineRule="auto"/>
        <w:outlineLvl w:val="3"/>
        <w:rPr>
          <w:rFonts w:eastAsia="Times New Roman"/>
          <w:b/>
          <w:bCs/>
          <w:color w:val="0000FF"/>
          <w:sz w:val="24"/>
          <w:szCs w:val="24"/>
          <w:lang w:eastAsia="sk-SK"/>
        </w:rPr>
      </w:pPr>
    </w:p>
    <w:p w14:paraId="1AADD8DC" w14:textId="77777777" w:rsidR="00FB612B" w:rsidRPr="00FB612B" w:rsidRDefault="00FB612B" w:rsidP="00FB612B">
      <w:pPr>
        <w:spacing w:after="0" w:line="240" w:lineRule="auto"/>
        <w:outlineLvl w:val="3"/>
        <w:rPr>
          <w:rFonts w:eastAsia="Times New Roman" w:cstheme="minorHAnsi"/>
          <w:b/>
          <w:bCs/>
          <w:sz w:val="24"/>
          <w:szCs w:val="24"/>
          <w:lang w:eastAsia="sk-SK"/>
        </w:rPr>
      </w:pPr>
      <w:r w:rsidRPr="00FB612B">
        <w:rPr>
          <w:rFonts w:eastAsia="Times New Roman" w:cstheme="minorHAnsi"/>
          <w:b/>
          <w:bCs/>
          <w:color w:val="0000FF"/>
          <w:sz w:val="24"/>
          <w:szCs w:val="24"/>
          <w:lang w:eastAsia="sk-SK"/>
        </w:rPr>
        <w:t>Prvok 3.3.2: Investície</w:t>
      </w:r>
      <w:r w:rsidRPr="00FB612B">
        <w:rPr>
          <w:rFonts w:eastAsia="Times New Roman" w:cstheme="minorHAnsi"/>
          <w:b/>
          <w:bCs/>
          <w:sz w:val="24"/>
          <w:szCs w:val="24"/>
          <w:lang w:eastAsia="sk-SK"/>
        </w:rPr>
        <w:t xml:space="preserve"> </w:t>
      </w:r>
    </w:p>
    <w:p w14:paraId="3997FD5A" w14:textId="77777777" w:rsidR="00FB612B" w:rsidRPr="00FB612B" w:rsidRDefault="00FB612B" w:rsidP="00FB612B">
      <w:pPr>
        <w:spacing w:after="0" w:line="240" w:lineRule="auto"/>
        <w:outlineLvl w:val="3"/>
        <w:rPr>
          <w:rFonts w:eastAsiaTheme="minorEastAsia" w:cstheme="minorHAnsi"/>
          <w:b/>
          <w:bCs/>
          <w:sz w:val="24"/>
          <w:szCs w:val="24"/>
          <w:lang w:eastAsia="sk-SK"/>
        </w:rPr>
      </w:pPr>
      <w:r w:rsidRPr="00FB612B">
        <w:rPr>
          <w:rFonts w:eastAsiaTheme="minorEastAsia" w:cstheme="minorHAnsi"/>
          <w:sz w:val="24"/>
          <w:szCs w:val="24"/>
          <w:lang w:eastAsia="sk-SK"/>
        </w:rPr>
        <w:t xml:space="preserve">Zámer: </w:t>
      </w:r>
      <w:r w:rsidRPr="00FB612B">
        <w:rPr>
          <w:rFonts w:eastAsiaTheme="minorEastAsia" w:cstheme="minorHAnsi"/>
          <w:b/>
          <w:bCs/>
          <w:sz w:val="24"/>
          <w:szCs w:val="24"/>
          <w:lang w:eastAsia="sk-SK"/>
        </w:rPr>
        <w:t>Investície</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73"/>
        <w:gridCol w:w="2056"/>
        <w:gridCol w:w="1496"/>
        <w:gridCol w:w="1496"/>
        <w:gridCol w:w="725"/>
        <w:gridCol w:w="1496"/>
        <w:gridCol w:w="548"/>
        <w:gridCol w:w="1496"/>
        <w:gridCol w:w="664"/>
      </w:tblGrid>
      <w:tr w:rsidR="00FB612B" w:rsidRPr="00FB612B" w14:paraId="0A9B7EB7" w14:textId="77777777" w:rsidTr="004F5B30">
        <w:trPr>
          <w:tblCellSpacing w:w="15" w:type="dxa"/>
        </w:trPr>
        <w:tc>
          <w:tcPr>
            <w:tcW w:w="0" w:type="auto"/>
            <w:gridSpan w:val="9"/>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16DF2BAE"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i/>
                <w:iCs/>
                <w:sz w:val="24"/>
                <w:szCs w:val="24"/>
                <w:lang w:eastAsia="sk-SK"/>
              </w:rPr>
              <w:t>Rozpočet v EUR</w:t>
            </w:r>
          </w:p>
        </w:tc>
      </w:tr>
      <w:tr w:rsidR="00FB612B" w:rsidRPr="00FB612B" w14:paraId="01E85E54"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0A58F76B"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EK</w:t>
            </w:r>
          </w:p>
        </w:tc>
        <w:tc>
          <w:tcPr>
            <w:tcW w:w="989"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12187B8C"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Ekonomická klasifikácia</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50485BC3"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2024</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02F520A2"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2025</w:t>
            </w:r>
          </w:p>
        </w:tc>
        <w:tc>
          <w:tcPr>
            <w:tcW w:w="344"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10F1A3B2"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2121AA07"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2026</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2384882A"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2E6880E3"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2027</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AABBEE"/>
            <w:vAlign w:val="center"/>
            <w:hideMark/>
          </w:tcPr>
          <w:p w14:paraId="7A253ED5" w14:textId="77777777" w:rsidR="00FB612B" w:rsidRPr="00FB612B" w:rsidRDefault="00FB612B" w:rsidP="00FB612B">
            <w:pPr>
              <w:spacing w:after="0" w:line="240" w:lineRule="auto"/>
              <w:jc w:val="center"/>
              <w:rPr>
                <w:rFonts w:eastAsia="Times New Roman" w:cstheme="minorHAnsi"/>
                <w:sz w:val="24"/>
                <w:szCs w:val="24"/>
                <w:lang w:eastAsia="sk-SK"/>
              </w:rPr>
            </w:pPr>
            <w:r w:rsidRPr="00FB612B">
              <w:rPr>
                <w:rFonts w:eastAsia="Times New Roman" w:cstheme="minorHAnsi"/>
                <w:b/>
                <w:bCs/>
                <w:sz w:val="20"/>
                <w:szCs w:val="20"/>
                <w:lang w:eastAsia="sk-SK"/>
              </w:rPr>
              <w:t>%</w:t>
            </w:r>
          </w:p>
        </w:tc>
      </w:tr>
      <w:tr w:rsidR="00FB612B" w:rsidRPr="00FB612B" w14:paraId="1ECF87AE"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4A777430" w14:textId="77777777" w:rsidR="00FB612B" w:rsidRPr="00FB612B" w:rsidRDefault="00FB612B" w:rsidP="00FB612B">
            <w:pPr>
              <w:spacing w:after="0" w:line="240" w:lineRule="auto"/>
              <w:jc w:val="center"/>
              <w:rPr>
                <w:rFonts w:eastAsia="Times New Roman" w:cstheme="minorHAnsi"/>
                <w:sz w:val="24"/>
                <w:szCs w:val="24"/>
                <w:lang w:eastAsia="sk-SK"/>
              </w:rPr>
            </w:pP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3B12DB4"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Výdavky celkom</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1F334230"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12 310 000,00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0C7EDF37"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10 865 000,00</w:t>
            </w:r>
          </w:p>
        </w:tc>
        <w:tc>
          <w:tcPr>
            <w:tcW w:w="344"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7A460829"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88,26</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6BB3FC29"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10 000 000,00</w:t>
            </w:r>
            <w:r w:rsidRPr="00FB612B">
              <w:rPr>
                <w:rFonts w:eastAsia="Times New Roman" w:cstheme="minorHAnsi"/>
                <w:sz w:val="24"/>
                <w:szCs w:val="24"/>
                <w:lang w:eastAsia="sk-SK"/>
              </w:rPr>
              <w:t xml:space="preserve"> </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72DDA70E"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b/>
                <w:bCs/>
                <w:sz w:val="20"/>
                <w:szCs w:val="20"/>
                <w:lang w:eastAsia="sk-SK"/>
              </w:rPr>
              <w:t>92,04</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3C5EAF29"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10 000 000,00</w:t>
            </w:r>
            <w:r w:rsidRPr="00FB612B">
              <w:rPr>
                <w:rFonts w:eastAsia="Times New Roman" w:cstheme="minorHAnsi"/>
                <w:sz w:val="24"/>
                <w:szCs w:val="24"/>
                <w:lang w:eastAsia="sk-SK"/>
              </w:rPr>
              <w:t xml:space="preserve"> </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1772811A"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b/>
                <w:bCs/>
                <w:sz w:val="20"/>
                <w:szCs w:val="20"/>
                <w:lang w:eastAsia="sk-SK"/>
              </w:rPr>
              <w:t>100,00</w:t>
            </w:r>
            <w:r w:rsidRPr="00FB612B">
              <w:rPr>
                <w:rFonts w:eastAsia="Times New Roman"/>
                <w:sz w:val="24"/>
                <w:szCs w:val="24"/>
                <w:lang w:eastAsia="sk-SK"/>
              </w:rPr>
              <w:t xml:space="preserve"> </w:t>
            </w:r>
          </w:p>
        </w:tc>
      </w:tr>
      <w:tr w:rsidR="00FB612B" w:rsidRPr="00FB612B" w14:paraId="6F531329"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1A94F1C2"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700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5F0B6742"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b/>
                <w:bCs/>
                <w:sz w:val="20"/>
                <w:szCs w:val="20"/>
                <w:lang w:eastAsia="sk-SK"/>
              </w:rPr>
              <w:t>Kapitálové výdavky</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53852944"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12 310 000,00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368CEAD3"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10 865 000,00</w:t>
            </w:r>
          </w:p>
        </w:tc>
        <w:tc>
          <w:tcPr>
            <w:tcW w:w="344"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57196150"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88,26</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03B730E7"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10 000 000,00</w:t>
            </w:r>
            <w:r w:rsidRPr="00FB612B">
              <w:rPr>
                <w:rFonts w:eastAsia="Times New Roman" w:cstheme="minorHAnsi"/>
                <w:sz w:val="24"/>
                <w:szCs w:val="24"/>
                <w:lang w:eastAsia="sk-SK"/>
              </w:rPr>
              <w:t xml:space="preserve"> </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25DBC48B"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b/>
                <w:bCs/>
                <w:sz w:val="20"/>
                <w:szCs w:val="20"/>
                <w:lang w:eastAsia="sk-SK"/>
              </w:rPr>
              <w:t>92,04</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7B0FCBEE"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b/>
                <w:bCs/>
                <w:sz w:val="20"/>
                <w:szCs w:val="20"/>
                <w:lang w:eastAsia="sk-SK"/>
              </w:rPr>
              <w:t>10 000 000,00</w:t>
            </w:r>
            <w:r w:rsidRPr="00FB612B">
              <w:rPr>
                <w:rFonts w:eastAsia="Times New Roman" w:cstheme="minorHAnsi"/>
                <w:sz w:val="24"/>
                <w:szCs w:val="24"/>
                <w:lang w:eastAsia="sk-SK"/>
              </w:rPr>
              <w:t xml:space="preserve"> </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noWrap/>
            <w:vAlign w:val="center"/>
            <w:hideMark/>
          </w:tcPr>
          <w:p w14:paraId="280F5596"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b/>
                <w:bCs/>
                <w:sz w:val="20"/>
                <w:szCs w:val="20"/>
                <w:lang w:eastAsia="sk-SK"/>
              </w:rPr>
              <w:t>100,00</w:t>
            </w:r>
            <w:r w:rsidRPr="00FB612B">
              <w:rPr>
                <w:rFonts w:eastAsia="Times New Roman"/>
                <w:sz w:val="24"/>
                <w:szCs w:val="24"/>
                <w:lang w:eastAsia="sk-SK"/>
              </w:rPr>
              <w:t xml:space="preserve"> </w:t>
            </w:r>
          </w:p>
        </w:tc>
      </w:tr>
      <w:tr w:rsidR="00FB612B" w:rsidRPr="00FB612B" w14:paraId="4F6B6AB2"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1130A86"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710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hideMark/>
          </w:tcPr>
          <w:p w14:paraId="32878F9F" w14:textId="77777777" w:rsidR="00FB612B" w:rsidRPr="00FB612B" w:rsidRDefault="00FB612B" w:rsidP="00FB612B">
            <w:pPr>
              <w:spacing w:after="0" w:line="240" w:lineRule="auto"/>
              <w:rPr>
                <w:rFonts w:eastAsia="Times New Roman" w:cstheme="minorHAnsi"/>
                <w:sz w:val="24"/>
                <w:szCs w:val="24"/>
                <w:lang w:eastAsia="sk-SK"/>
              </w:rPr>
            </w:pPr>
            <w:proofErr w:type="spellStart"/>
            <w:r w:rsidRPr="00FB612B">
              <w:rPr>
                <w:rFonts w:eastAsia="Times New Roman" w:cstheme="minorHAnsi"/>
                <w:sz w:val="20"/>
                <w:szCs w:val="20"/>
                <w:lang w:eastAsia="sk-SK"/>
              </w:rPr>
              <w:t>Obst</w:t>
            </w:r>
            <w:proofErr w:type="spellEnd"/>
            <w:r w:rsidRPr="00FB612B">
              <w:rPr>
                <w:rFonts w:eastAsia="Times New Roman" w:cstheme="minorHAnsi"/>
                <w:sz w:val="20"/>
                <w:szCs w:val="20"/>
                <w:lang w:eastAsia="sk-SK"/>
              </w:rPr>
              <w:t xml:space="preserve">. </w:t>
            </w:r>
            <w:proofErr w:type="spellStart"/>
            <w:r w:rsidRPr="00FB612B">
              <w:rPr>
                <w:rFonts w:eastAsia="Times New Roman" w:cstheme="minorHAnsi"/>
                <w:sz w:val="20"/>
                <w:szCs w:val="20"/>
                <w:lang w:eastAsia="sk-SK"/>
              </w:rPr>
              <w:t>kapit</w:t>
            </w:r>
            <w:proofErr w:type="spellEnd"/>
            <w:r w:rsidRPr="00FB612B">
              <w:rPr>
                <w:rFonts w:eastAsia="Times New Roman" w:cstheme="minorHAnsi"/>
                <w:sz w:val="20"/>
                <w:szCs w:val="20"/>
                <w:lang w:eastAsia="sk-SK"/>
              </w:rPr>
              <w:t>. aktív</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159D918B"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900 000,00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58E53F9C"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1 100 000,00</w:t>
            </w:r>
          </w:p>
        </w:tc>
        <w:tc>
          <w:tcPr>
            <w:tcW w:w="344"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DC633C3"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122,22</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7BCB5DA"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1 000 000,00</w:t>
            </w:r>
            <w:r w:rsidRPr="00FB612B">
              <w:rPr>
                <w:rFonts w:eastAsia="Times New Roman" w:cstheme="minorHAnsi"/>
                <w:sz w:val="24"/>
                <w:szCs w:val="24"/>
                <w:lang w:eastAsia="sk-SK"/>
              </w:rPr>
              <w:t xml:space="preserve"> </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D994955"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90,91</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0C9F1341"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600 000,00</w:t>
            </w:r>
            <w:r w:rsidRPr="00FB612B">
              <w:rPr>
                <w:rFonts w:eastAsia="Times New Roman" w:cstheme="minorHAnsi"/>
                <w:sz w:val="24"/>
                <w:szCs w:val="24"/>
                <w:lang w:eastAsia="sk-SK"/>
              </w:rPr>
              <w:t xml:space="preserve"> </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DB26221"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60,00</w:t>
            </w:r>
          </w:p>
        </w:tc>
      </w:tr>
      <w:tr w:rsidR="00FB612B" w:rsidRPr="00FB612B" w14:paraId="5741E430" w14:textId="77777777" w:rsidTr="004F5B30">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6E91F47"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720</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vAlign w:val="center"/>
            <w:hideMark/>
          </w:tcPr>
          <w:p w14:paraId="1861E739" w14:textId="77777777" w:rsidR="00FB612B" w:rsidRPr="00FB612B" w:rsidRDefault="00FB612B" w:rsidP="00FB612B">
            <w:pPr>
              <w:spacing w:after="0" w:line="240" w:lineRule="auto"/>
              <w:rPr>
                <w:rFonts w:eastAsia="Times New Roman" w:cstheme="minorHAnsi"/>
                <w:sz w:val="24"/>
                <w:szCs w:val="24"/>
                <w:lang w:eastAsia="sk-SK"/>
              </w:rPr>
            </w:pPr>
            <w:r w:rsidRPr="00FB612B">
              <w:rPr>
                <w:rFonts w:eastAsia="Times New Roman" w:cstheme="minorHAnsi"/>
                <w:sz w:val="20"/>
                <w:szCs w:val="20"/>
                <w:lang w:eastAsia="sk-SK"/>
              </w:rPr>
              <w:t>Kapitálové transfery</w:t>
            </w:r>
            <w:r w:rsidRPr="00FB612B">
              <w:rPr>
                <w:rFonts w:eastAsia="Times New Roman" w:cstheme="minorHAnsi"/>
                <w:sz w:val="24"/>
                <w:szCs w:val="24"/>
                <w:lang w:eastAsia="sk-SK"/>
              </w:rPr>
              <w:t xml:space="preserve"> </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7EF035EB" w14:textId="77777777" w:rsidR="00FB612B" w:rsidRPr="00FB612B" w:rsidRDefault="00FB612B" w:rsidP="00FB612B">
            <w:pPr>
              <w:spacing w:after="0" w:line="240" w:lineRule="auto"/>
              <w:jc w:val="right"/>
              <w:rPr>
                <w:rFonts w:eastAsia="Times New Roman" w:cstheme="minorHAnsi"/>
                <w:sz w:val="20"/>
                <w:szCs w:val="20"/>
                <w:lang w:eastAsia="sk-SK"/>
              </w:rPr>
            </w:pPr>
            <w:r w:rsidRPr="00FB612B">
              <w:rPr>
                <w:rFonts w:eastAsia="Times New Roman" w:cstheme="minorHAnsi"/>
                <w:sz w:val="20"/>
                <w:szCs w:val="20"/>
                <w:lang w:eastAsia="sk-SK"/>
              </w:rPr>
              <w:t>11 410 000,00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0516BC2"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9 765 000,00</w:t>
            </w:r>
          </w:p>
        </w:tc>
        <w:tc>
          <w:tcPr>
            <w:tcW w:w="344"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2E9FE731"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85,58</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77503FD"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9 000 000,00</w:t>
            </w:r>
            <w:r w:rsidRPr="00FB612B">
              <w:rPr>
                <w:rFonts w:eastAsia="Times New Roman" w:cstheme="minorHAnsi"/>
                <w:sz w:val="24"/>
                <w:szCs w:val="24"/>
                <w:lang w:eastAsia="sk-SK"/>
              </w:rPr>
              <w:t xml:space="preserve"> </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6F26DBCC"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92,17</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0CB079D" w14:textId="77777777" w:rsidR="00FB612B" w:rsidRPr="00FB612B" w:rsidRDefault="00FB612B" w:rsidP="00FB612B">
            <w:pPr>
              <w:spacing w:after="0" w:line="240" w:lineRule="auto"/>
              <w:jc w:val="right"/>
              <w:rPr>
                <w:rFonts w:eastAsia="Times New Roman" w:cstheme="minorHAnsi"/>
                <w:sz w:val="24"/>
                <w:szCs w:val="24"/>
                <w:lang w:eastAsia="sk-SK"/>
              </w:rPr>
            </w:pPr>
            <w:r w:rsidRPr="00FB612B">
              <w:rPr>
                <w:rFonts w:eastAsia="Times New Roman" w:cstheme="minorHAnsi"/>
                <w:sz w:val="20"/>
                <w:szCs w:val="20"/>
                <w:lang w:eastAsia="sk-SK"/>
              </w:rPr>
              <w:t>9 400 000,00</w:t>
            </w:r>
            <w:r w:rsidRPr="00FB612B">
              <w:rPr>
                <w:rFonts w:eastAsia="Times New Roman" w:cstheme="minorHAnsi"/>
                <w:sz w:val="24"/>
                <w:szCs w:val="24"/>
                <w:lang w:eastAsia="sk-SK"/>
              </w:rPr>
              <w:t xml:space="preserve"> </w:t>
            </w:r>
          </w:p>
        </w:tc>
        <w:tc>
          <w:tcPr>
            <w:tcW w:w="248" w:type="pct"/>
            <w:tcBorders>
              <w:top w:val="outset" w:sz="6" w:space="0" w:color="000000" w:themeColor="text1"/>
              <w:left w:val="outset" w:sz="6" w:space="0" w:color="000000" w:themeColor="text1"/>
              <w:bottom w:val="outset" w:sz="6" w:space="0" w:color="000000" w:themeColor="text1"/>
              <w:right w:val="outset" w:sz="6" w:space="0" w:color="000000" w:themeColor="text1"/>
            </w:tcBorders>
            <w:noWrap/>
            <w:vAlign w:val="center"/>
            <w:hideMark/>
          </w:tcPr>
          <w:p w14:paraId="47EFD818" w14:textId="77777777" w:rsidR="00FB612B" w:rsidRPr="00FB612B" w:rsidRDefault="00FB612B" w:rsidP="00FB612B">
            <w:pPr>
              <w:spacing w:after="0" w:line="240" w:lineRule="auto"/>
              <w:jc w:val="right"/>
              <w:rPr>
                <w:rFonts w:eastAsia="Times New Roman"/>
                <w:sz w:val="24"/>
                <w:szCs w:val="24"/>
                <w:lang w:eastAsia="sk-SK"/>
              </w:rPr>
            </w:pPr>
            <w:r w:rsidRPr="00FB612B">
              <w:rPr>
                <w:rFonts w:eastAsia="Times New Roman"/>
                <w:sz w:val="20"/>
                <w:szCs w:val="20"/>
                <w:lang w:eastAsia="sk-SK"/>
              </w:rPr>
              <w:t>104,44</w:t>
            </w:r>
          </w:p>
        </w:tc>
      </w:tr>
    </w:tbl>
    <w:p w14:paraId="15DBEC9E" w14:textId="77777777" w:rsidR="00FB612B" w:rsidRPr="00FB612B" w:rsidRDefault="00FB612B" w:rsidP="00FB612B">
      <w:pPr>
        <w:spacing w:after="0" w:line="240" w:lineRule="auto"/>
        <w:rPr>
          <w:rFonts w:ascii="Times New Roman" w:eastAsiaTheme="minorEastAsia" w:hAnsi="Times New Roman" w:cs="Times New Roman"/>
          <w:sz w:val="24"/>
          <w:szCs w:val="24"/>
          <w:lang w:eastAsia="sk-SK"/>
        </w:rPr>
      </w:pPr>
    </w:p>
    <w:p w14:paraId="746076D5" w14:textId="77777777" w:rsidR="00BB2747" w:rsidRDefault="00BB2747" w:rsidP="00016049">
      <w:pPr>
        <w:rPr>
          <w:rFonts w:ascii="Times New Roman" w:eastAsiaTheme="minorEastAsia" w:hAnsi="Times New Roman" w:cs="Times New Roman"/>
          <w:sz w:val="24"/>
          <w:szCs w:val="24"/>
          <w:lang w:eastAsia="sk-SK"/>
        </w:rPr>
      </w:pPr>
    </w:p>
    <w:p w14:paraId="072BA0A6" w14:textId="77777777" w:rsidR="007624FD" w:rsidRDefault="00016049" w:rsidP="007624FD">
      <w:pPr>
        <w:spacing w:after="0" w:line="240" w:lineRule="auto"/>
        <w:outlineLvl w:val="1"/>
        <w:rPr>
          <w:rFonts w:eastAsia="Times New Roman" w:cstheme="minorHAnsi"/>
          <w:b/>
          <w:bCs/>
          <w:color w:val="000080"/>
          <w:sz w:val="36"/>
          <w:szCs w:val="36"/>
          <w:lang w:eastAsia="sk-SK"/>
        </w:rPr>
      </w:pPr>
      <w:r w:rsidRPr="00C11DAF">
        <w:rPr>
          <w:rFonts w:eastAsia="Times New Roman" w:cstheme="minorHAnsi"/>
          <w:b/>
          <w:bCs/>
          <w:color w:val="000080"/>
          <w:sz w:val="36"/>
          <w:szCs w:val="36"/>
          <w:lang w:eastAsia="sk-SK"/>
        </w:rPr>
        <w:t>Program 4: Cestovný ruch</w:t>
      </w:r>
    </w:p>
    <w:p w14:paraId="41BBF490" w14:textId="77777777" w:rsidR="007624FD" w:rsidRDefault="007624FD" w:rsidP="007624FD">
      <w:pPr>
        <w:spacing w:after="0" w:line="240" w:lineRule="auto"/>
        <w:outlineLvl w:val="1"/>
        <w:rPr>
          <w:rFonts w:ascii="Calibri" w:eastAsia="Times New Roman" w:hAnsi="Calibri" w:cs="Calibri"/>
          <w:b/>
          <w:bCs/>
          <w:sz w:val="24"/>
          <w:szCs w:val="24"/>
          <w:lang w:eastAsia="sk-SK"/>
        </w:rPr>
      </w:pPr>
    </w:p>
    <w:p w14:paraId="35D20B6F" w14:textId="2FBEB1E9" w:rsidR="00016049" w:rsidRPr="007624FD" w:rsidRDefault="00016049" w:rsidP="007624FD">
      <w:pPr>
        <w:spacing w:after="0" w:line="240" w:lineRule="auto"/>
        <w:outlineLvl w:val="1"/>
        <w:rPr>
          <w:rFonts w:eastAsia="Times New Roman" w:cstheme="minorHAnsi"/>
          <w:b/>
          <w:bCs/>
          <w:color w:val="000080"/>
          <w:sz w:val="36"/>
          <w:szCs w:val="36"/>
          <w:lang w:eastAsia="sk-SK"/>
        </w:rPr>
      </w:pPr>
      <w:r w:rsidRPr="00016049">
        <w:rPr>
          <w:rFonts w:ascii="Calibri" w:eastAsia="Times New Roman" w:hAnsi="Calibri" w:cs="Calibri"/>
          <w:b/>
          <w:bCs/>
          <w:sz w:val="24"/>
          <w:szCs w:val="24"/>
          <w:lang w:eastAsia="sk-SK"/>
        </w:rPr>
        <w:t xml:space="preserve">Zámer: </w:t>
      </w:r>
      <w:r w:rsidRPr="00016049">
        <w:rPr>
          <w:rFonts w:ascii="Calibri" w:eastAsia="Times New Roman" w:hAnsi="Calibri" w:cs="Calibri"/>
          <w:sz w:val="24"/>
          <w:szCs w:val="24"/>
          <w:lang w:eastAsia="sk-SK"/>
        </w:rPr>
        <w:t xml:space="preserve">Bratislavský kraj - vyhľadávaná turistická destinácia </w:t>
      </w:r>
      <w:r w:rsidRPr="00016049">
        <w:rPr>
          <w:rFonts w:ascii="Calibri" w:eastAsia="Times New Roman" w:hAnsi="Calibri" w:cs="Calibri"/>
          <w:sz w:val="24"/>
          <w:szCs w:val="24"/>
          <w:lang w:eastAsia="sk-SK"/>
        </w:rPr>
        <w:br/>
      </w:r>
    </w:p>
    <w:tbl>
      <w:tblPr>
        <w:tblW w:w="10450"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
        <w:gridCol w:w="2117"/>
        <w:gridCol w:w="1116"/>
        <w:gridCol w:w="1474"/>
        <w:gridCol w:w="713"/>
        <w:gridCol w:w="1474"/>
        <w:gridCol w:w="711"/>
        <w:gridCol w:w="1475"/>
        <w:gridCol w:w="728"/>
      </w:tblGrid>
      <w:tr w:rsidR="00016049" w:rsidRPr="00016049" w14:paraId="5C915F12" w14:textId="77777777" w:rsidTr="00B80916">
        <w:trPr>
          <w:tblCellSpacing w:w="15" w:type="dxa"/>
        </w:trPr>
        <w:tc>
          <w:tcPr>
            <w:tcW w:w="10390" w:type="dxa"/>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60D7013" w14:textId="77777777" w:rsidR="00016049" w:rsidRPr="00016049" w:rsidRDefault="00016049" w:rsidP="00016049">
            <w:pPr>
              <w:spacing w:after="0" w:line="240" w:lineRule="auto"/>
              <w:jc w:val="center"/>
              <w:rPr>
                <w:rFonts w:ascii="Calibri" w:eastAsia="Times New Roman" w:hAnsi="Calibri" w:cs="Calibri"/>
                <w:sz w:val="20"/>
                <w:szCs w:val="20"/>
                <w:lang w:eastAsia="sk-SK"/>
              </w:rPr>
            </w:pPr>
            <w:r w:rsidRPr="00016049">
              <w:rPr>
                <w:rFonts w:ascii="Calibri" w:eastAsia="Times New Roman" w:hAnsi="Calibri" w:cs="Calibri"/>
                <w:b/>
                <w:bCs/>
                <w:i/>
                <w:iCs/>
                <w:sz w:val="20"/>
                <w:szCs w:val="20"/>
                <w:lang w:eastAsia="sk-SK"/>
              </w:rPr>
              <w:t>Rozpočet v EUR</w:t>
            </w:r>
          </w:p>
        </w:tc>
      </w:tr>
      <w:tr w:rsidR="00F717C3" w:rsidRPr="00B80916" w14:paraId="7F76E5FF" w14:textId="77777777" w:rsidTr="004F16C1">
        <w:tblPrEx>
          <w:tblCellMar>
            <w:top w:w="0" w:type="dxa"/>
            <w:left w:w="108" w:type="dxa"/>
            <w:bottom w:w="0" w:type="dxa"/>
            <w:right w:w="108" w:type="dxa"/>
          </w:tblCellMar>
        </w:tblPrEx>
        <w:trPr>
          <w:tblCellSpacing w:w="15" w:type="dxa"/>
        </w:trPr>
        <w:tc>
          <w:tcPr>
            <w:tcW w:w="567" w:type="dxa"/>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4CBDA2C1" w14:textId="77777777" w:rsidR="00F717C3" w:rsidRPr="00B80916" w:rsidRDefault="00F717C3" w:rsidP="00F717C3">
            <w:pPr>
              <w:spacing w:after="0" w:line="240" w:lineRule="auto"/>
              <w:rPr>
                <w:rFonts w:eastAsia="Times New Roman" w:cstheme="minorHAnsi"/>
                <w:sz w:val="24"/>
                <w:szCs w:val="24"/>
                <w:lang w:eastAsia="sk-SK"/>
              </w:rPr>
            </w:pPr>
            <w:r w:rsidRPr="00B80916">
              <w:rPr>
                <w:rFonts w:eastAsia="Times New Roman" w:cstheme="minorHAnsi"/>
                <w:b/>
                <w:bCs/>
                <w:sz w:val="20"/>
                <w:szCs w:val="20"/>
                <w:lang w:eastAsia="sk-SK"/>
              </w:rPr>
              <w:t>EK</w:t>
            </w:r>
          </w:p>
        </w:tc>
        <w:tc>
          <w:tcPr>
            <w:tcW w:w="2327" w:type="dxa"/>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221992D8" w14:textId="77777777" w:rsidR="00F717C3" w:rsidRPr="00B80916" w:rsidRDefault="00F717C3" w:rsidP="00F717C3">
            <w:pPr>
              <w:spacing w:after="0" w:line="240" w:lineRule="auto"/>
              <w:rPr>
                <w:rFonts w:eastAsia="Times New Roman" w:cstheme="minorHAnsi"/>
                <w:sz w:val="24"/>
                <w:szCs w:val="24"/>
                <w:lang w:eastAsia="sk-SK"/>
              </w:rPr>
            </w:pPr>
            <w:r w:rsidRPr="00B80916">
              <w:rPr>
                <w:rFonts w:eastAsia="Times New Roman" w:cstheme="minorHAnsi"/>
                <w:b/>
                <w:bCs/>
                <w:sz w:val="20"/>
                <w:szCs w:val="20"/>
                <w:lang w:eastAsia="sk-SK"/>
              </w:rPr>
              <w:t>Ekonomická klasifikácia</w:t>
            </w:r>
          </w:p>
        </w:tc>
        <w:tc>
          <w:tcPr>
            <w:tcW w:w="1056" w:type="dxa"/>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4A231BF2" w14:textId="2FDB86D8" w:rsidR="00F717C3" w:rsidRPr="00B80916" w:rsidRDefault="00F717C3" w:rsidP="00F717C3">
            <w:pPr>
              <w:spacing w:after="0" w:line="240" w:lineRule="auto"/>
              <w:jc w:val="center"/>
              <w:rPr>
                <w:rFonts w:eastAsia="Times New Roman" w:cstheme="minorHAnsi"/>
                <w:sz w:val="24"/>
                <w:szCs w:val="24"/>
                <w:lang w:eastAsia="sk-SK"/>
              </w:rPr>
            </w:pPr>
            <w:r w:rsidRPr="005345E5">
              <w:rPr>
                <w:rFonts w:ascii="Calibri" w:eastAsia="Times New Roman" w:hAnsi="Calibri" w:cs="Calibri"/>
                <w:b/>
                <w:bCs/>
                <w:sz w:val="20"/>
                <w:szCs w:val="20"/>
              </w:rPr>
              <w:t>2024</w:t>
            </w:r>
          </w:p>
        </w:tc>
        <w:tc>
          <w:tcPr>
            <w:tcW w:w="1414" w:type="dxa"/>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3FF3E496" w14:textId="4E8DC87A" w:rsidR="00F717C3" w:rsidRPr="00B80916" w:rsidRDefault="00F717C3" w:rsidP="00F717C3">
            <w:pPr>
              <w:spacing w:after="0" w:line="240" w:lineRule="auto"/>
              <w:jc w:val="center"/>
              <w:rPr>
                <w:rFonts w:eastAsia="Times New Roman" w:cstheme="minorHAnsi"/>
                <w:sz w:val="24"/>
                <w:szCs w:val="24"/>
                <w:lang w:eastAsia="sk-SK"/>
              </w:rPr>
            </w:pPr>
            <w:r w:rsidRPr="005345E5">
              <w:rPr>
                <w:rFonts w:ascii="Calibri" w:eastAsia="Times New Roman" w:hAnsi="Calibri" w:cs="Calibri"/>
                <w:b/>
                <w:bCs/>
                <w:sz w:val="20"/>
                <w:szCs w:val="20"/>
              </w:rPr>
              <w:t>2025</w:t>
            </w:r>
          </w:p>
        </w:tc>
        <w:tc>
          <w:tcPr>
            <w:tcW w:w="653" w:type="dxa"/>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0A9527E3" w14:textId="269096C2" w:rsidR="00F717C3" w:rsidRPr="00B80916" w:rsidRDefault="00F717C3" w:rsidP="00F717C3">
            <w:pPr>
              <w:spacing w:after="0" w:line="240" w:lineRule="auto"/>
              <w:jc w:val="center"/>
              <w:rPr>
                <w:rFonts w:eastAsia="Times New Roman" w:cstheme="minorHAnsi"/>
                <w:sz w:val="24"/>
                <w:szCs w:val="24"/>
                <w:lang w:eastAsia="sk-SK"/>
              </w:rPr>
            </w:pPr>
            <w:r w:rsidRPr="005345E5">
              <w:rPr>
                <w:rFonts w:ascii="Calibri" w:eastAsia="Times New Roman" w:hAnsi="Calibri" w:cs="Calibri"/>
                <w:b/>
                <w:bCs/>
                <w:sz w:val="20"/>
                <w:szCs w:val="20"/>
              </w:rPr>
              <w:t>%</w:t>
            </w:r>
          </w:p>
        </w:tc>
        <w:tc>
          <w:tcPr>
            <w:tcW w:w="1414" w:type="dxa"/>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1727D754" w14:textId="1FA8993E" w:rsidR="00F717C3" w:rsidRPr="00B80916" w:rsidRDefault="00F717C3" w:rsidP="00F717C3">
            <w:pPr>
              <w:spacing w:after="0" w:line="240" w:lineRule="auto"/>
              <w:jc w:val="center"/>
              <w:rPr>
                <w:rFonts w:eastAsia="Times New Roman" w:cstheme="minorHAnsi"/>
                <w:sz w:val="24"/>
                <w:szCs w:val="24"/>
                <w:lang w:eastAsia="sk-SK"/>
              </w:rPr>
            </w:pPr>
            <w:r w:rsidRPr="005345E5">
              <w:rPr>
                <w:rFonts w:ascii="Calibri" w:eastAsia="Times New Roman" w:hAnsi="Calibri" w:cs="Calibri"/>
                <w:b/>
                <w:bCs/>
                <w:sz w:val="20"/>
                <w:szCs w:val="20"/>
              </w:rPr>
              <w:t>2026</w:t>
            </w:r>
          </w:p>
        </w:tc>
        <w:tc>
          <w:tcPr>
            <w:tcW w:w="651" w:type="dxa"/>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6E7C7D44" w14:textId="3312E1A7" w:rsidR="00F717C3" w:rsidRPr="00B80916" w:rsidRDefault="00F717C3" w:rsidP="00F717C3">
            <w:pPr>
              <w:spacing w:after="0" w:line="240" w:lineRule="auto"/>
              <w:jc w:val="center"/>
              <w:rPr>
                <w:rFonts w:eastAsia="Times New Roman" w:cstheme="minorHAnsi"/>
                <w:sz w:val="24"/>
                <w:szCs w:val="24"/>
                <w:lang w:eastAsia="sk-SK"/>
              </w:rPr>
            </w:pPr>
            <w:r w:rsidRPr="005345E5">
              <w:rPr>
                <w:rFonts w:ascii="Calibri" w:eastAsia="Times New Roman" w:hAnsi="Calibri" w:cs="Calibri"/>
                <w:b/>
                <w:bCs/>
                <w:sz w:val="20"/>
                <w:szCs w:val="20"/>
              </w:rPr>
              <w:t>%</w:t>
            </w:r>
          </w:p>
        </w:tc>
        <w:tc>
          <w:tcPr>
            <w:tcW w:w="1415" w:type="dxa"/>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38DE8C0B" w14:textId="7F4EDEB0" w:rsidR="00F717C3" w:rsidRPr="00B80916" w:rsidRDefault="00F717C3" w:rsidP="00F717C3">
            <w:pPr>
              <w:spacing w:after="0" w:line="240" w:lineRule="auto"/>
              <w:jc w:val="center"/>
              <w:rPr>
                <w:rFonts w:eastAsia="Times New Roman" w:cstheme="minorHAnsi"/>
                <w:sz w:val="24"/>
                <w:szCs w:val="24"/>
                <w:lang w:eastAsia="sk-SK"/>
              </w:rPr>
            </w:pPr>
            <w:r w:rsidRPr="005345E5">
              <w:rPr>
                <w:rFonts w:ascii="Calibri" w:eastAsia="Times New Roman" w:hAnsi="Calibri" w:cs="Calibri"/>
                <w:b/>
                <w:bCs/>
                <w:sz w:val="20"/>
                <w:szCs w:val="20"/>
              </w:rPr>
              <w:t>2027</w:t>
            </w:r>
          </w:p>
        </w:tc>
        <w:tc>
          <w:tcPr>
            <w:tcW w:w="653" w:type="dxa"/>
            <w:tcBorders>
              <w:top w:val="outset" w:sz="6" w:space="0" w:color="000000"/>
              <w:left w:val="outset" w:sz="6" w:space="0" w:color="000000"/>
              <w:bottom w:val="outset" w:sz="6" w:space="0" w:color="000000"/>
              <w:right w:val="outset" w:sz="6" w:space="0" w:color="000000"/>
            </w:tcBorders>
            <w:shd w:val="clear" w:color="auto" w:fill="AABBEE"/>
            <w:tcMar>
              <w:top w:w="15" w:type="dxa"/>
              <w:left w:w="15" w:type="dxa"/>
              <w:bottom w:w="15" w:type="dxa"/>
              <w:right w:w="15" w:type="dxa"/>
            </w:tcMar>
            <w:vAlign w:val="center"/>
            <w:hideMark/>
          </w:tcPr>
          <w:p w14:paraId="4CAF6307" w14:textId="2327512B" w:rsidR="00F717C3" w:rsidRPr="00B80916" w:rsidRDefault="00F717C3" w:rsidP="00F717C3">
            <w:pPr>
              <w:spacing w:after="0" w:line="240" w:lineRule="auto"/>
              <w:jc w:val="center"/>
              <w:rPr>
                <w:rFonts w:eastAsia="Times New Roman" w:cstheme="minorHAnsi"/>
                <w:sz w:val="24"/>
                <w:szCs w:val="24"/>
                <w:lang w:eastAsia="sk-SK"/>
              </w:rPr>
            </w:pPr>
            <w:r w:rsidRPr="005345E5">
              <w:rPr>
                <w:rFonts w:ascii="Calibri" w:eastAsia="Times New Roman" w:hAnsi="Calibri" w:cs="Calibri"/>
                <w:b/>
                <w:bCs/>
                <w:sz w:val="20"/>
                <w:szCs w:val="20"/>
              </w:rPr>
              <w:t>%</w:t>
            </w:r>
          </w:p>
        </w:tc>
      </w:tr>
      <w:tr w:rsidR="00F717C3" w:rsidRPr="00B80916" w14:paraId="3A67AE47" w14:textId="77777777" w:rsidTr="004F16C1">
        <w:tblPrEx>
          <w:tblCellMar>
            <w:top w:w="0" w:type="dxa"/>
            <w:left w:w="108" w:type="dxa"/>
            <w:bottom w:w="0" w:type="dxa"/>
            <w:right w:w="108" w:type="dxa"/>
          </w:tblCellMar>
        </w:tblPrEx>
        <w:trPr>
          <w:tblCellSpacing w:w="15" w:type="dxa"/>
        </w:trPr>
        <w:tc>
          <w:tcPr>
            <w:tcW w:w="567"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F625B67" w14:textId="77777777" w:rsidR="00F717C3" w:rsidRPr="00B80916" w:rsidRDefault="00F717C3" w:rsidP="00F717C3">
            <w:pPr>
              <w:spacing w:after="0" w:line="240" w:lineRule="auto"/>
              <w:rPr>
                <w:rFonts w:eastAsia="Times New Roman" w:cstheme="minorHAnsi"/>
                <w:sz w:val="24"/>
                <w:szCs w:val="24"/>
                <w:lang w:eastAsia="sk-SK"/>
              </w:rPr>
            </w:pPr>
          </w:p>
        </w:tc>
        <w:tc>
          <w:tcPr>
            <w:tcW w:w="2327" w:type="dxa"/>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B594A52" w14:textId="77777777" w:rsidR="00F717C3" w:rsidRPr="00B80916" w:rsidRDefault="00F717C3" w:rsidP="00F717C3">
            <w:pPr>
              <w:spacing w:after="0" w:line="240" w:lineRule="auto"/>
              <w:rPr>
                <w:rFonts w:eastAsia="Times New Roman" w:cstheme="minorHAnsi"/>
                <w:sz w:val="24"/>
                <w:szCs w:val="24"/>
                <w:lang w:eastAsia="sk-SK"/>
              </w:rPr>
            </w:pPr>
            <w:r w:rsidRPr="00B80916">
              <w:rPr>
                <w:rFonts w:eastAsia="Times New Roman" w:cstheme="minorHAnsi"/>
                <w:b/>
                <w:bCs/>
                <w:sz w:val="20"/>
                <w:szCs w:val="20"/>
                <w:lang w:eastAsia="sk-SK"/>
              </w:rPr>
              <w:t>Výdavky celkom</w:t>
            </w:r>
            <w:r w:rsidRPr="00B80916">
              <w:rPr>
                <w:rFonts w:eastAsia="Times New Roman" w:cstheme="minorHAnsi"/>
                <w:sz w:val="24"/>
                <w:szCs w:val="24"/>
                <w:lang w:eastAsia="sk-SK"/>
              </w:rPr>
              <w:t xml:space="preserve"> </w:t>
            </w:r>
          </w:p>
        </w:tc>
        <w:tc>
          <w:tcPr>
            <w:tcW w:w="1056"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3B8505B4" w14:textId="5D058303"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930 000,00</w:t>
            </w:r>
            <w:r w:rsidRPr="005345E5">
              <w:rPr>
                <w:rFonts w:ascii="Calibri" w:eastAsia="Times New Roman" w:hAnsi="Calibri" w:cs="Calibri"/>
              </w:rPr>
              <w:t xml:space="preserve"> </w:t>
            </w:r>
          </w:p>
        </w:tc>
        <w:tc>
          <w:tcPr>
            <w:tcW w:w="1414"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7938A307" w14:textId="444EA57B"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1 853 158,66</w:t>
            </w:r>
            <w:r w:rsidRPr="005345E5">
              <w:rPr>
                <w:rFonts w:ascii="Calibri" w:eastAsia="Times New Roman" w:hAnsi="Calibri" w:cs="Calibri"/>
              </w:rPr>
              <w:t xml:space="preserve"> </w:t>
            </w:r>
          </w:p>
        </w:tc>
        <w:tc>
          <w:tcPr>
            <w:tcW w:w="653"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CD33F2E" w14:textId="672336D3"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199,26</w:t>
            </w:r>
            <w:r w:rsidRPr="005345E5">
              <w:rPr>
                <w:rFonts w:ascii="Calibri" w:eastAsia="Times New Roman" w:hAnsi="Calibri" w:cs="Calibri"/>
              </w:rPr>
              <w:t xml:space="preserve"> </w:t>
            </w:r>
          </w:p>
        </w:tc>
        <w:tc>
          <w:tcPr>
            <w:tcW w:w="1414"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1F2B701A" w14:textId="58EB0250"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1 855 632,34</w:t>
            </w:r>
            <w:r w:rsidRPr="005345E5">
              <w:rPr>
                <w:rFonts w:ascii="Calibri" w:eastAsia="Times New Roman" w:hAnsi="Calibri" w:cs="Calibri"/>
              </w:rPr>
              <w:t xml:space="preserve"> </w:t>
            </w:r>
          </w:p>
        </w:tc>
        <w:tc>
          <w:tcPr>
            <w:tcW w:w="651"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6078453F" w14:textId="7461C3C8"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100,13</w:t>
            </w:r>
            <w:r w:rsidRPr="005345E5">
              <w:rPr>
                <w:rFonts w:ascii="Calibri" w:eastAsia="Times New Roman" w:hAnsi="Calibri" w:cs="Calibri"/>
              </w:rPr>
              <w:t xml:space="preserve"> </w:t>
            </w:r>
          </w:p>
        </w:tc>
        <w:tc>
          <w:tcPr>
            <w:tcW w:w="1415"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01057DBF" w14:textId="64B4E3B4"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1 694 500,00</w:t>
            </w:r>
            <w:r w:rsidRPr="005345E5">
              <w:rPr>
                <w:rFonts w:ascii="Calibri" w:eastAsia="Times New Roman" w:hAnsi="Calibri" w:cs="Calibri"/>
              </w:rPr>
              <w:t xml:space="preserve"> </w:t>
            </w:r>
          </w:p>
        </w:tc>
        <w:tc>
          <w:tcPr>
            <w:tcW w:w="653"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4AB5C587" w14:textId="61A3EFBE"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91,32</w:t>
            </w:r>
            <w:r w:rsidRPr="005345E5">
              <w:rPr>
                <w:rFonts w:ascii="Calibri" w:eastAsia="Times New Roman" w:hAnsi="Calibri" w:cs="Calibri"/>
              </w:rPr>
              <w:t xml:space="preserve"> </w:t>
            </w:r>
          </w:p>
        </w:tc>
      </w:tr>
      <w:tr w:rsidR="00F717C3" w:rsidRPr="00B80916" w14:paraId="42E669D9" w14:textId="77777777" w:rsidTr="004F16C1">
        <w:tblPrEx>
          <w:tblCellMar>
            <w:top w:w="0" w:type="dxa"/>
            <w:left w:w="108" w:type="dxa"/>
            <w:bottom w:w="0" w:type="dxa"/>
            <w:right w:w="108" w:type="dxa"/>
          </w:tblCellMar>
        </w:tblPrEx>
        <w:trPr>
          <w:tblCellSpacing w:w="15" w:type="dxa"/>
        </w:trPr>
        <w:tc>
          <w:tcPr>
            <w:tcW w:w="567"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36959DC1" w14:textId="77777777" w:rsidR="00F717C3" w:rsidRPr="00B80916" w:rsidRDefault="00F717C3" w:rsidP="00F717C3">
            <w:pPr>
              <w:spacing w:after="0" w:line="240" w:lineRule="auto"/>
              <w:rPr>
                <w:rFonts w:eastAsia="Times New Roman" w:cstheme="minorHAnsi"/>
                <w:sz w:val="24"/>
                <w:szCs w:val="24"/>
                <w:lang w:eastAsia="sk-SK"/>
              </w:rPr>
            </w:pPr>
            <w:r w:rsidRPr="00B80916">
              <w:rPr>
                <w:rFonts w:eastAsia="Times New Roman" w:cstheme="minorHAnsi"/>
                <w:b/>
                <w:bCs/>
                <w:sz w:val="20"/>
                <w:szCs w:val="20"/>
                <w:lang w:eastAsia="sk-SK"/>
              </w:rPr>
              <w:t>600</w:t>
            </w:r>
            <w:r w:rsidRPr="00B80916">
              <w:rPr>
                <w:rFonts w:eastAsia="Times New Roman" w:cstheme="minorHAnsi"/>
                <w:sz w:val="24"/>
                <w:szCs w:val="24"/>
                <w:lang w:eastAsia="sk-SK"/>
              </w:rPr>
              <w:t xml:space="preserve"> </w:t>
            </w:r>
          </w:p>
        </w:tc>
        <w:tc>
          <w:tcPr>
            <w:tcW w:w="2327" w:type="dxa"/>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24D1C54A" w14:textId="77777777" w:rsidR="00F717C3" w:rsidRPr="00B80916" w:rsidRDefault="00F717C3" w:rsidP="00F717C3">
            <w:pPr>
              <w:spacing w:after="0" w:line="240" w:lineRule="auto"/>
              <w:rPr>
                <w:rFonts w:eastAsia="Times New Roman" w:cstheme="minorHAnsi"/>
                <w:sz w:val="24"/>
                <w:szCs w:val="24"/>
                <w:lang w:eastAsia="sk-SK"/>
              </w:rPr>
            </w:pPr>
            <w:r w:rsidRPr="00B80916">
              <w:rPr>
                <w:rFonts w:eastAsia="Times New Roman" w:cstheme="minorHAnsi"/>
                <w:b/>
                <w:bCs/>
                <w:sz w:val="20"/>
                <w:szCs w:val="20"/>
                <w:lang w:eastAsia="sk-SK"/>
              </w:rPr>
              <w:t>Bežné výdavky</w:t>
            </w:r>
            <w:r w:rsidRPr="00B80916">
              <w:rPr>
                <w:rFonts w:eastAsia="Times New Roman" w:cstheme="minorHAnsi"/>
                <w:sz w:val="24"/>
                <w:szCs w:val="24"/>
                <w:lang w:eastAsia="sk-SK"/>
              </w:rPr>
              <w:t xml:space="preserve"> </w:t>
            </w:r>
          </w:p>
        </w:tc>
        <w:tc>
          <w:tcPr>
            <w:tcW w:w="1056"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1E8A68FF" w14:textId="217193D3"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930 000,00</w:t>
            </w:r>
            <w:r w:rsidRPr="005345E5">
              <w:rPr>
                <w:rFonts w:ascii="Calibri" w:eastAsia="Times New Roman" w:hAnsi="Calibri" w:cs="Calibri"/>
              </w:rPr>
              <w:t xml:space="preserve"> </w:t>
            </w:r>
          </w:p>
        </w:tc>
        <w:tc>
          <w:tcPr>
            <w:tcW w:w="1414"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3EEAD28F" w14:textId="59E7F7AE"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1 853 158,66</w:t>
            </w:r>
            <w:r w:rsidRPr="005345E5">
              <w:rPr>
                <w:rFonts w:ascii="Calibri" w:eastAsia="Times New Roman" w:hAnsi="Calibri" w:cs="Calibri"/>
              </w:rPr>
              <w:t xml:space="preserve"> </w:t>
            </w:r>
          </w:p>
        </w:tc>
        <w:tc>
          <w:tcPr>
            <w:tcW w:w="653"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519C7C35" w14:textId="644984F3"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199,26</w:t>
            </w:r>
            <w:r w:rsidRPr="005345E5">
              <w:rPr>
                <w:rFonts w:ascii="Calibri" w:eastAsia="Times New Roman" w:hAnsi="Calibri" w:cs="Calibri"/>
              </w:rPr>
              <w:t xml:space="preserve"> </w:t>
            </w:r>
          </w:p>
        </w:tc>
        <w:tc>
          <w:tcPr>
            <w:tcW w:w="1414"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7B55E94C" w14:textId="4D8639B3"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1 855 632,34</w:t>
            </w:r>
            <w:r w:rsidRPr="005345E5">
              <w:rPr>
                <w:rFonts w:ascii="Calibri" w:eastAsia="Times New Roman" w:hAnsi="Calibri" w:cs="Calibri"/>
              </w:rPr>
              <w:t xml:space="preserve"> </w:t>
            </w:r>
          </w:p>
        </w:tc>
        <w:tc>
          <w:tcPr>
            <w:tcW w:w="651"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9E405F7" w14:textId="5780AB60"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100,13</w:t>
            </w:r>
            <w:r w:rsidRPr="005345E5">
              <w:rPr>
                <w:rFonts w:ascii="Calibri" w:eastAsia="Times New Roman" w:hAnsi="Calibri" w:cs="Calibri"/>
              </w:rPr>
              <w:t xml:space="preserve"> </w:t>
            </w:r>
          </w:p>
        </w:tc>
        <w:tc>
          <w:tcPr>
            <w:tcW w:w="1415"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2BC5AA3A" w14:textId="460C4F39"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1 694 500,00</w:t>
            </w:r>
            <w:r w:rsidRPr="005345E5">
              <w:rPr>
                <w:rFonts w:ascii="Calibri" w:eastAsia="Times New Roman" w:hAnsi="Calibri" w:cs="Calibri"/>
              </w:rPr>
              <w:t xml:space="preserve"> </w:t>
            </w:r>
          </w:p>
        </w:tc>
        <w:tc>
          <w:tcPr>
            <w:tcW w:w="653" w:type="dxa"/>
            <w:tcBorders>
              <w:top w:val="outset" w:sz="6" w:space="0" w:color="000000"/>
              <w:left w:val="outset" w:sz="6" w:space="0" w:color="000000"/>
              <w:bottom w:val="outset" w:sz="6" w:space="0" w:color="000000"/>
              <w:right w:val="outset" w:sz="6" w:space="0" w:color="000000"/>
            </w:tcBorders>
            <w:shd w:val="clear" w:color="auto" w:fill="CCDDFF"/>
            <w:noWrap/>
            <w:tcMar>
              <w:top w:w="15" w:type="dxa"/>
              <w:left w:w="15" w:type="dxa"/>
              <w:bottom w:w="15" w:type="dxa"/>
              <w:right w:w="15" w:type="dxa"/>
            </w:tcMar>
            <w:vAlign w:val="center"/>
            <w:hideMark/>
          </w:tcPr>
          <w:p w14:paraId="59203036" w14:textId="2412BAAC"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b/>
                <w:bCs/>
                <w:sz w:val="20"/>
                <w:szCs w:val="20"/>
              </w:rPr>
              <w:t>91,32</w:t>
            </w:r>
            <w:r w:rsidRPr="005345E5">
              <w:rPr>
                <w:rFonts w:ascii="Calibri" w:eastAsia="Times New Roman" w:hAnsi="Calibri" w:cs="Calibri"/>
              </w:rPr>
              <w:t xml:space="preserve"> </w:t>
            </w:r>
          </w:p>
        </w:tc>
      </w:tr>
      <w:tr w:rsidR="00F717C3" w:rsidRPr="00B80916" w14:paraId="22924384" w14:textId="77777777" w:rsidTr="004F16C1">
        <w:tblPrEx>
          <w:tblCellMar>
            <w:top w:w="0" w:type="dxa"/>
            <w:left w:w="108" w:type="dxa"/>
            <w:bottom w:w="0" w:type="dxa"/>
            <w:right w:w="108" w:type="dxa"/>
          </w:tblCellMar>
        </w:tblPrEx>
        <w:trPr>
          <w:tblCellSpacing w:w="15" w:type="dxa"/>
        </w:trPr>
        <w:tc>
          <w:tcPr>
            <w:tcW w:w="567"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C7788B2" w14:textId="77777777" w:rsidR="00F717C3" w:rsidRPr="00B80916" w:rsidRDefault="00F717C3" w:rsidP="00F717C3">
            <w:pPr>
              <w:spacing w:after="0" w:line="240" w:lineRule="auto"/>
              <w:rPr>
                <w:rFonts w:eastAsia="Times New Roman" w:cstheme="minorHAnsi"/>
                <w:sz w:val="24"/>
                <w:szCs w:val="24"/>
                <w:lang w:eastAsia="sk-SK"/>
              </w:rPr>
            </w:pPr>
            <w:r w:rsidRPr="00B80916">
              <w:rPr>
                <w:rFonts w:eastAsia="Times New Roman" w:cstheme="minorHAnsi"/>
                <w:sz w:val="20"/>
                <w:szCs w:val="20"/>
                <w:lang w:eastAsia="sk-SK"/>
              </w:rPr>
              <w:t>630</w:t>
            </w:r>
            <w:r w:rsidRPr="00B80916">
              <w:rPr>
                <w:rFonts w:eastAsia="Times New Roman" w:cstheme="minorHAnsi"/>
                <w:sz w:val="24"/>
                <w:szCs w:val="24"/>
                <w:lang w:eastAsia="sk-SK"/>
              </w:rPr>
              <w:t xml:space="preserve"> </w:t>
            </w:r>
          </w:p>
        </w:tc>
        <w:tc>
          <w:tcPr>
            <w:tcW w:w="23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0C3C67E" w14:textId="77777777" w:rsidR="00F717C3" w:rsidRPr="00B80916" w:rsidRDefault="00F717C3" w:rsidP="00F717C3">
            <w:pPr>
              <w:spacing w:after="0" w:line="240" w:lineRule="auto"/>
              <w:rPr>
                <w:rFonts w:eastAsia="Times New Roman" w:cstheme="minorHAnsi"/>
                <w:sz w:val="24"/>
                <w:szCs w:val="24"/>
                <w:lang w:eastAsia="sk-SK"/>
              </w:rPr>
            </w:pPr>
            <w:r w:rsidRPr="00B80916">
              <w:rPr>
                <w:rFonts w:eastAsia="Times New Roman" w:cstheme="minorHAnsi"/>
                <w:sz w:val="20"/>
                <w:szCs w:val="20"/>
                <w:lang w:eastAsia="sk-SK"/>
              </w:rPr>
              <w:t>Tovary a služby</w:t>
            </w:r>
            <w:r w:rsidRPr="00B80916">
              <w:rPr>
                <w:rFonts w:eastAsia="Times New Roman" w:cstheme="minorHAnsi"/>
                <w:sz w:val="24"/>
                <w:szCs w:val="24"/>
                <w:lang w:eastAsia="sk-SK"/>
              </w:rPr>
              <w:t xml:space="preserve"> </w:t>
            </w:r>
          </w:p>
        </w:tc>
        <w:tc>
          <w:tcPr>
            <w:tcW w:w="1056"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1A2A198" w14:textId="1F40B354"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25 000,00</w:t>
            </w:r>
            <w:r w:rsidRPr="005345E5">
              <w:rPr>
                <w:rFonts w:ascii="Calibri" w:eastAsia="Times New Roman" w:hAnsi="Calibri" w:cs="Calibri"/>
              </w:rPr>
              <w:t xml:space="preserve"> </w:t>
            </w:r>
          </w:p>
        </w:tc>
        <w:tc>
          <w:tcPr>
            <w:tcW w:w="1414"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71E2B8C" w14:textId="106DE377"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199 978,26</w:t>
            </w:r>
            <w:r w:rsidRPr="005345E5">
              <w:rPr>
                <w:rFonts w:ascii="Calibri" w:eastAsia="Times New Roman" w:hAnsi="Calibri" w:cs="Calibri"/>
              </w:rPr>
              <w:t xml:space="preserve"> </w:t>
            </w:r>
          </w:p>
        </w:tc>
        <w:tc>
          <w:tcPr>
            <w:tcW w:w="65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B795FD8" w14:textId="610E5745"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799,91</w:t>
            </w:r>
            <w:r w:rsidRPr="005345E5">
              <w:rPr>
                <w:rFonts w:ascii="Calibri" w:eastAsia="Times New Roman" w:hAnsi="Calibri" w:cs="Calibri"/>
              </w:rPr>
              <w:t xml:space="preserve"> </w:t>
            </w:r>
          </w:p>
        </w:tc>
        <w:tc>
          <w:tcPr>
            <w:tcW w:w="1414"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A5EADF9" w14:textId="193EBDAD"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279 132,34</w:t>
            </w:r>
            <w:r w:rsidRPr="005345E5">
              <w:rPr>
                <w:rFonts w:ascii="Calibri" w:eastAsia="Times New Roman" w:hAnsi="Calibri" w:cs="Calibri"/>
              </w:rPr>
              <w:t xml:space="preserve"> </w:t>
            </w:r>
          </w:p>
        </w:tc>
        <w:tc>
          <w:tcPr>
            <w:tcW w:w="65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D44EE64" w14:textId="5E729B5F"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139,58</w:t>
            </w:r>
            <w:r w:rsidRPr="005345E5">
              <w:rPr>
                <w:rFonts w:ascii="Calibri" w:eastAsia="Times New Roman" w:hAnsi="Calibri" w:cs="Calibri"/>
              </w:rPr>
              <w:t xml:space="preserve"> </w:t>
            </w:r>
          </w:p>
        </w:tc>
        <w:tc>
          <w:tcPr>
            <w:tcW w:w="1415"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87A505E" w14:textId="6204C659"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168 000,00</w:t>
            </w:r>
            <w:r w:rsidRPr="005345E5">
              <w:rPr>
                <w:rFonts w:ascii="Calibri" w:eastAsia="Times New Roman" w:hAnsi="Calibri" w:cs="Calibri"/>
              </w:rPr>
              <w:t xml:space="preserve"> </w:t>
            </w:r>
          </w:p>
        </w:tc>
        <w:tc>
          <w:tcPr>
            <w:tcW w:w="65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769D80D" w14:textId="112D9B69"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60,19</w:t>
            </w:r>
            <w:r w:rsidRPr="005345E5">
              <w:rPr>
                <w:rFonts w:ascii="Calibri" w:eastAsia="Times New Roman" w:hAnsi="Calibri" w:cs="Calibri"/>
              </w:rPr>
              <w:t xml:space="preserve"> </w:t>
            </w:r>
          </w:p>
        </w:tc>
      </w:tr>
      <w:tr w:rsidR="00F717C3" w:rsidRPr="00B80916" w14:paraId="65B38C04" w14:textId="77777777" w:rsidTr="004F16C1">
        <w:tblPrEx>
          <w:tblCellMar>
            <w:top w:w="0" w:type="dxa"/>
            <w:left w:w="108" w:type="dxa"/>
            <w:bottom w:w="0" w:type="dxa"/>
            <w:right w:w="108" w:type="dxa"/>
          </w:tblCellMar>
        </w:tblPrEx>
        <w:trPr>
          <w:tblCellSpacing w:w="15" w:type="dxa"/>
        </w:trPr>
        <w:tc>
          <w:tcPr>
            <w:tcW w:w="567"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034DBCB" w14:textId="77777777" w:rsidR="00F717C3" w:rsidRPr="00B80916" w:rsidRDefault="00F717C3" w:rsidP="00F717C3">
            <w:pPr>
              <w:spacing w:after="0" w:line="240" w:lineRule="auto"/>
              <w:rPr>
                <w:rFonts w:eastAsia="Times New Roman" w:cstheme="minorHAnsi"/>
                <w:sz w:val="24"/>
                <w:szCs w:val="24"/>
                <w:lang w:eastAsia="sk-SK"/>
              </w:rPr>
            </w:pPr>
            <w:r w:rsidRPr="00B80916">
              <w:rPr>
                <w:rFonts w:eastAsia="Times New Roman" w:cstheme="minorHAnsi"/>
                <w:sz w:val="20"/>
                <w:szCs w:val="20"/>
                <w:lang w:eastAsia="sk-SK"/>
              </w:rPr>
              <w:t>640</w:t>
            </w:r>
            <w:r w:rsidRPr="00B80916">
              <w:rPr>
                <w:rFonts w:eastAsia="Times New Roman" w:cstheme="minorHAnsi"/>
                <w:sz w:val="24"/>
                <w:szCs w:val="24"/>
                <w:lang w:eastAsia="sk-SK"/>
              </w:rPr>
              <w:t xml:space="preserve"> </w:t>
            </w:r>
          </w:p>
        </w:tc>
        <w:tc>
          <w:tcPr>
            <w:tcW w:w="232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6E0E777" w14:textId="77777777" w:rsidR="00F717C3" w:rsidRPr="00B80916" w:rsidRDefault="00F717C3" w:rsidP="00F717C3">
            <w:pPr>
              <w:spacing w:after="0" w:line="240" w:lineRule="auto"/>
              <w:rPr>
                <w:rFonts w:eastAsia="Times New Roman" w:cstheme="minorHAnsi"/>
                <w:sz w:val="24"/>
                <w:szCs w:val="24"/>
                <w:lang w:eastAsia="sk-SK"/>
              </w:rPr>
            </w:pPr>
            <w:r w:rsidRPr="00B80916">
              <w:rPr>
                <w:rFonts w:eastAsia="Times New Roman" w:cstheme="minorHAnsi"/>
                <w:sz w:val="20"/>
                <w:szCs w:val="20"/>
                <w:lang w:eastAsia="sk-SK"/>
              </w:rPr>
              <w:t>Bežné transfery</w:t>
            </w:r>
            <w:r w:rsidRPr="00B80916">
              <w:rPr>
                <w:rFonts w:eastAsia="Times New Roman" w:cstheme="minorHAnsi"/>
                <w:sz w:val="24"/>
                <w:szCs w:val="24"/>
                <w:lang w:eastAsia="sk-SK"/>
              </w:rPr>
              <w:t xml:space="preserve"> </w:t>
            </w:r>
          </w:p>
        </w:tc>
        <w:tc>
          <w:tcPr>
            <w:tcW w:w="1056"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5D1CAF93" w14:textId="7D9A841D"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905 000,00</w:t>
            </w:r>
            <w:r w:rsidRPr="005345E5">
              <w:rPr>
                <w:rFonts w:ascii="Calibri" w:eastAsia="Times New Roman" w:hAnsi="Calibri" w:cs="Calibri"/>
              </w:rPr>
              <w:t xml:space="preserve"> </w:t>
            </w:r>
          </w:p>
        </w:tc>
        <w:tc>
          <w:tcPr>
            <w:tcW w:w="1414"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30887118" w14:textId="33346A6C"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1 653 180,40</w:t>
            </w:r>
            <w:r w:rsidRPr="005345E5">
              <w:rPr>
                <w:rFonts w:ascii="Calibri" w:eastAsia="Times New Roman" w:hAnsi="Calibri" w:cs="Calibri"/>
              </w:rPr>
              <w:t xml:space="preserve"> </w:t>
            </w:r>
          </w:p>
        </w:tc>
        <w:tc>
          <w:tcPr>
            <w:tcW w:w="65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7D6785A0" w14:textId="3FD40FA7"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182,67</w:t>
            </w:r>
            <w:r w:rsidRPr="005345E5">
              <w:rPr>
                <w:rFonts w:ascii="Calibri" w:eastAsia="Times New Roman" w:hAnsi="Calibri" w:cs="Calibri"/>
              </w:rPr>
              <w:t xml:space="preserve"> </w:t>
            </w:r>
          </w:p>
        </w:tc>
        <w:tc>
          <w:tcPr>
            <w:tcW w:w="1414"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77E3826" w14:textId="74EEF14F"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1 576 500,00</w:t>
            </w:r>
            <w:r w:rsidRPr="005345E5">
              <w:rPr>
                <w:rFonts w:ascii="Calibri" w:eastAsia="Times New Roman" w:hAnsi="Calibri" w:cs="Calibri"/>
              </w:rPr>
              <w:t xml:space="preserve"> </w:t>
            </w:r>
          </w:p>
        </w:tc>
        <w:tc>
          <w:tcPr>
            <w:tcW w:w="65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103CC860" w14:textId="2895B145"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95,36</w:t>
            </w:r>
            <w:r w:rsidRPr="005345E5">
              <w:rPr>
                <w:rFonts w:ascii="Calibri" w:eastAsia="Times New Roman" w:hAnsi="Calibri" w:cs="Calibri"/>
              </w:rPr>
              <w:t xml:space="preserve"> </w:t>
            </w:r>
          </w:p>
        </w:tc>
        <w:tc>
          <w:tcPr>
            <w:tcW w:w="1415"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06DFB1B1" w14:textId="53D16060"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1 526 500,00</w:t>
            </w:r>
            <w:r w:rsidRPr="005345E5">
              <w:rPr>
                <w:rFonts w:ascii="Calibri" w:eastAsia="Times New Roman" w:hAnsi="Calibri" w:cs="Calibri"/>
              </w:rPr>
              <w:t xml:space="preserve"> </w:t>
            </w:r>
          </w:p>
        </w:tc>
        <w:tc>
          <w:tcPr>
            <w:tcW w:w="65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EB08A39" w14:textId="03337EE8" w:rsidR="00F717C3" w:rsidRPr="00B80916" w:rsidRDefault="00F717C3" w:rsidP="00F717C3">
            <w:pPr>
              <w:spacing w:after="0" w:line="240" w:lineRule="auto"/>
              <w:jc w:val="right"/>
              <w:rPr>
                <w:rFonts w:eastAsia="Times New Roman" w:cstheme="minorHAnsi"/>
                <w:sz w:val="24"/>
                <w:szCs w:val="24"/>
                <w:lang w:eastAsia="sk-SK"/>
              </w:rPr>
            </w:pPr>
            <w:r w:rsidRPr="005345E5">
              <w:rPr>
                <w:rFonts w:ascii="Calibri" w:eastAsia="Times New Roman" w:hAnsi="Calibri" w:cs="Calibri"/>
                <w:sz w:val="20"/>
                <w:szCs w:val="20"/>
              </w:rPr>
              <w:t>96,83</w:t>
            </w:r>
            <w:r w:rsidRPr="005345E5">
              <w:rPr>
                <w:rFonts w:ascii="Calibri" w:eastAsia="Times New Roman" w:hAnsi="Calibri" w:cs="Calibri"/>
              </w:rPr>
              <w:t xml:space="preserve"> </w:t>
            </w:r>
          </w:p>
        </w:tc>
      </w:tr>
    </w:tbl>
    <w:p w14:paraId="340F5117" w14:textId="77777777" w:rsidR="00B80916" w:rsidRPr="00B80916" w:rsidRDefault="00B80916" w:rsidP="00B80916">
      <w:pPr>
        <w:spacing w:after="0" w:line="240" w:lineRule="auto"/>
        <w:rPr>
          <w:rFonts w:eastAsiaTheme="minorEastAsia" w:cstheme="minorHAns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311"/>
        <w:gridCol w:w="2031"/>
        <w:gridCol w:w="2031"/>
        <w:gridCol w:w="2031"/>
        <w:gridCol w:w="2046"/>
      </w:tblGrid>
      <w:tr w:rsidR="00B80916" w:rsidRPr="00B80916" w14:paraId="7E64E4EE" w14:textId="77777777" w:rsidTr="00823A37">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AA6BED0" w14:textId="77777777" w:rsidR="00B80916" w:rsidRPr="00B80916" w:rsidRDefault="00B80916" w:rsidP="00B80916">
            <w:pPr>
              <w:spacing w:after="0" w:line="240" w:lineRule="auto"/>
              <w:rPr>
                <w:rFonts w:eastAsia="Times New Roman" w:cstheme="minorHAnsi"/>
                <w:sz w:val="24"/>
                <w:szCs w:val="24"/>
                <w:lang w:eastAsia="sk-SK"/>
              </w:rPr>
            </w:pPr>
            <w:r w:rsidRPr="00B80916">
              <w:rPr>
                <w:rFonts w:eastAsia="Times New Roman" w:cstheme="minorHAns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9F31B22" w14:textId="77777777" w:rsidR="00B80916" w:rsidRPr="00B80916" w:rsidRDefault="00B80916" w:rsidP="00B80916">
            <w:pPr>
              <w:spacing w:after="0" w:line="240" w:lineRule="auto"/>
              <w:rPr>
                <w:rFonts w:eastAsia="Times New Roman" w:cstheme="minorHAnsi"/>
                <w:sz w:val="24"/>
                <w:szCs w:val="24"/>
                <w:lang w:eastAsia="sk-SK"/>
              </w:rPr>
            </w:pPr>
            <w:r w:rsidRPr="00B80916">
              <w:rPr>
                <w:rFonts w:eastAsia="Times New Roman" w:cstheme="minorHAnsi"/>
                <w:sz w:val="24"/>
                <w:szCs w:val="24"/>
                <w:lang w:eastAsia="sk-SK"/>
              </w:rPr>
              <w:t>Odbor stratégie, územného rozvoja a riadenia projektov</w:t>
            </w:r>
          </w:p>
        </w:tc>
      </w:tr>
      <w:tr w:rsidR="00B80916" w:rsidRPr="00B80916" w14:paraId="31AA9A39" w14:textId="77777777" w:rsidTr="00823A37">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FAF68C8" w14:textId="77777777" w:rsidR="00B80916" w:rsidRPr="00B80916" w:rsidRDefault="00B80916" w:rsidP="00B80916">
            <w:pPr>
              <w:spacing w:after="0" w:line="240" w:lineRule="auto"/>
              <w:rPr>
                <w:rFonts w:eastAsia="Times New Roman" w:cstheme="minorHAnsi"/>
                <w:sz w:val="24"/>
                <w:szCs w:val="24"/>
                <w:lang w:eastAsia="sk-SK"/>
              </w:rPr>
            </w:pPr>
            <w:r w:rsidRPr="00B80916">
              <w:rPr>
                <w:rFonts w:eastAsia="Times New Roman" w:cstheme="minorHAns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753B746" w14:textId="77777777" w:rsidR="00B80916" w:rsidRPr="00B80916" w:rsidRDefault="00B80916" w:rsidP="00B80916">
            <w:pPr>
              <w:spacing w:after="0" w:line="240" w:lineRule="auto"/>
              <w:rPr>
                <w:rFonts w:eastAsia="Times New Roman" w:cstheme="minorHAnsi"/>
                <w:sz w:val="24"/>
                <w:szCs w:val="24"/>
                <w:lang w:eastAsia="sk-SK"/>
              </w:rPr>
            </w:pPr>
            <w:r w:rsidRPr="00B80916">
              <w:rPr>
                <w:rFonts w:eastAsia="Times New Roman" w:cstheme="minorHAnsi"/>
                <w:b/>
                <w:bCs/>
                <w:sz w:val="24"/>
                <w:szCs w:val="24"/>
                <w:lang w:eastAsia="sk-SK"/>
              </w:rPr>
              <w:t>Vytvoriť podmienky pre rozvoj CR v BSK</w:t>
            </w:r>
          </w:p>
        </w:tc>
      </w:tr>
      <w:tr w:rsidR="00B80916" w:rsidRPr="00B80916" w14:paraId="2AADE75B" w14:textId="77777777" w:rsidTr="00823A37">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8EB5379" w14:textId="77777777" w:rsidR="00B80916" w:rsidRPr="00B80916" w:rsidRDefault="00B80916" w:rsidP="00B80916">
            <w:pPr>
              <w:spacing w:after="0" w:line="240" w:lineRule="auto"/>
              <w:rPr>
                <w:rFonts w:eastAsia="Times New Roman" w:cstheme="minorHAnsi"/>
                <w:sz w:val="24"/>
                <w:szCs w:val="24"/>
                <w:lang w:eastAsia="sk-SK"/>
              </w:rPr>
            </w:pPr>
            <w:r w:rsidRPr="00B80916">
              <w:rPr>
                <w:rFonts w:eastAsia="Times New Roman" w:cstheme="minorHAnsi"/>
                <w:b/>
                <w:bCs/>
                <w:sz w:val="24"/>
                <w:szCs w:val="24"/>
                <w:lang w:eastAsia="sk-SK"/>
              </w:rPr>
              <w:lastRenderedPageBreak/>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76EE2FD5" w14:textId="77777777" w:rsidR="00B80916" w:rsidRPr="00B80916" w:rsidRDefault="00B80916" w:rsidP="00B80916">
            <w:pPr>
              <w:spacing w:after="0" w:line="240" w:lineRule="auto"/>
              <w:rPr>
                <w:rFonts w:eastAsia="Times New Roman" w:cstheme="minorHAnsi"/>
                <w:sz w:val="24"/>
                <w:szCs w:val="24"/>
                <w:lang w:eastAsia="sk-SK"/>
              </w:rPr>
            </w:pPr>
            <w:r w:rsidRPr="00B80916">
              <w:rPr>
                <w:rFonts w:eastAsia="Times New Roman" w:cstheme="minorHAnsi"/>
                <w:sz w:val="24"/>
                <w:szCs w:val="24"/>
                <w:lang w:eastAsia="sk-SK"/>
              </w:rPr>
              <w:t>Počet zorganizovaných marketingových aktivít na podporu cestovného ruchu v BSK</w:t>
            </w:r>
          </w:p>
        </w:tc>
      </w:tr>
      <w:tr w:rsidR="008C55E1" w:rsidRPr="00B80916" w14:paraId="725887D1" w14:textId="77777777" w:rsidTr="00823A37">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6C9153F7" w14:textId="77777777" w:rsidR="008C55E1" w:rsidRPr="00B80916" w:rsidRDefault="008C55E1" w:rsidP="008C55E1">
            <w:pPr>
              <w:spacing w:after="0" w:line="240" w:lineRule="auto"/>
              <w:rPr>
                <w:rFonts w:eastAsia="Times New Roman" w:cstheme="minorHAnsi"/>
                <w:sz w:val="24"/>
                <w:szCs w:val="24"/>
                <w:lang w:eastAsia="sk-SK"/>
              </w:rPr>
            </w:pPr>
            <w:r w:rsidRPr="00B80916">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1E4F16A1" w14:textId="764B87EE" w:rsidR="008C55E1" w:rsidRPr="00B80916" w:rsidRDefault="008C55E1" w:rsidP="008C55E1">
            <w:pPr>
              <w:spacing w:after="0" w:line="240" w:lineRule="auto"/>
              <w:jc w:val="center"/>
              <w:rPr>
                <w:rFonts w:eastAsia="Times New Roman" w:cstheme="minorHAnsi"/>
                <w:sz w:val="24"/>
                <w:szCs w:val="24"/>
                <w:lang w:eastAsia="sk-SK"/>
              </w:rPr>
            </w:pPr>
            <w:r w:rsidRPr="005345E5">
              <w:rPr>
                <w:rFonts w:ascii="Calibri" w:eastAsia="Times New Roman" w:hAnsi="Calibri" w:cs="Calibr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5B23E78B" w14:textId="0F870946" w:rsidR="008C55E1" w:rsidRPr="00B80916" w:rsidRDefault="008C55E1" w:rsidP="008C55E1">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B769D29" w14:textId="7D13BAB3" w:rsidR="008C55E1" w:rsidRPr="00B80916" w:rsidRDefault="008C55E1" w:rsidP="008C55E1">
            <w:pPr>
              <w:spacing w:after="0" w:line="240" w:lineRule="auto"/>
              <w:jc w:val="center"/>
              <w:rPr>
                <w:rFonts w:eastAsia="Times New Roman" w:cstheme="minorHAnsi"/>
                <w:sz w:val="24"/>
                <w:szCs w:val="24"/>
                <w:lang w:eastAsia="sk-SK"/>
              </w:rPr>
            </w:pPr>
            <w:r w:rsidRPr="005345E5">
              <w:rPr>
                <w:rFonts w:ascii="Calibri" w:eastAsia="Times New Roman" w:hAnsi="Calibri" w:cs="Calibr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6077E351" w14:textId="6D46B340" w:rsidR="008C55E1" w:rsidRPr="00B80916" w:rsidRDefault="008C55E1" w:rsidP="008C55E1">
            <w:pPr>
              <w:spacing w:after="0" w:line="240" w:lineRule="auto"/>
              <w:jc w:val="center"/>
              <w:rPr>
                <w:rFonts w:eastAsia="Times New Roman" w:cstheme="minorHAnsi"/>
                <w:sz w:val="24"/>
                <w:szCs w:val="24"/>
                <w:lang w:eastAsia="sk-SK"/>
              </w:rPr>
            </w:pPr>
            <w:r w:rsidRPr="005345E5">
              <w:rPr>
                <w:rFonts w:ascii="Calibri" w:eastAsia="Times New Roman" w:hAnsi="Calibri" w:cs="Calibri"/>
              </w:rPr>
              <w:t>2027</w:t>
            </w:r>
          </w:p>
        </w:tc>
      </w:tr>
      <w:tr w:rsidR="008C55E1" w:rsidRPr="00B80916" w14:paraId="2B97365A" w14:textId="77777777" w:rsidTr="00823A37">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95F649F" w14:textId="77777777" w:rsidR="008C55E1" w:rsidRPr="00B80916" w:rsidRDefault="008C55E1" w:rsidP="008C55E1">
            <w:pPr>
              <w:spacing w:after="0" w:line="240" w:lineRule="auto"/>
              <w:rPr>
                <w:rFonts w:eastAsia="Times New Roman" w:cstheme="minorHAnsi"/>
                <w:sz w:val="24"/>
                <w:szCs w:val="24"/>
                <w:lang w:eastAsia="sk-SK"/>
              </w:rPr>
            </w:pPr>
            <w:r w:rsidRPr="00B80916">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6BA3FFCD" w14:textId="545BC872" w:rsidR="008C55E1" w:rsidRPr="00B80916" w:rsidRDefault="008C55E1" w:rsidP="008C55E1">
            <w:pPr>
              <w:spacing w:after="0" w:line="240" w:lineRule="auto"/>
              <w:jc w:val="center"/>
              <w:rPr>
                <w:rFonts w:eastAsia="Times New Roman" w:cstheme="minorHAnsi"/>
                <w:sz w:val="24"/>
                <w:szCs w:val="24"/>
                <w:lang w:eastAsia="sk-SK"/>
              </w:rPr>
            </w:pPr>
            <w:r w:rsidRPr="005345E5">
              <w:rPr>
                <w:rFonts w:ascii="Calibri" w:eastAsia="Times New Roman" w:hAnsi="Calibri" w:cs="Calibri"/>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0D9945B9" w14:textId="1C3F94C3" w:rsidR="008C55E1" w:rsidRPr="00B80916" w:rsidRDefault="008C55E1" w:rsidP="008C55E1">
            <w:pPr>
              <w:spacing w:after="0" w:line="240" w:lineRule="auto"/>
              <w:jc w:val="center"/>
              <w:rPr>
                <w:rFonts w:eastAsia="Times New Roman" w:cstheme="minorHAnsi"/>
                <w:sz w:val="24"/>
                <w:szCs w:val="24"/>
                <w:lang w:eastAsia="sk-SK"/>
              </w:rPr>
            </w:pPr>
            <w:r w:rsidRPr="005345E5">
              <w:rPr>
                <w:rFonts w:ascii="Calibri" w:eastAsia="Times New Roman" w:hAnsi="Calibri" w:cs="Calibri"/>
                <w:b/>
                <w:bCs/>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C149390" w14:textId="40819772" w:rsidR="008C55E1" w:rsidRPr="00B80916" w:rsidRDefault="008C55E1" w:rsidP="008C55E1">
            <w:pPr>
              <w:spacing w:after="0" w:line="240" w:lineRule="auto"/>
              <w:jc w:val="center"/>
              <w:rPr>
                <w:rFonts w:eastAsia="Times New Roman" w:cstheme="minorHAnsi"/>
                <w:sz w:val="24"/>
                <w:szCs w:val="24"/>
                <w:lang w:eastAsia="sk-SK"/>
              </w:rPr>
            </w:pPr>
            <w:r w:rsidRPr="005345E5">
              <w:rPr>
                <w:rFonts w:ascii="Calibri" w:eastAsia="Times New Roman" w:hAnsi="Calibri" w:cs="Calibri"/>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tcMar>
              <w:top w:w="15" w:type="dxa"/>
              <w:left w:w="15" w:type="dxa"/>
              <w:bottom w:w="15" w:type="dxa"/>
              <w:right w:w="15" w:type="dxa"/>
            </w:tcMar>
            <w:vAlign w:val="center"/>
            <w:hideMark/>
          </w:tcPr>
          <w:p w14:paraId="4C6DCE7C" w14:textId="620F8CC2" w:rsidR="008C55E1" w:rsidRPr="00B80916" w:rsidRDefault="008C55E1" w:rsidP="008C55E1">
            <w:pPr>
              <w:spacing w:after="0" w:line="240" w:lineRule="auto"/>
              <w:jc w:val="center"/>
              <w:rPr>
                <w:rFonts w:eastAsia="Times New Roman" w:cstheme="minorHAnsi"/>
                <w:sz w:val="24"/>
                <w:szCs w:val="24"/>
                <w:lang w:eastAsia="sk-SK"/>
              </w:rPr>
            </w:pPr>
            <w:r w:rsidRPr="005345E5">
              <w:rPr>
                <w:rFonts w:ascii="Calibri" w:eastAsia="Times New Roman" w:hAnsi="Calibri" w:cs="Calibri"/>
              </w:rPr>
              <w:t> 4</w:t>
            </w:r>
          </w:p>
        </w:tc>
      </w:tr>
    </w:tbl>
    <w:p w14:paraId="5931D94E" w14:textId="77777777" w:rsidR="002066F1" w:rsidRDefault="002066F1" w:rsidP="00016049">
      <w:pPr>
        <w:spacing w:after="0"/>
        <w:rPr>
          <w:rFonts w:ascii="Calibri" w:eastAsia="Times New Roman" w:hAnsi="Calibri" w:cs="Calibri"/>
          <w:b/>
          <w:bCs/>
          <w:sz w:val="24"/>
          <w:szCs w:val="24"/>
          <w:lang w:eastAsia="sk-SK"/>
        </w:rPr>
      </w:pPr>
    </w:p>
    <w:p w14:paraId="6EAAED82" w14:textId="2727F457" w:rsidR="00420376" w:rsidRDefault="00420376" w:rsidP="00420376">
      <w:pPr>
        <w:jc w:val="both"/>
        <w:rPr>
          <w:rFonts w:ascii="Calibri" w:hAnsi="Calibri" w:cs="Calibri"/>
        </w:rPr>
      </w:pPr>
      <w:r w:rsidRPr="005345E5">
        <w:rPr>
          <w:rFonts w:ascii="Calibri" w:hAnsi="Calibri" w:cs="Calibri"/>
          <w:b/>
          <w:bCs/>
        </w:rPr>
        <w:t xml:space="preserve">Komentár: </w:t>
      </w:r>
      <w:r w:rsidRPr="005345E5">
        <w:rPr>
          <w:rFonts w:ascii="Calibri" w:hAnsi="Calibri" w:cs="Calibri"/>
        </w:rPr>
        <w:t>Odbor Stratégie, územného rozvoja a riadenia projektov prostredníctv</w:t>
      </w:r>
      <w:r>
        <w:rPr>
          <w:rFonts w:ascii="Calibri" w:hAnsi="Calibri" w:cs="Calibri"/>
        </w:rPr>
        <w:t>o</w:t>
      </w:r>
      <w:r w:rsidRPr="005345E5">
        <w:rPr>
          <w:rFonts w:ascii="Calibri" w:hAnsi="Calibri" w:cs="Calibri"/>
        </w:rPr>
        <w:t xml:space="preserve">m oddelenia </w:t>
      </w:r>
      <w:proofErr w:type="spellStart"/>
      <w:r w:rsidRPr="005345E5">
        <w:rPr>
          <w:rFonts w:ascii="Calibri" w:hAnsi="Calibri" w:cs="Calibri"/>
        </w:rPr>
        <w:t>CRCSaLE</w:t>
      </w:r>
      <w:proofErr w:type="spellEnd"/>
      <w:r w:rsidRPr="005345E5">
        <w:rPr>
          <w:rFonts w:ascii="Calibri" w:hAnsi="Calibri" w:cs="Calibri"/>
        </w:rPr>
        <w:t xml:space="preserve"> bude </w:t>
      </w:r>
      <w:r w:rsidR="00C9007D">
        <w:rPr>
          <w:rFonts w:ascii="Calibri" w:hAnsi="Calibri" w:cs="Calibri"/>
        </w:rPr>
        <w:br/>
      </w:r>
      <w:r w:rsidRPr="005345E5">
        <w:rPr>
          <w:rFonts w:ascii="Calibri" w:hAnsi="Calibri" w:cs="Calibri"/>
        </w:rPr>
        <w:t xml:space="preserve">v rokoch 2025-2027 napĺňať priority BSK aj v oblasti cestovného ruchu, a to v úzkej spolupráci s organizáciami - Slovenský dom </w:t>
      </w:r>
      <w:proofErr w:type="spellStart"/>
      <w:r w:rsidRPr="005345E5">
        <w:rPr>
          <w:rFonts w:ascii="Calibri" w:hAnsi="Calibri" w:cs="Calibri"/>
        </w:rPr>
        <w:t>Centrope</w:t>
      </w:r>
      <w:proofErr w:type="spellEnd"/>
      <w:r w:rsidRPr="005345E5">
        <w:rPr>
          <w:rFonts w:ascii="Calibri" w:hAnsi="Calibri" w:cs="Calibri"/>
        </w:rPr>
        <w:t xml:space="preserve"> (SDC), Krajská organizácia cestovného ruchu Bratislavského kraja (KOCR BRT) a Ekocentrum Čunovo, </w:t>
      </w:r>
      <w:proofErr w:type="spellStart"/>
      <w:r w:rsidRPr="005345E5">
        <w:rPr>
          <w:rFonts w:ascii="Calibri" w:hAnsi="Calibri" w:cs="Calibri"/>
        </w:rPr>
        <w:t>n.o</w:t>
      </w:r>
      <w:proofErr w:type="spellEnd"/>
      <w:r w:rsidRPr="005345E5">
        <w:rPr>
          <w:rFonts w:ascii="Calibri" w:hAnsi="Calibri" w:cs="Calibri"/>
        </w:rPr>
        <w:t xml:space="preserve">.. </w:t>
      </w:r>
      <w:r w:rsidR="00C9007D">
        <w:rPr>
          <w:rFonts w:ascii="Calibri" w:hAnsi="Calibri" w:cs="Calibri"/>
        </w:rPr>
        <w:t>Rozpočtované f</w:t>
      </w:r>
      <w:r w:rsidRPr="005345E5">
        <w:rPr>
          <w:rFonts w:ascii="Calibri" w:hAnsi="Calibri" w:cs="Calibri"/>
        </w:rPr>
        <w:t>inančné prostriedky pre uvedenú oblasť primárne slúžia na zabezpečenie</w:t>
      </w:r>
      <w:r>
        <w:rPr>
          <w:rFonts w:ascii="Calibri" w:hAnsi="Calibri" w:cs="Calibri"/>
        </w:rPr>
        <w:t xml:space="preserve"> </w:t>
      </w:r>
      <w:r w:rsidRPr="005345E5">
        <w:rPr>
          <w:rFonts w:ascii="Calibri" w:hAnsi="Calibri" w:cs="Calibri"/>
        </w:rPr>
        <w:t>kontinuálneho napĺňania Akčného plánu a priorít BSK, najmä realizáciou opatrení</w:t>
      </w:r>
      <w:r>
        <w:rPr>
          <w:rFonts w:ascii="Calibri" w:hAnsi="Calibri" w:cs="Calibri"/>
        </w:rPr>
        <w:t xml:space="preserve"> </w:t>
      </w:r>
      <w:r w:rsidRPr="005345E5">
        <w:rPr>
          <w:rFonts w:ascii="Calibri" w:hAnsi="Calibri" w:cs="Calibri"/>
        </w:rPr>
        <w:t>vychádzajúcich z</w:t>
      </w:r>
      <w:r>
        <w:rPr>
          <w:rFonts w:ascii="Calibri" w:hAnsi="Calibri" w:cs="Calibri"/>
        </w:rPr>
        <w:t> </w:t>
      </w:r>
      <w:r w:rsidRPr="005345E5">
        <w:rPr>
          <w:rFonts w:ascii="Calibri" w:hAnsi="Calibri" w:cs="Calibri"/>
        </w:rPr>
        <w:t>Koncepcie</w:t>
      </w:r>
      <w:r>
        <w:rPr>
          <w:rFonts w:ascii="Calibri" w:hAnsi="Calibri" w:cs="Calibri"/>
        </w:rPr>
        <w:t xml:space="preserve"> </w:t>
      </w:r>
      <w:r w:rsidRPr="005345E5">
        <w:rPr>
          <w:rFonts w:ascii="Calibri" w:hAnsi="Calibri" w:cs="Calibri"/>
        </w:rPr>
        <w:t>rozvoja</w:t>
      </w:r>
      <w:r>
        <w:rPr>
          <w:rFonts w:ascii="Calibri" w:hAnsi="Calibri" w:cs="Calibri"/>
        </w:rPr>
        <w:t xml:space="preserve"> </w:t>
      </w:r>
      <w:r w:rsidRPr="005345E5">
        <w:rPr>
          <w:rFonts w:ascii="Calibri" w:hAnsi="Calibri" w:cs="Calibri"/>
        </w:rPr>
        <w:t>cestovného ruchu</w:t>
      </w:r>
      <w:r>
        <w:rPr>
          <w:rFonts w:ascii="Calibri" w:hAnsi="Calibri" w:cs="Calibri"/>
        </w:rPr>
        <w:t xml:space="preserve"> </w:t>
      </w:r>
      <w:r w:rsidRPr="005345E5">
        <w:rPr>
          <w:rFonts w:ascii="Calibri" w:hAnsi="Calibri" w:cs="Calibri"/>
        </w:rPr>
        <w:t>v</w:t>
      </w:r>
      <w:r>
        <w:rPr>
          <w:rFonts w:ascii="Calibri" w:hAnsi="Calibri" w:cs="Calibri"/>
        </w:rPr>
        <w:t xml:space="preserve"> </w:t>
      </w:r>
      <w:r w:rsidRPr="005345E5">
        <w:rPr>
          <w:rFonts w:ascii="Calibri" w:hAnsi="Calibri" w:cs="Calibri"/>
        </w:rPr>
        <w:t>Bratislavskom kraji do roku 2030</w:t>
      </w:r>
      <w:r>
        <w:rPr>
          <w:rFonts w:ascii="Calibri" w:hAnsi="Calibri" w:cs="Calibri"/>
        </w:rPr>
        <w:t xml:space="preserve"> </w:t>
      </w:r>
      <w:r w:rsidRPr="005345E5">
        <w:rPr>
          <w:rFonts w:ascii="Calibri" w:hAnsi="Calibri" w:cs="Calibri"/>
        </w:rPr>
        <w:t>a</w:t>
      </w:r>
      <w:r>
        <w:rPr>
          <w:rFonts w:ascii="Calibri" w:hAnsi="Calibri" w:cs="Calibri"/>
        </w:rPr>
        <w:t xml:space="preserve"> </w:t>
      </w:r>
      <w:r w:rsidRPr="005345E5">
        <w:rPr>
          <w:rFonts w:ascii="Calibri" w:hAnsi="Calibri" w:cs="Calibri"/>
        </w:rPr>
        <w:t>Programu hospodárskeho</w:t>
      </w:r>
      <w:r>
        <w:rPr>
          <w:rFonts w:ascii="Calibri" w:hAnsi="Calibri" w:cs="Calibri"/>
        </w:rPr>
        <w:t xml:space="preserve"> </w:t>
      </w:r>
      <w:r w:rsidRPr="005345E5">
        <w:rPr>
          <w:rFonts w:ascii="Calibri" w:hAnsi="Calibri" w:cs="Calibri"/>
        </w:rPr>
        <w:t>a</w:t>
      </w:r>
      <w:r>
        <w:rPr>
          <w:rFonts w:ascii="Calibri" w:hAnsi="Calibri" w:cs="Calibri"/>
        </w:rPr>
        <w:t xml:space="preserve"> </w:t>
      </w:r>
      <w:r w:rsidRPr="005345E5">
        <w:rPr>
          <w:rFonts w:ascii="Calibri" w:hAnsi="Calibri" w:cs="Calibri"/>
        </w:rPr>
        <w:t>sociálneho rozvoja Bratislavského kraja 2021-2027</w:t>
      </w:r>
      <w:r>
        <w:rPr>
          <w:rFonts w:ascii="Calibri" w:hAnsi="Calibri" w:cs="Calibri"/>
        </w:rPr>
        <w:t>.</w:t>
      </w:r>
    </w:p>
    <w:p w14:paraId="454E53DD" w14:textId="77777777" w:rsidR="00B50CF7" w:rsidRDefault="00B50CF7" w:rsidP="00331C47">
      <w:pPr>
        <w:spacing w:before="100" w:beforeAutospacing="1" w:after="100" w:afterAutospacing="1" w:line="240" w:lineRule="auto"/>
        <w:jc w:val="both"/>
        <w:outlineLvl w:val="1"/>
        <w:rPr>
          <w:rFonts w:eastAsia="Times New Roman" w:cstheme="minorHAnsi"/>
          <w:b/>
          <w:bCs/>
          <w:color w:val="000080"/>
          <w:sz w:val="36"/>
          <w:szCs w:val="36"/>
          <w:lang w:eastAsia="sk-SK"/>
        </w:rPr>
      </w:pPr>
    </w:p>
    <w:p w14:paraId="314EEB36" w14:textId="5C410449" w:rsidR="00C450A0" w:rsidRPr="00B50CF7" w:rsidRDefault="00C450A0" w:rsidP="00331C47">
      <w:pPr>
        <w:spacing w:before="100" w:beforeAutospacing="1" w:after="100" w:afterAutospacing="1" w:line="240" w:lineRule="auto"/>
        <w:jc w:val="both"/>
        <w:outlineLvl w:val="1"/>
        <w:rPr>
          <w:rFonts w:eastAsia="Times New Roman" w:cstheme="minorHAnsi"/>
          <w:b/>
          <w:bCs/>
          <w:color w:val="000080"/>
          <w:sz w:val="36"/>
          <w:szCs w:val="36"/>
          <w:lang w:eastAsia="sk-SK"/>
        </w:rPr>
      </w:pPr>
      <w:r w:rsidRPr="00407120">
        <w:rPr>
          <w:rFonts w:eastAsia="Times New Roman" w:cstheme="minorHAnsi"/>
          <w:b/>
          <w:bCs/>
          <w:color w:val="000080"/>
          <w:sz w:val="36"/>
          <w:szCs w:val="36"/>
          <w:lang w:eastAsia="sk-SK"/>
        </w:rPr>
        <w:t>Program 5: Starostlivosť o krajinu, prírodné zdroje, územné plánovanie a prevenciu obyvateľstva</w:t>
      </w:r>
      <w:r w:rsidRPr="00C450A0">
        <w:rPr>
          <w:rFonts w:eastAsia="Times New Roman" w:cstheme="minorHAnsi"/>
          <w:b/>
          <w:bCs/>
          <w:sz w:val="36"/>
          <w:szCs w:val="36"/>
          <w:lang w:eastAsia="sk-SK"/>
        </w:rPr>
        <w:t xml:space="preserve"> </w:t>
      </w:r>
    </w:p>
    <w:p w14:paraId="3BA24824" w14:textId="77777777" w:rsidR="00C450A0" w:rsidRPr="00C450A0" w:rsidRDefault="00C450A0" w:rsidP="00C450A0">
      <w:pPr>
        <w:spacing w:before="100" w:beforeAutospacing="1" w:after="100" w:afterAutospacing="1" w:line="240" w:lineRule="auto"/>
        <w:rPr>
          <w:rFonts w:eastAsiaTheme="minorEastAsia" w:cstheme="minorHAnsi"/>
          <w:sz w:val="24"/>
          <w:szCs w:val="24"/>
          <w:lang w:eastAsia="sk-SK"/>
        </w:rPr>
      </w:pPr>
      <w:r w:rsidRPr="00C450A0">
        <w:rPr>
          <w:rFonts w:eastAsiaTheme="minorEastAsia" w:cstheme="minorHAnsi"/>
          <w:b/>
          <w:bCs/>
          <w:sz w:val="24"/>
          <w:szCs w:val="24"/>
          <w:lang w:eastAsia="sk-SK"/>
        </w:rPr>
        <w:t xml:space="preserve">Zámer: </w:t>
      </w:r>
      <w:r w:rsidRPr="00C450A0">
        <w:rPr>
          <w:rFonts w:eastAsiaTheme="minorEastAsia" w:cstheme="minorHAnsi"/>
          <w:sz w:val="24"/>
          <w:szCs w:val="24"/>
          <w:lang w:eastAsia="sk-SK"/>
        </w:rPr>
        <w:t>Komplexný rozvoj územia s dôrazom na ochranu životného prostredia a územného plánovania.</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0"/>
        <w:gridCol w:w="2053"/>
        <w:gridCol w:w="1493"/>
        <w:gridCol w:w="1493"/>
        <w:gridCol w:w="620"/>
        <w:gridCol w:w="1493"/>
        <w:gridCol w:w="550"/>
        <w:gridCol w:w="1494"/>
        <w:gridCol w:w="664"/>
      </w:tblGrid>
      <w:tr w:rsidR="00C450A0" w:rsidRPr="00C450A0" w14:paraId="7D6F2FDF" w14:textId="77777777" w:rsidTr="00D3260E">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BB65888" w14:textId="77777777" w:rsidR="00C450A0" w:rsidRPr="00C450A0" w:rsidRDefault="00C450A0" w:rsidP="00C450A0">
            <w:pPr>
              <w:spacing w:after="0" w:line="240" w:lineRule="auto"/>
              <w:jc w:val="center"/>
              <w:rPr>
                <w:rFonts w:eastAsia="Times New Roman" w:cstheme="minorHAnsi"/>
                <w:sz w:val="24"/>
                <w:szCs w:val="24"/>
                <w:lang w:eastAsia="sk-SK"/>
              </w:rPr>
            </w:pPr>
            <w:r w:rsidRPr="00C450A0">
              <w:rPr>
                <w:rFonts w:eastAsia="Times New Roman" w:cstheme="minorHAnsi"/>
                <w:b/>
                <w:bCs/>
                <w:i/>
                <w:iCs/>
                <w:sz w:val="24"/>
                <w:szCs w:val="24"/>
                <w:lang w:eastAsia="sk-SK"/>
              </w:rPr>
              <w:t>Rozpočet v EUR</w:t>
            </w:r>
          </w:p>
        </w:tc>
      </w:tr>
      <w:tr w:rsidR="00C81BAE" w:rsidRPr="00C450A0" w14:paraId="7170DFB7" w14:textId="77777777" w:rsidTr="00C81BA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8C6F61" w14:textId="77777777" w:rsidR="00C81BAE" w:rsidRPr="00C450A0" w:rsidRDefault="00C81BAE" w:rsidP="00C81BAE">
            <w:pPr>
              <w:spacing w:after="0" w:line="240" w:lineRule="auto"/>
              <w:rPr>
                <w:rFonts w:eastAsia="Times New Roman" w:cstheme="minorHAnsi"/>
                <w:sz w:val="24"/>
                <w:szCs w:val="24"/>
                <w:lang w:eastAsia="sk-SK"/>
              </w:rPr>
            </w:pPr>
            <w:r w:rsidRPr="00C450A0">
              <w:rPr>
                <w:rFonts w:eastAsia="Times New Roman" w:cstheme="minorHAnsi"/>
                <w:b/>
                <w:bCs/>
                <w:sz w:val="20"/>
                <w:szCs w:val="20"/>
                <w:lang w:eastAsia="sk-SK"/>
              </w:rPr>
              <w:t>EK</w:t>
            </w:r>
          </w:p>
        </w:tc>
        <w:tc>
          <w:tcPr>
            <w:tcW w:w="96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F99AF55" w14:textId="77777777" w:rsidR="00C81BAE" w:rsidRPr="00C450A0" w:rsidRDefault="00C81BAE" w:rsidP="00C81BAE">
            <w:pPr>
              <w:spacing w:after="0" w:line="240" w:lineRule="auto"/>
              <w:rPr>
                <w:rFonts w:eastAsia="Times New Roman" w:cstheme="minorHAnsi"/>
                <w:sz w:val="24"/>
                <w:szCs w:val="24"/>
                <w:lang w:eastAsia="sk-SK"/>
              </w:rPr>
            </w:pPr>
            <w:r w:rsidRPr="00C450A0">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5E83A94" w14:textId="0412621A" w:rsidR="00C81BAE" w:rsidRPr="00C450A0" w:rsidRDefault="00C81BAE" w:rsidP="00C81BAE">
            <w:pPr>
              <w:spacing w:after="0" w:line="240" w:lineRule="auto"/>
              <w:jc w:val="center"/>
              <w:rPr>
                <w:rFonts w:eastAsia="Times New Roman" w:cstheme="minorHAnsi"/>
                <w:sz w:val="24"/>
                <w:szCs w:val="24"/>
                <w:lang w:eastAsia="sk-SK"/>
              </w:rPr>
            </w:pPr>
            <w:r w:rsidRPr="006431BA">
              <w:rPr>
                <w:rFonts w:eastAsia="Times New Roman" w:cstheme="minorHAnsi"/>
                <w:b/>
                <w:bCs/>
                <w:sz w:val="20"/>
                <w:szCs w:val="20"/>
              </w:rPr>
              <w:t>202</w:t>
            </w:r>
            <w:r>
              <w:rPr>
                <w:rFonts w:eastAsia="Times New Roman" w:cstheme="minorHAnsi"/>
                <w:b/>
                <w:bCs/>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91C0C6A" w14:textId="28157353" w:rsidR="00C81BAE" w:rsidRPr="00C450A0" w:rsidRDefault="00C81BAE" w:rsidP="00C81BAE">
            <w:pPr>
              <w:spacing w:after="0" w:line="240" w:lineRule="auto"/>
              <w:jc w:val="center"/>
              <w:rPr>
                <w:rFonts w:eastAsia="Times New Roman" w:cstheme="minorHAnsi"/>
                <w:sz w:val="24"/>
                <w:szCs w:val="24"/>
                <w:lang w:eastAsia="sk-SK"/>
              </w:rPr>
            </w:pPr>
            <w:r w:rsidRPr="00121894">
              <w:rPr>
                <w:rFonts w:ascii="Calibri" w:eastAsia="Times New Roman" w:hAnsi="Calibri" w:cs="Calibri"/>
                <w:b/>
                <w:bCs/>
                <w:sz w:val="20"/>
                <w:szCs w:val="20"/>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1537BE" w14:textId="4E5024F5" w:rsidR="00C81BAE" w:rsidRPr="00C450A0" w:rsidRDefault="00C81BAE" w:rsidP="00C81BAE">
            <w:pPr>
              <w:spacing w:after="0" w:line="240" w:lineRule="auto"/>
              <w:jc w:val="center"/>
              <w:rPr>
                <w:rFonts w:eastAsia="Times New Roman" w:cstheme="minorHAnsi"/>
                <w:sz w:val="24"/>
                <w:szCs w:val="24"/>
                <w:lang w:eastAsia="sk-SK"/>
              </w:rPr>
            </w:pPr>
            <w:r w:rsidRPr="00121894">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0849F6" w14:textId="59C9F2C1" w:rsidR="00C81BAE" w:rsidRPr="00C450A0" w:rsidRDefault="00C81BAE" w:rsidP="00C81BAE">
            <w:pPr>
              <w:spacing w:after="0" w:line="240" w:lineRule="auto"/>
              <w:jc w:val="center"/>
              <w:rPr>
                <w:rFonts w:eastAsia="Times New Roman" w:cstheme="minorHAnsi"/>
                <w:sz w:val="24"/>
                <w:szCs w:val="24"/>
                <w:lang w:eastAsia="sk-SK"/>
              </w:rPr>
            </w:pPr>
            <w:r w:rsidRPr="00121894">
              <w:rPr>
                <w:rFonts w:ascii="Calibri" w:eastAsia="Times New Roman" w:hAnsi="Calibri" w:cs="Calibri"/>
                <w:b/>
                <w:bCs/>
                <w:sz w:val="20"/>
                <w:szCs w:val="20"/>
              </w:rPr>
              <w:t>2026</w:t>
            </w:r>
          </w:p>
        </w:tc>
        <w:tc>
          <w:tcPr>
            <w:tcW w:w="26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0A6FAF" w14:textId="5292ACC7" w:rsidR="00C81BAE" w:rsidRPr="00C450A0" w:rsidRDefault="00C81BAE" w:rsidP="00C81BAE">
            <w:pPr>
              <w:spacing w:after="0" w:line="240" w:lineRule="auto"/>
              <w:jc w:val="center"/>
              <w:rPr>
                <w:rFonts w:eastAsia="Times New Roman" w:cstheme="minorHAnsi"/>
                <w:sz w:val="24"/>
                <w:szCs w:val="24"/>
                <w:lang w:eastAsia="sk-SK"/>
              </w:rPr>
            </w:pPr>
            <w:r w:rsidRPr="00121894">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6B563B" w14:textId="40A9F8C0" w:rsidR="00C81BAE" w:rsidRPr="00C450A0" w:rsidRDefault="00C81BAE" w:rsidP="00C81BAE">
            <w:pPr>
              <w:spacing w:after="0" w:line="240" w:lineRule="auto"/>
              <w:jc w:val="center"/>
              <w:rPr>
                <w:rFonts w:eastAsia="Times New Roman" w:cstheme="minorHAnsi"/>
                <w:sz w:val="24"/>
                <w:szCs w:val="24"/>
                <w:lang w:eastAsia="sk-SK"/>
              </w:rPr>
            </w:pPr>
            <w:r w:rsidRPr="00121894">
              <w:rPr>
                <w:rFonts w:ascii="Calibri" w:eastAsia="Times New Roman" w:hAnsi="Calibri" w:cs="Calibri"/>
                <w:b/>
                <w:bCs/>
                <w:sz w:val="20"/>
                <w:szCs w:val="20"/>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1D7DE1E" w14:textId="6DF549B8" w:rsidR="00C81BAE" w:rsidRPr="00C450A0" w:rsidRDefault="00C81BAE" w:rsidP="00C81BAE">
            <w:pPr>
              <w:spacing w:after="0" w:line="240" w:lineRule="auto"/>
              <w:jc w:val="center"/>
              <w:rPr>
                <w:rFonts w:eastAsia="Times New Roman" w:cstheme="minorHAnsi"/>
                <w:sz w:val="24"/>
                <w:szCs w:val="24"/>
                <w:lang w:eastAsia="sk-SK"/>
              </w:rPr>
            </w:pPr>
            <w:r w:rsidRPr="00121894">
              <w:rPr>
                <w:rFonts w:ascii="Calibri" w:eastAsia="Times New Roman" w:hAnsi="Calibri" w:cs="Calibri"/>
                <w:b/>
                <w:bCs/>
                <w:sz w:val="20"/>
                <w:szCs w:val="20"/>
              </w:rPr>
              <w:t>%</w:t>
            </w:r>
          </w:p>
        </w:tc>
      </w:tr>
      <w:tr w:rsidR="00C81BAE" w:rsidRPr="00C450A0" w14:paraId="78841097" w14:textId="77777777" w:rsidTr="00C81BA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435FE0" w14:textId="77777777" w:rsidR="00C81BAE" w:rsidRPr="00C450A0" w:rsidRDefault="00C81BAE" w:rsidP="00C81BAE">
            <w:pPr>
              <w:spacing w:after="0" w:line="240" w:lineRule="auto"/>
              <w:jc w:val="center"/>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C1D989" w14:textId="77777777" w:rsidR="00C81BAE" w:rsidRPr="00C450A0" w:rsidRDefault="00C81BAE" w:rsidP="00C81BAE">
            <w:pPr>
              <w:spacing w:after="0" w:line="240" w:lineRule="auto"/>
              <w:rPr>
                <w:rFonts w:eastAsia="Times New Roman" w:cstheme="minorHAnsi"/>
                <w:sz w:val="24"/>
                <w:szCs w:val="24"/>
                <w:lang w:eastAsia="sk-SK"/>
              </w:rPr>
            </w:pPr>
            <w:r w:rsidRPr="00C450A0">
              <w:rPr>
                <w:rFonts w:eastAsia="Times New Roman" w:cstheme="minorHAnsi"/>
                <w:b/>
                <w:bCs/>
                <w:sz w:val="20"/>
                <w:szCs w:val="20"/>
                <w:lang w:eastAsia="sk-SK"/>
              </w:rPr>
              <w:t>Výdavky celkom</w:t>
            </w:r>
            <w:r w:rsidRPr="00C450A0">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0C32958" w14:textId="4C4DB9DA" w:rsidR="00C81BAE" w:rsidRPr="00C450A0" w:rsidRDefault="00C81BAE" w:rsidP="00C81BAE">
            <w:pPr>
              <w:spacing w:after="0" w:line="240" w:lineRule="auto"/>
              <w:jc w:val="right"/>
              <w:rPr>
                <w:rFonts w:eastAsia="Times New Roman" w:cstheme="minorHAnsi"/>
                <w:sz w:val="24"/>
                <w:szCs w:val="24"/>
                <w:lang w:eastAsia="sk-SK"/>
              </w:rPr>
            </w:pPr>
            <w:r w:rsidRPr="005A52D2">
              <w:rPr>
                <w:rFonts w:eastAsia="Times New Roman" w:cstheme="minorHAnsi"/>
                <w:b/>
                <w:bCs/>
                <w:color w:val="000000" w:themeColor="text1"/>
                <w:sz w:val="20"/>
                <w:szCs w:val="20"/>
              </w:rPr>
              <w:t>553 580,00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16073B" w14:textId="5EAF7D6B"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361 580,00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2062B5" w14:textId="6D071FF4"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65,32</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77B8C1" w14:textId="51D2BC34"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273 580,00</w:t>
            </w:r>
          </w:p>
        </w:tc>
        <w:tc>
          <w:tcPr>
            <w:tcW w:w="26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F7BFBF" w14:textId="18A3EEB9"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75,66</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83D123" w14:textId="69B1CC19"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463 580,00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FB01E2" w14:textId="5EE7C645"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169,45</w:t>
            </w:r>
          </w:p>
        </w:tc>
      </w:tr>
      <w:tr w:rsidR="00C81BAE" w:rsidRPr="00C450A0" w14:paraId="4A362740" w14:textId="77777777" w:rsidTr="00C81BA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7D7AB8" w14:textId="77777777" w:rsidR="00C81BAE" w:rsidRPr="00C450A0" w:rsidRDefault="00C81BAE" w:rsidP="00C81BAE">
            <w:pPr>
              <w:spacing w:after="0" w:line="240" w:lineRule="auto"/>
              <w:rPr>
                <w:rFonts w:eastAsia="Times New Roman" w:cstheme="minorHAnsi"/>
                <w:sz w:val="24"/>
                <w:szCs w:val="24"/>
                <w:lang w:eastAsia="sk-SK"/>
              </w:rPr>
            </w:pPr>
            <w:r w:rsidRPr="00C450A0">
              <w:rPr>
                <w:rFonts w:eastAsia="Times New Roman" w:cstheme="minorHAnsi"/>
                <w:b/>
                <w:bCs/>
                <w:sz w:val="20"/>
                <w:szCs w:val="20"/>
                <w:lang w:eastAsia="sk-SK"/>
              </w:rPr>
              <w:t>600</w:t>
            </w:r>
            <w:r w:rsidRPr="00C450A0">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D9ED70" w14:textId="77777777" w:rsidR="00C81BAE" w:rsidRPr="00C450A0" w:rsidRDefault="00C81BAE" w:rsidP="00C81BAE">
            <w:pPr>
              <w:spacing w:after="0" w:line="240" w:lineRule="auto"/>
              <w:rPr>
                <w:rFonts w:eastAsia="Times New Roman" w:cstheme="minorHAnsi"/>
                <w:sz w:val="24"/>
                <w:szCs w:val="24"/>
                <w:lang w:eastAsia="sk-SK"/>
              </w:rPr>
            </w:pPr>
            <w:r w:rsidRPr="00C450A0">
              <w:rPr>
                <w:rFonts w:eastAsia="Times New Roman" w:cstheme="minorHAnsi"/>
                <w:b/>
                <w:bCs/>
                <w:sz w:val="20"/>
                <w:szCs w:val="20"/>
                <w:lang w:eastAsia="sk-SK"/>
              </w:rPr>
              <w:t>Bežné výdavky</w:t>
            </w:r>
            <w:r w:rsidRPr="00C450A0">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76C09F" w14:textId="0CA90BB0" w:rsidR="00C81BAE" w:rsidRPr="00C450A0" w:rsidRDefault="00C81BAE" w:rsidP="00C81BAE">
            <w:pPr>
              <w:spacing w:after="0" w:line="240" w:lineRule="auto"/>
              <w:jc w:val="right"/>
              <w:rPr>
                <w:rFonts w:eastAsia="Times New Roman" w:cstheme="minorHAnsi"/>
                <w:sz w:val="24"/>
                <w:szCs w:val="24"/>
                <w:lang w:eastAsia="sk-SK"/>
              </w:rPr>
            </w:pPr>
            <w:r w:rsidRPr="005A52D2">
              <w:rPr>
                <w:rFonts w:eastAsia="Times New Roman" w:cstheme="minorHAnsi"/>
                <w:b/>
                <w:bCs/>
                <w:color w:val="000000" w:themeColor="text1"/>
                <w:sz w:val="20"/>
                <w:szCs w:val="20"/>
              </w:rPr>
              <w:t>496 580,00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C872EB" w14:textId="41C17AFA"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361 580,00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2ED956F" w14:textId="6FF7D9B4"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72,81</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F8AAB06" w14:textId="3419E735"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273 580,00</w:t>
            </w:r>
          </w:p>
        </w:tc>
        <w:tc>
          <w:tcPr>
            <w:tcW w:w="26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CFEE02" w14:textId="670C3AA0"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75,66</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EA7A9F" w14:textId="25165D7B"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463 580,00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6F12EF" w14:textId="1BF64F6B"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169,45</w:t>
            </w:r>
          </w:p>
        </w:tc>
      </w:tr>
      <w:tr w:rsidR="00C81BAE" w:rsidRPr="00C450A0" w14:paraId="22E50677" w14:textId="77777777" w:rsidTr="00C81BAE">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A8CA695" w14:textId="77777777" w:rsidR="00C81BAE" w:rsidRPr="00C450A0" w:rsidRDefault="00C81BAE" w:rsidP="00C81BAE">
            <w:pPr>
              <w:spacing w:after="0" w:line="240" w:lineRule="auto"/>
              <w:rPr>
                <w:rFonts w:eastAsia="Times New Roman" w:cstheme="minorHAnsi"/>
                <w:sz w:val="24"/>
                <w:szCs w:val="24"/>
                <w:lang w:eastAsia="sk-SK"/>
              </w:rPr>
            </w:pPr>
            <w:r w:rsidRPr="00C450A0">
              <w:rPr>
                <w:rFonts w:eastAsia="Times New Roman" w:cstheme="minorHAnsi"/>
                <w:sz w:val="20"/>
                <w:szCs w:val="20"/>
                <w:lang w:eastAsia="sk-SK"/>
              </w:rPr>
              <w:t>630</w:t>
            </w:r>
            <w:r w:rsidRPr="00C450A0">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DF5DED" w14:textId="77777777" w:rsidR="00C81BAE" w:rsidRPr="00C450A0" w:rsidRDefault="00C81BAE" w:rsidP="00C81BAE">
            <w:pPr>
              <w:spacing w:after="0" w:line="240" w:lineRule="auto"/>
              <w:rPr>
                <w:rFonts w:eastAsia="Times New Roman" w:cstheme="minorHAnsi"/>
                <w:sz w:val="24"/>
                <w:szCs w:val="24"/>
                <w:lang w:eastAsia="sk-SK"/>
              </w:rPr>
            </w:pPr>
            <w:r w:rsidRPr="00C450A0">
              <w:rPr>
                <w:rFonts w:eastAsia="Times New Roman" w:cstheme="minorHAnsi"/>
                <w:sz w:val="20"/>
                <w:szCs w:val="20"/>
                <w:lang w:eastAsia="sk-SK"/>
              </w:rPr>
              <w:t>Tovary a služby</w:t>
            </w:r>
            <w:r w:rsidRPr="00C450A0">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22FEA0" w14:textId="39522EA9" w:rsidR="00C81BAE" w:rsidRPr="00C450A0" w:rsidRDefault="00C81BAE" w:rsidP="00C81BAE">
            <w:pPr>
              <w:spacing w:after="0" w:line="240" w:lineRule="auto"/>
              <w:jc w:val="right"/>
              <w:rPr>
                <w:rFonts w:eastAsia="Times New Roman" w:cstheme="minorHAnsi"/>
                <w:sz w:val="24"/>
                <w:szCs w:val="24"/>
                <w:lang w:eastAsia="sk-SK"/>
              </w:rPr>
            </w:pPr>
            <w:r w:rsidRPr="00E22573">
              <w:rPr>
                <w:rFonts w:eastAsia="Times New Roman" w:cstheme="minorHAnsi"/>
                <w:color w:val="000000" w:themeColor="text1"/>
                <w:sz w:val="20"/>
                <w:szCs w:val="20"/>
              </w:rPr>
              <w:t>496 580,00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8F1C70" w14:textId="77E14737"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sz w:val="20"/>
                <w:szCs w:val="20"/>
              </w:rPr>
              <w:t>361 580,00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642C623" w14:textId="00B8DF84"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sz w:val="20"/>
                <w:szCs w:val="20"/>
              </w:rPr>
              <w:t>72,81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B7F133" w14:textId="36AE36DE"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sz w:val="20"/>
                <w:szCs w:val="20"/>
              </w:rPr>
              <w:t>273 580,00</w:t>
            </w:r>
          </w:p>
        </w:tc>
        <w:tc>
          <w:tcPr>
            <w:tcW w:w="261" w:type="pct"/>
            <w:tcBorders>
              <w:top w:val="outset" w:sz="6" w:space="0" w:color="000000"/>
              <w:left w:val="outset" w:sz="6" w:space="0" w:color="000000"/>
              <w:bottom w:val="outset" w:sz="6" w:space="0" w:color="000000"/>
              <w:right w:val="outset" w:sz="6" w:space="0" w:color="000000"/>
            </w:tcBorders>
            <w:noWrap/>
            <w:vAlign w:val="center"/>
            <w:hideMark/>
          </w:tcPr>
          <w:p w14:paraId="3DAD0C1E" w14:textId="29D29AE5"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sz w:val="20"/>
                <w:szCs w:val="20"/>
              </w:rPr>
              <w:t>75,66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B6A587" w14:textId="30B42F34"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sz w:val="20"/>
                <w:szCs w:val="20"/>
              </w:rPr>
              <w:t>463 580,00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23F90296" w14:textId="56B39809"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sz w:val="20"/>
                <w:szCs w:val="20"/>
              </w:rPr>
              <w:t>169,45</w:t>
            </w:r>
          </w:p>
        </w:tc>
      </w:tr>
      <w:tr w:rsidR="00C81BAE" w:rsidRPr="00C450A0" w14:paraId="67BE98F2" w14:textId="77777777" w:rsidTr="00C81BA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5AAB4F" w14:textId="77777777" w:rsidR="00C81BAE" w:rsidRPr="00C450A0" w:rsidRDefault="00C81BAE" w:rsidP="00C81BAE">
            <w:pPr>
              <w:spacing w:after="0" w:line="240" w:lineRule="auto"/>
              <w:rPr>
                <w:rFonts w:eastAsia="Times New Roman" w:cstheme="minorHAnsi"/>
                <w:sz w:val="24"/>
                <w:szCs w:val="24"/>
                <w:lang w:eastAsia="sk-SK"/>
              </w:rPr>
            </w:pPr>
            <w:r w:rsidRPr="00C450A0">
              <w:rPr>
                <w:rFonts w:eastAsia="Times New Roman" w:cstheme="minorHAnsi"/>
                <w:b/>
                <w:bCs/>
                <w:sz w:val="20"/>
                <w:szCs w:val="20"/>
                <w:lang w:eastAsia="sk-SK"/>
              </w:rPr>
              <w:t>700</w:t>
            </w:r>
            <w:r w:rsidRPr="00C450A0">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6AC905" w14:textId="77777777" w:rsidR="00C81BAE" w:rsidRPr="00C450A0" w:rsidRDefault="00C81BAE" w:rsidP="00C81BAE">
            <w:pPr>
              <w:spacing w:after="0" w:line="240" w:lineRule="auto"/>
              <w:rPr>
                <w:rFonts w:eastAsia="Times New Roman" w:cstheme="minorHAnsi"/>
                <w:sz w:val="24"/>
                <w:szCs w:val="24"/>
                <w:lang w:eastAsia="sk-SK"/>
              </w:rPr>
            </w:pPr>
            <w:r w:rsidRPr="00C450A0">
              <w:rPr>
                <w:rFonts w:eastAsia="Times New Roman" w:cstheme="minorHAnsi"/>
                <w:b/>
                <w:bCs/>
                <w:sz w:val="20"/>
                <w:szCs w:val="20"/>
                <w:lang w:eastAsia="sk-SK"/>
              </w:rPr>
              <w:t>Kapitálové výdavky</w:t>
            </w:r>
            <w:r w:rsidRPr="00C450A0">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AE9E0E" w14:textId="22AE0001" w:rsidR="00C81BAE" w:rsidRPr="00C450A0" w:rsidRDefault="00C81BAE" w:rsidP="00C81BAE">
            <w:pPr>
              <w:spacing w:after="0" w:line="240" w:lineRule="auto"/>
              <w:jc w:val="right"/>
              <w:rPr>
                <w:rFonts w:eastAsia="Times New Roman" w:cstheme="minorHAnsi"/>
                <w:sz w:val="24"/>
                <w:szCs w:val="24"/>
                <w:lang w:eastAsia="sk-SK"/>
              </w:rPr>
            </w:pPr>
            <w:r w:rsidRPr="00E22573">
              <w:rPr>
                <w:rFonts w:eastAsia="Times New Roman" w:cstheme="minorHAnsi"/>
                <w:b/>
                <w:bCs/>
                <w:color w:val="000000" w:themeColor="text1"/>
                <w:sz w:val="20"/>
                <w:szCs w:val="20"/>
              </w:rPr>
              <w:t>57 000,00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F265BC" w14:textId="1FE5C1BD"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35D7CD" w14:textId="3C8D670E"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FA4D312" w14:textId="715E95F9"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b/>
                <w:bCs/>
                <w:sz w:val="20"/>
                <w:szCs w:val="20"/>
              </w:rPr>
              <w:t>0,00</w:t>
            </w:r>
          </w:p>
        </w:tc>
        <w:tc>
          <w:tcPr>
            <w:tcW w:w="26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4266A0" w14:textId="54AC6585" w:rsidR="00C81BAE" w:rsidRPr="00C450A0" w:rsidRDefault="00C81BAE" w:rsidP="00C81BAE">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680987" w14:textId="72AE6D25" w:rsidR="00C81BAE" w:rsidRPr="00C450A0" w:rsidRDefault="00C81BAE" w:rsidP="00C81BAE">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424E33" w14:textId="289E24F2" w:rsidR="00C81BAE" w:rsidRPr="00C450A0" w:rsidRDefault="00C81BAE" w:rsidP="00C81BAE">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0,00</w:t>
            </w:r>
          </w:p>
        </w:tc>
      </w:tr>
      <w:tr w:rsidR="00C81BAE" w:rsidRPr="00C450A0" w14:paraId="7C1090DD" w14:textId="77777777" w:rsidTr="00C81BAE">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FE7261" w14:textId="77777777" w:rsidR="00C81BAE" w:rsidRPr="00C450A0" w:rsidRDefault="00C81BAE" w:rsidP="00C81BAE">
            <w:pPr>
              <w:spacing w:after="0" w:line="240" w:lineRule="auto"/>
              <w:rPr>
                <w:rFonts w:eastAsia="Times New Roman" w:cstheme="minorHAnsi"/>
                <w:sz w:val="24"/>
                <w:szCs w:val="24"/>
                <w:lang w:eastAsia="sk-SK"/>
              </w:rPr>
            </w:pPr>
            <w:r w:rsidRPr="00C450A0">
              <w:rPr>
                <w:rFonts w:eastAsia="Times New Roman" w:cstheme="minorHAnsi"/>
                <w:sz w:val="20"/>
                <w:szCs w:val="20"/>
                <w:lang w:eastAsia="sk-SK"/>
              </w:rPr>
              <w:t>710</w:t>
            </w:r>
            <w:r w:rsidRPr="00C450A0">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76B8D8" w14:textId="77777777" w:rsidR="00C81BAE" w:rsidRPr="00C450A0" w:rsidRDefault="00C81BAE" w:rsidP="00C81BAE">
            <w:pPr>
              <w:spacing w:after="0" w:line="240" w:lineRule="auto"/>
              <w:rPr>
                <w:rFonts w:eastAsia="Times New Roman" w:cstheme="minorHAnsi"/>
                <w:sz w:val="24"/>
                <w:szCs w:val="24"/>
                <w:lang w:eastAsia="sk-SK"/>
              </w:rPr>
            </w:pPr>
            <w:proofErr w:type="spellStart"/>
            <w:r w:rsidRPr="00C450A0">
              <w:rPr>
                <w:rFonts w:eastAsia="Times New Roman" w:cstheme="minorHAnsi"/>
                <w:sz w:val="20"/>
                <w:szCs w:val="20"/>
                <w:lang w:eastAsia="sk-SK"/>
              </w:rPr>
              <w:t>Obst</w:t>
            </w:r>
            <w:proofErr w:type="spellEnd"/>
            <w:r w:rsidRPr="00C450A0">
              <w:rPr>
                <w:rFonts w:eastAsia="Times New Roman" w:cstheme="minorHAnsi"/>
                <w:sz w:val="20"/>
                <w:szCs w:val="20"/>
                <w:lang w:eastAsia="sk-SK"/>
              </w:rPr>
              <w:t xml:space="preserve">. </w:t>
            </w:r>
            <w:proofErr w:type="spellStart"/>
            <w:r w:rsidRPr="00C450A0">
              <w:rPr>
                <w:rFonts w:eastAsia="Times New Roman" w:cstheme="minorHAnsi"/>
                <w:sz w:val="20"/>
                <w:szCs w:val="20"/>
                <w:lang w:eastAsia="sk-SK"/>
              </w:rPr>
              <w:t>kapit</w:t>
            </w:r>
            <w:proofErr w:type="spellEnd"/>
            <w:r w:rsidRPr="00C450A0">
              <w:rPr>
                <w:rFonts w:eastAsia="Times New Roman" w:cstheme="minorHAnsi"/>
                <w:sz w:val="20"/>
                <w:szCs w:val="20"/>
                <w:lang w:eastAsia="sk-SK"/>
              </w:rPr>
              <w:t>. aktív</w:t>
            </w:r>
            <w:r w:rsidRPr="00C450A0">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9E2CDB" w14:textId="0B3835EA" w:rsidR="00C81BAE" w:rsidRPr="00C450A0" w:rsidRDefault="00C81BAE" w:rsidP="00C81BAE">
            <w:pPr>
              <w:spacing w:after="0" w:line="240" w:lineRule="auto"/>
              <w:jc w:val="right"/>
              <w:rPr>
                <w:rFonts w:eastAsia="Times New Roman" w:cstheme="minorHAnsi"/>
                <w:sz w:val="24"/>
                <w:szCs w:val="24"/>
                <w:lang w:eastAsia="sk-SK"/>
              </w:rPr>
            </w:pPr>
            <w:r w:rsidRPr="00E22573">
              <w:rPr>
                <w:rFonts w:eastAsia="Times New Roman" w:cstheme="minorHAnsi"/>
                <w:color w:val="000000" w:themeColor="text1"/>
                <w:sz w:val="20"/>
                <w:szCs w:val="20"/>
              </w:rPr>
              <w:t>57 000,00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2BA71A" w14:textId="4444AADC"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sz w:val="20"/>
                <w:szCs w:val="20"/>
              </w:rPr>
              <w:t>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6B6463E" w14:textId="671E4A15"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sz w:val="20"/>
                <w:szCs w:val="20"/>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B1A266" w14:textId="5B7CEFE2" w:rsidR="00C81BAE" w:rsidRPr="00C450A0" w:rsidRDefault="00C81BAE" w:rsidP="00C81BAE">
            <w:pPr>
              <w:spacing w:after="0" w:line="240" w:lineRule="auto"/>
              <w:jc w:val="right"/>
              <w:rPr>
                <w:rFonts w:eastAsia="Times New Roman" w:cstheme="minorHAnsi"/>
                <w:sz w:val="24"/>
                <w:szCs w:val="24"/>
                <w:lang w:eastAsia="sk-SK"/>
              </w:rPr>
            </w:pPr>
            <w:r w:rsidRPr="00121894">
              <w:rPr>
                <w:rFonts w:ascii="Calibri" w:eastAsia="Times New Roman" w:hAnsi="Calibri" w:cs="Calibri"/>
                <w:sz w:val="20"/>
                <w:szCs w:val="20"/>
              </w:rPr>
              <w:t>0,00</w:t>
            </w:r>
          </w:p>
        </w:tc>
        <w:tc>
          <w:tcPr>
            <w:tcW w:w="261" w:type="pct"/>
            <w:tcBorders>
              <w:top w:val="outset" w:sz="6" w:space="0" w:color="000000"/>
              <w:left w:val="outset" w:sz="6" w:space="0" w:color="000000"/>
              <w:bottom w:val="outset" w:sz="6" w:space="0" w:color="000000"/>
              <w:right w:val="outset" w:sz="6" w:space="0" w:color="000000"/>
            </w:tcBorders>
            <w:noWrap/>
            <w:vAlign w:val="center"/>
            <w:hideMark/>
          </w:tcPr>
          <w:p w14:paraId="3EAFEFDB" w14:textId="630B8DC9" w:rsidR="00C81BAE" w:rsidRPr="00C450A0" w:rsidRDefault="00C81BAE" w:rsidP="00C81BAE">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91855D" w14:textId="5CBB48F1" w:rsidR="00C81BAE" w:rsidRPr="00C450A0" w:rsidRDefault="00C81BAE" w:rsidP="00C81BAE">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2FB634B3" w14:textId="17EA2204" w:rsidR="00C81BAE" w:rsidRPr="00C450A0" w:rsidRDefault="00C81BAE" w:rsidP="00C81BAE">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0,00</w:t>
            </w:r>
          </w:p>
        </w:tc>
      </w:tr>
    </w:tbl>
    <w:p w14:paraId="22926653" w14:textId="77777777" w:rsidR="00C450A0" w:rsidRPr="00C450A0" w:rsidRDefault="00C450A0" w:rsidP="00C450A0">
      <w:pPr>
        <w:spacing w:after="0" w:line="240" w:lineRule="auto"/>
        <w:rPr>
          <w:rFonts w:eastAsiaTheme="minorEastAsia" w:cstheme="minorHAns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31"/>
        <w:gridCol w:w="2031"/>
        <w:gridCol w:w="2031"/>
        <w:gridCol w:w="2046"/>
      </w:tblGrid>
      <w:tr w:rsidR="00C450A0" w:rsidRPr="00C450A0" w14:paraId="4B70B9B9" w14:textId="77777777" w:rsidTr="00D3260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6C3154" w14:textId="77777777" w:rsidR="00C450A0" w:rsidRPr="00C450A0" w:rsidRDefault="00C450A0" w:rsidP="00C450A0">
            <w:pPr>
              <w:spacing w:after="0" w:line="240" w:lineRule="auto"/>
              <w:rPr>
                <w:rFonts w:eastAsia="Times New Roman" w:cstheme="minorHAnsi"/>
                <w:sz w:val="24"/>
                <w:szCs w:val="24"/>
                <w:lang w:eastAsia="sk-SK"/>
              </w:rPr>
            </w:pPr>
            <w:r w:rsidRPr="00C450A0">
              <w:rPr>
                <w:rFonts w:eastAsia="Times New Roman" w:cstheme="minorHAns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AD3FAE" w14:textId="77777777" w:rsidR="00C450A0" w:rsidRPr="00C450A0" w:rsidRDefault="00C450A0" w:rsidP="00C450A0">
            <w:pPr>
              <w:spacing w:after="0" w:line="240" w:lineRule="auto"/>
              <w:rPr>
                <w:rFonts w:eastAsia="Times New Roman" w:cstheme="minorHAnsi"/>
                <w:sz w:val="24"/>
                <w:szCs w:val="24"/>
                <w:lang w:eastAsia="sk-SK"/>
              </w:rPr>
            </w:pPr>
            <w:r w:rsidRPr="00C450A0">
              <w:rPr>
                <w:rFonts w:eastAsia="Times New Roman" w:cstheme="minorHAnsi"/>
                <w:sz w:val="24"/>
                <w:szCs w:val="24"/>
                <w:lang w:eastAsia="sk-SK"/>
              </w:rPr>
              <w:t>Odbor územného plánu, GIS a životného prostredia</w:t>
            </w:r>
          </w:p>
        </w:tc>
      </w:tr>
      <w:tr w:rsidR="00C450A0" w:rsidRPr="00C450A0" w14:paraId="353F8FBA" w14:textId="77777777" w:rsidTr="00D3260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91BAF0" w14:textId="77777777" w:rsidR="00C450A0" w:rsidRPr="00C450A0" w:rsidRDefault="00C450A0" w:rsidP="00C450A0">
            <w:pPr>
              <w:spacing w:after="0" w:line="240" w:lineRule="auto"/>
              <w:rPr>
                <w:rFonts w:eastAsia="Times New Roman" w:cstheme="minorHAnsi"/>
                <w:sz w:val="24"/>
                <w:szCs w:val="24"/>
                <w:lang w:eastAsia="sk-SK"/>
              </w:rPr>
            </w:pPr>
            <w:r w:rsidRPr="00C450A0">
              <w:rPr>
                <w:rFonts w:eastAsia="Times New Roman" w:cstheme="minorHAns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BD53AA" w14:textId="77777777" w:rsidR="00C450A0" w:rsidRPr="00C450A0" w:rsidRDefault="00C450A0" w:rsidP="00C450A0">
            <w:pPr>
              <w:spacing w:after="0" w:line="240" w:lineRule="auto"/>
              <w:rPr>
                <w:rFonts w:eastAsia="Times New Roman" w:cstheme="minorHAnsi"/>
                <w:sz w:val="24"/>
                <w:szCs w:val="24"/>
                <w:lang w:eastAsia="sk-SK"/>
              </w:rPr>
            </w:pPr>
            <w:r w:rsidRPr="00C450A0">
              <w:rPr>
                <w:rFonts w:eastAsia="Times New Roman" w:cstheme="minorHAnsi"/>
                <w:b/>
                <w:bCs/>
                <w:sz w:val="24"/>
                <w:szCs w:val="24"/>
                <w:lang w:eastAsia="sk-SK"/>
              </w:rPr>
              <w:t>Zabezpečiť predpoklady rozvoja územia v jednotlivých kompetenčných oblastiach</w:t>
            </w:r>
          </w:p>
        </w:tc>
      </w:tr>
      <w:tr w:rsidR="00C450A0" w:rsidRPr="00C450A0" w14:paraId="40A3EBA9" w14:textId="77777777" w:rsidTr="00D3260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79ACDB" w14:textId="77777777" w:rsidR="00C450A0" w:rsidRPr="00C450A0" w:rsidRDefault="00C450A0" w:rsidP="00C450A0">
            <w:pPr>
              <w:spacing w:after="0" w:line="240" w:lineRule="auto"/>
              <w:rPr>
                <w:rFonts w:eastAsia="Times New Roman" w:cstheme="minorHAnsi"/>
                <w:sz w:val="24"/>
                <w:szCs w:val="24"/>
                <w:lang w:eastAsia="sk-SK"/>
              </w:rPr>
            </w:pPr>
            <w:r w:rsidRPr="00C450A0">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E9490A" w14:textId="77777777" w:rsidR="00C450A0" w:rsidRPr="00C450A0" w:rsidRDefault="00C450A0" w:rsidP="00C450A0">
            <w:pPr>
              <w:spacing w:after="0" w:line="240" w:lineRule="auto"/>
              <w:rPr>
                <w:rFonts w:eastAsia="Times New Roman" w:cstheme="minorHAnsi"/>
                <w:sz w:val="24"/>
                <w:szCs w:val="24"/>
                <w:lang w:eastAsia="sk-SK"/>
              </w:rPr>
            </w:pPr>
            <w:r w:rsidRPr="00C450A0">
              <w:rPr>
                <w:rFonts w:eastAsia="Times New Roman" w:cstheme="minorHAnsi"/>
                <w:sz w:val="24"/>
                <w:szCs w:val="24"/>
                <w:lang w:eastAsia="sk-SK"/>
              </w:rPr>
              <w:t>Počet strategických materiálov vypracovaných spolu za rok</w:t>
            </w:r>
          </w:p>
        </w:tc>
      </w:tr>
      <w:tr w:rsidR="00502EEB" w:rsidRPr="00C450A0" w14:paraId="0EB61090" w14:textId="77777777" w:rsidTr="00D3260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9482F1" w14:textId="77777777" w:rsidR="00502EEB" w:rsidRPr="00C450A0" w:rsidRDefault="00502EEB" w:rsidP="00502EEB">
            <w:pPr>
              <w:spacing w:after="0" w:line="240" w:lineRule="auto"/>
              <w:rPr>
                <w:rFonts w:eastAsia="Times New Roman" w:cstheme="minorHAnsi"/>
                <w:sz w:val="24"/>
                <w:szCs w:val="24"/>
                <w:lang w:eastAsia="sk-SK"/>
              </w:rPr>
            </w:pPr>
            <w:r w:rsidRPr="00C450A0">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703B81" w14:textId="569A0A7F" w:rsidR="00502EEB" w:rsidRPr="00502EEB" w:rsidRDefault="00502EEB" w:rsidP="00502EEB">
            <w:pPr>
              <w:spacing w:after="0" w:line="240" w:lineRule="auto"/>
              <w:jc w:val="center"/>
              <w:rPr>
                <w:rFonts w:eastAsia="Times New Roman" w:cstheme="minorHAnsi"/>
                <w:sz w:val="24"/>
                <w:szCs w:val="24"/>
                <w:lang w:eastAsia="sk-SK"/>
              </w:rPr>
            </w:pPr>
            <w:r w:rsidRPr="00502EEB">
              <w:rPr>
                <w:rFonts w:eastAsia="Times New Roman" w:cstheme="minorHAnsi"/>
                <w:sz w:val="24"/>
                <w:szCs w:val="24"/>
              </w:rPr>
              <w:t>202</w:t>
            </w:r>
            <w:r w:rsidR="00C81BAE">
              <w:rPr>
                <w:rFonts w:eastAsia="Times New Roman" w:cstheme="minorHAnsi"/>
                <w:sz w:val="24"/>
                <w:szCs w:val="24"/>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A7A9B1" w14:textId="616F493F" w:rsidR="00502EEB" w:rsidRPr="00502EEB" w:rsidRDefault="00502EEB" w:rsidP="00502EEB">
            <w:pPr>
              <w:spacing w:after="0" w:line="240" w:lineRule="auto"/>
              <w:jc w:val="center"/>
              <w:rPr>
                <w:rFonts w:eastAsia="Times New Roman" w:cstheme="minorHAnsi"/>
                <w:sz w:val="24"/>
                <w:szCs w:val="24"/>
                <w:lang w:eastAsia="sk-SK"/>
              </w:rPr>
            </w:pPr>
            <w:r w:rsidRPr="00502EEB">
              <w:rPr>
                <w:rFonts w:eastAsia="Times New Roman" w:cstheme="minorHAnsi"/>
                <w:b/>
                <w:bCs/>
                <w:sz w:val="24"/>
                <w:szCs w:val="24"/>
              </w:rPr>
              <w:t>202</w:t>
            </w:r>
            <w:r w:rsidR="00C81BAE">
              <w:rPr>
                <w:rFonts w:eastAsia="Times New Roman" w:cstheme="minorHAnsi"/>
                <w:b/>
                <w:bCs/>
                <w:sz w:val="24"/>
                <w:szCs w:val="24"/>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25BF5F" w14:textId="6479C219" w:rsidR="00502EEB" w:rsidRPr="00502EEB" w:rsidRDefault="00502EEB" w:rsidP="00502EEB">
            <w:pPr>
              <w:spacing w:after="0" w:line="240" w:lineRule="auto"/>
              <w:jc w:val="center"/>
              <w:rPr>
                <w:rFonts w:eastAsia="Times New Roman" w:cstheme="minorHAnsi"/>
                <w:sz w:val="24"/>
                <w:szCs w:val="24"/>
                <w:lang w:eastAsia="sk-SK"/>
              </w:rPr>
            </w:pPr>
            <w:r w:rsidRPr="00502EEB">
              <w:rPr>
                <w:rFonts w:eastAsia="Times New Roman" w:cstheme="minorHAnsi"/>
                <w:sz w:val="24"/>
                <w:szCs w:val="24"/>
              </w:rPr>
              <w:t>202</w:t>
            </w:r>
            <w:r w:rsidR="00C81BAE">
              <w:rPr>
                <w:rFonts w:eastAsia="Times New Roman" w:cstheme="minorHAnsi"/>
                <w:sz w:val="24"/>
                <w:szCs w:val="24"/>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2B71B6" w14:textId="70384FC3" w:rsidR="00502EEB" w:rsidRPr="00502EEB" w:rsidRDefault="00502EEB" w:rsidP="00502EEB">
            <w:pPr>
              <w:spacing w:after="0" w:line="240" w:lineRule="auto"/>
              <w:jc w:val="center"/>
              <w:rPr>
                <w:rFonts w:eastAsia="Times New Roman" w:cstheme="minorHAnsi"/>
                <w:sz w:val="24"/>
                <w:szCs w:val="24"/>
                <w:lang w:eastAsia="sk-SK"/>
              </w:rPr>
            </w:pPr>
            <w:r w:rsidRPr="00502EEB">
              <w:rPr>
                <w:rFonts w:eastAsia="Times New Roman" w:cstheme="minorHAnsi"/>
                <w:sz w:val="24"/>
                <w:szCs w:val="24"/>
              </w:rPr>
              <w:t>202</w:t>
            </w:r>
            <w:r w:rsidR="00C81BAE">
              <w:rPr>
                <w:rFonts w:eastAsia="Times New Roman" w:cstheme="minorHAnsi"/>
                <w:sz w:val="24"/>
                <w:szCs w:val="24"/>
              </w:rPr>
              <w:t>7</w:t>
            </w:r>
          </w:p>
        </w:tc>
      </w:tr>
      <w:tr w:rsidR="00502EEB" w:rsidRPr="00C450A0" w14:paraId="74940BED" w14:textId="77777777" w:rsidTr="00D3260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A615B0" w14:textId="77777777" w:rsidR="00502EEB" w:rsidRPr="00C450A0" w:rsidRDefault="00502EEB" w:rsidP="00502EEB">
            <w:pPr>
              <w:spacing w:after="0" w:line="240" w:lineRule="auto"/>
              <w:rPr>
                <w:rFonts w:eastAsia="Times New Roman" w:cstheme="minorHAnsi"/>
                <w:sz w:val="24"/>
                <w:szCs w:val="24"/>
                <w:lang w:eastAsia="sk-SK"/>
              </w:rPr>
            </w:pPr>
            <w:r w:rsidRPr="00C450A0">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9AF5AC" w14:textId="695C4AD7" w:rsidR="00502EEB" w:rsidRPr="00502EEB" w:rsidRDefault="00502EEB" w:rsidP="00502EEB">
            <w:pPr>
              <w:spacing w:after="0" w:line="240" w:lineRule="auto"/>
              <w:jc w:val="center"/>
              <w:rPr>
                <w:rFonts w:eastAsia="Times New Roman" w:cstheme="minorHAnsi"/>
                <w:sz w:val="24"/>
                <w:szCs w:val="24"/>
                <w:lang w:eastAsia="sk-SK"/>
              </w:rPr>
            </w:pPr>
            <w:r w:rsidRPr="00502EEB">
              <w:rPr>
                <w:rFonts w:eastAsia="Times New Roman" w:cstheme="minorHAnsi"/>
                <w:sz w:val="24"/>
                <w:szCs w:val="24"/>
              </w:rPr>
              <w:t> </w:t>
            </w:r>
            <w:r w:rsidR="00C81BAE">
              <w:rPr>
                <w:rFonts w:eastAsia="Times New Roman" w:cstheme="minorHAnsi"/>
                <w:sz w:val="24"/>
                <w:szCs w:val="24"/>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CFC7B0" w14:textId="3EAF8B42" w:rsidR="00502EEB" w:rsidRPr="00502EEB" w:rsidRDefault="00C81BAE" w:rsidP="00502EEB">
            <w:pPr>
              <w:spacing w:after="0" w:line="240" w:lineRule="auto"/>
              <w:jc w:val="center"/>
              <w:rPr>
                <w:rFonts w:eastAsia="Times New Roman" w:cstheme="minorHAnsi"/>
                <w:sz w:val="24"/>
                <w:szCs w:val="24"/>
                <w:lang w:eastAsia="sk-SK"/>
              </w:rPr>
            </w:pPr>
            <w:r>
              <w:rPr>
                <w:rFonts w:eastAsia="Times New Roman" w:cstheme="minorHAnsi"/>
                <w:b/>
                <w:bCs/>
                <w:sz w:val="24"/>
                <w:szCs w:val="24"/>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2C7CB0" w14:textId="24E9DA75" w:rsidR="00502EEB" w:rsidRPr="00502EEB" w:rsidRDefault="00502EEB" w:rsidP="00502EEB">
            <w:pPr>
              <w:spacing w:after="0" w:line="240" w:lineRule="auto"/>
              <w:jc w:val="center"/>
              <w:rPr>
                <w:rFonts w:eastAsia="Times New Roman" w:cstheme="minorHAnsi"/>
                <w:sz w:val="24"/>
                <w:szCs w:val="24"/>
                <w:lang w:eastAsia="sk-SK"/>
              </w:rPr>
            </w:pPr>
            <w:r w:rsidRPr="00502EEB">
              <w:rPr>
                <w:rFonts w:eastAsia="Times New Roman" w:cstheme="minorHAnsi"/>
                <w:sz w:val="24"/>
                <w:szCs w:val="24"/>
              </w:rPr>
              <w:t> 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B825EF" w14:textId="3B8090B5" w:rsidR="00502EEB" w:rsidRPr="00502EEB" w:rsidRDefault="00502EEB" w:rsidP="00502EEB">
            <w:pPr>
              <w:spacing w:after="0" w:line="240" w:lineRule="auto"/>
              <w:jc w:val="center"/>
              <w:rPr>
                <w:rFonts w:eastAsia="Times New Roman" w:cstheme="minorHAnsi"/>
                <w:sz w:val="24"/>
                <w:szCs w:val="24"/>
                <w:lang w:eastAsia="sk-SK"/>
              </w:rPr>
            </w:pPr>
            <w:r w:rsidRPr="00502EEB">
              <w:rPr>
                <w:rFonts w:eastAsia="Times New Roman" w:cstheme="minorHAnsi"/>
                <w:sz w:val="24"/>
                <w:szCs w:val="24"/>
              </w:rPr>
              <w:t> 3</w:t>
            </w:r>
          </w:p>
        </w:tc>
      </w:tr>
    </w:tbl>
    <w:p w14:paraId="789629D2" w14:textId="77777777" w:rsidR="00F11B4C" w:rsidRDefault="00F11B4C" w:rsidP="00F11B4C">
      <w:pPr>
        <w:pStyle w:val="Normlnywebov"/>
        <w:spacing w:before="0" w:beforeAutospacing="0" w:after="0" w:afterAutospacing="0"/>
        <w:jc w:val="both"/>
        <w:rPr>
          <w:rFonts w:ascii="Calibri" w:hAnsi="Calibri" w:cs="Calibri"/>
          <w:b/>
          <w:bCs/>
        </w:rPr>
      </w:pPr>
    </w:p>
    <w:p w14:paraId="1F023A12" w14:textId="6EACDC8E" w:rsidR="00F11B4C" w:rsidRDefault="00F11B4C" w:rsidP="00F11B4C">
      <w:pPr>
        <w:pStyle w:val="Normlnywebov"/>
        <w:spacing w:before="0" w:beforeAutospacing="0" w:after="0" w:afterAutospacing="0"/>
        <w:jc w:val="both"/>
        <w:rPr>
          <w:rFonts w:ascii="Calibri" w:hAnsi="Calibri" w:cs="Calibri"/>
        </w:rPr>
      </w:pPr>
      <w:r w:rsidRPr="00121894">
        <w:rPr>
          <w:rFonts w:ascii="Calibri" w:hAnsi="Calibri" w:cs="Calibri"/>
          <w:b/>
          <w:bCs/>
        </w:rPr>
        <w:t xml:space="preserve">Komentár: </w:t>
      </w:r>
      <w:r w:rsidRPr="00121894">
        <w:rPr>
          <w:rFonts w:ascii="Calibri" w:hAnsi="Calibri" w:cs="Calibri"/>
        </w:rPr>
        <w:t xml:space="preserve">Odbor územného plánu, GIS a životného prostredia v rozpočtovom období 2025 - 2027 - v roku 2025 bude v zmysle </w:t>
      </w:r>
      <w:proofErr w:type="spellStart"/>
      <w:r w:rsidRPr="00121894">
        <w:rPr>
          <w:rFonts w:ascii="Calibri" w:hAnsi="Calibri" w:cs="Calibri"/>
        </w:rPr>
        <w:t>ZoD</w:t>
      </w:r>
      <w:proofErr w:type="spellEnd"/>
      <w:r w:rsidRPr="00121894">
        <w:rPr>
          <w:rFonts w:ascii="Calibri" w:hAnsi="Calibri" w:cs="Calibri"/>
        </w:rPr>
        <w:t xml:space="preserve"> zabezpečovať spracovanie čistopisu </w:t>
      </w:r>
      <w:proofErr w:type="spellStart"/>
      <w:r w:rsidRPr="00121894">
        <w:rPr>
          <w:rFonts w:ascii="Calibri" w:hAnsi="Calibri" w:cs="Calibri"/>
        </w:rPr>
        <w:t>ZaD</w:t>
      </w:r>
      <w:proofErr w:type="spellEnd"/>
      <w:r w:rsidRPr="00121894">
        <w:rPr>
          <w:rFonts w:ascii="Calibri" w:hAnsi="Calibri" w:cs="Calibri"/>
        </w:rPr>
        <w:t xml:space="preserve"> č.2 ÚPN R BSK a plné znenie ÚPN R BSK nakoľko tieto aktivity nebolo možné uskutočniť v roku 2024, nakoľko Strategický dokument Zmeny a doplnky č.2 ÚPN R BSK podlieha posudzovaniu z hľadisku vplyvu na ŽP (SEA), ktoré OU Bratislava doteraz neukončil. Ak v zisťovacom konaní potvrdí, že je potrebné strategický dokument posudzovať, bude potrebné obstarať Správu o hodnotení, posudok, preklad.</w:t>
      </w:r>
    </w:p>
    <w:p w14:paraId="332614D6" w14:textId="77777777" w:rsidR="00F11B4C" w:rsidRDefault="00F11B4C" w:rsidP="00F11B4C">
      <w:pPr>
        <w:pStyle w:val="Normlnywebov"/>
        <w:spacing w:before="0" w:beforeAutospacing="0" w:after="0" w:afterAutospacing="0"/>
        <w:jc w:val="both"/>
        <w:rPr>
          <w:rFonts w:ascii="Calibri" w:hAnsi="Calibri" w:cs="Calibri"/>
        </w:rPr>
      </w:pPr>
    </w:p>
    <w:p w14:paraId="337A87E7" w14:textId="33CF4F68" w:rsidR="00F11B4C" w:rsidRDefault="00F11B4C" w:rsidP="00F11B4C">
      <w:pPr>
        <w:pStyle w:val="Normlnywebov"/>
        <w:spacing w:before="0" w:beforeAutospacing="0" w:after="0" w:afterAutospacing="0"/>
        <w:jc w:val="both"/>
        <w:rPr>
          <w:rFonts w:ascii="Calibri" w:hAnsi="Calibri" w:cs="Calibri"/>
        </w:rPr>
      </w:pPr>
      <w:r w:rsidRPr="00121894">
        <w:rPr>
          <w:rFonts w:ascii="Calibri" w:hAnsi="Calibri" w:cs="Calibri"/>
        </w:rPr>
        <w:t xml:space="preserve">Odbor ÚP, GIS a ŽP obstará analytickú časť dokumentu v roku 2025 - Územnú štúdiu zameranú na prírodný kapitál BSK, zameraného na tvorbu a zveľadenie krajiny regiónu, ale aj podporu ekosystémových služieb pôdy a krajiny. Dokument bude následne pozostávať z analytickej a návrhovej časti. Analýza sa zameria na zber podkladov (napr. RÚSES, MÚSES, Projekty pozemkových úprav, pôdne mapy, špecifikácia kvality a ohrozenia </w:t>
      </w:r>
      <w:r w:rsidRPr="00121894">
        <w:rPr>
          <w:rFonts w:ascii="Calibri" w:hAnsi="Calibri" w:cs="Calibri"/>
        </w:rPr>
        <w:lastRenderedPageBreak/>
        <w:t>pôd, obhospodarovanie pôdy a pod.). V návrhovej časti budú definované vhodné environmentálne opatrenia v kontexte adaptácie na zmenu klímy a posilnenia biodiverzity, optimalizácia využívania krajiny s podporou ekosystémových služieb pôdy a krajiny.</w:t>
      </w:r>
    </w:p>
    <w:p w14:paraId="1ADFEE68" w14:textId="77777777" w:rsidR="009E7BD4" w:rsidRDefault="009E7BD4" w:rsidP="00F11B4C">
      <w:pPr>
        <w:pStyle w:val="Normlnywebov"/>
        <w:spacing w:before="0" w:beforeAutospacing="0" w:after="0" w:afterAutospacing="0"/>
        <w:jc w:val="both"/>
        <w:rPr>
          <w:rFonts w:ascii="Calibri" w:hAnsi="Calibri" w:cs="Calibri"/>
        </w:rPr>
      </w:pPr>
    </w:p>
    <w:p w14:paraId="5AF209CE" w14:textId="77777777" w:rsidR="009E7BD4" w:rsidRDefault="00F11B4C" w:rsidP="00F11B4C">
      <w:pPr>
        <w:pStyle w:val="Normlnywebov"/>
        <w:spacing w:before="0" w:beforeAutospacing="0" w:after="0" w:afterAutospacing="0"/>
        <w:jc w:val="both"/>
        <w:rPr>
          <w:rFonts w:ascii="Calibri" w:hAnsi="Calibri" w:cs="Calibri"/>
        </w:rPr>
      </w:pPr>
      <w:r w:rsidRPr="00121894">
        <w:rPr>
          <w:rFonts w:ascii="Calibri" w:hAnsi="Calibri" w:cs="Calibri"/>
        </w:rPr>
        <w:t xml:space="preserve">Udržiavanie vybudovanej GIS infraštruktúry BSK v podobe konzultácie (participácia na vývoji, implementácii a konfigurácii aplikácií) a školenia týkajúce sa funkcionality softvéru a možností jeho výstupov. </w:t>
      </w:r>
      <w:r w:rsidRPr="00121894">
        <w:rPr>
          <w:rFonts w:ascii="Calibri" w:hAnsi="Calibri" w:cs="Calibri"/>
        </w:rPr>
        <w:br/>
      </w:r>
    </w:p>
    <w:p w14:paraId="1CE36CD6" w14:textId="0C635CF6" w:rsidR="00F11B4C" w:rsidRDefault="00F11B4C" w:rsidP="00F11B4C">
      <w:pPr>
        <w:pStyle w:val="Normlnywebov"/>
        <w:spacing w:before="0" w:beforeAutospacing="0" w:after="0" w:afterAutospacing="0"/>
        <w:jc w:val="both"/>
        <w:rPr>
          <w:rFonts w:ascii="Calibri" w:hAnsi="Calibri" w:cs="Calibri"/>
        </w:rPr>
      </w:pPr>
      <w:r w:rsidRPr="00121894">
        <w:rPr>
          <w:rFonts w:ascii="Calibri" w:hAnsi="Calibri" w:cs="Calibri"/>
        </w:rPr>
        <w:t xml:space="preserve">V roku 2025-2027 sa bude pokračovať v manažmente komárov (Celoročný biologický manažment znižovania stavu populácie komárov (letecká aplikácia </w:t>
      </w:r>
      <w:proofErr w:type="spellStart"/>
      <w:r w:rsidRPr="00121894">
        <w:rPr>
          <w:rFonts w:ascii="Calibri" w:hAnsi="Calibri" w:cs="Calibri"/>
        </w:rPr>
        <w:t>Bti</w:t>
      </w:r>
      <w:proofErr w:type="spellEnd"/>
      <w:r w:rsidRPr="00121894">
        <w:rPr>
          <w:rFonts w:ascii="Calibri" w:hAnsi="Calibri" w:cs="Calibri"/>
        </w:rPr>
        <w:t xml:space="preserve"> aj pomocou </w:t>
      </w:r>
      <w:proofErr w:type="spellStart"/>
      <w:r w:rsidRPr="00121894">
        <w:rPr>
          <w:rFonts w:ascii="Calibri" w:hAnsi="Calibri" w:cs="Calibri"/>
        </w:rPr>
        <w:t>dronu</w:t>
      </w:r>
      <w:proofErr w:type="spellEnd"/>
      <w:r w:rsidRPr="00121894">
        <w:rPr>
          <w:rFonts w:ascii="Calibri" w:hAnsi="Calibri" w:cs="Calibri"/>
        </w:rPr>
        <w:t xml:space="preserve">, možnosti založenie združenia s dotknutými obcami, resp. vstup BSK do možného združenia) a zakúpeniu potrebného vybavenia a licencií na GIS prostredie. V rámci už ukončeného </w:t>
      </w:r>
      <w:proofErr w:type="spellStart"/>
      <w:r w:rsidRPr="00121894">
        <w:rPr>
          <w:rFonts w:ascii="Calibri" w:hAnsi="Calibri" w:cs="Calibri"/>
        </w:rPr>
        <w:t>Interreg</w:t>
      </w:r>
      <w:proofErr w:type="spellEnd"/>
      <w:r w:rsidRPr="00121894">
        <w:rPr>
          <w:rFonts w:ascii="Calibri" w:hAnsi="Calibri" w:cs="Calibri"/>
        </w:rPr>
        <w:t xml:space="preserve"> projektu „</w:t>
      </w:r>
      <w:proofErr w:type="spellStart"/>
      <w:r w:rsidRPr="00121894">
        <w:rPr>
          <w:rFonts w:ascii="Calibri" w:hAnsi="Calibri" w:cs="Calibri"/>
        </w:rPr>
        <w:t>Mosquito</w:t>
      </w:r>
      <w:proofErr w:type="spellEnd"/>
      <w:r w:rsidRPr="00121894">
        <w:rPr>
          <w:rFonts w:ascii="Calibri" w:hAnsi="Calibri" w:cs="Calibri"/>
        </w:rPr>
        <w:t xml:space="preserve"> </w:t>
      </w:r>
      <w:proofErr w:type="spellStart"/>
      <w:r w:rsidRPr="00121894">
        <w:rPr>
          <w:rFonts w:ascii="Calibri" w:hAnsi="Calibri" w:cs="Calibri"/>
        </w:rPr>
        <w:t>Bioregulation</w:t>
      </w:r>
      <w:proofErr w:type="spellEnd"/>
      <w:r w:rsidRPr="00121894">
        <w:rPr>
          <w:rFonts w:ascii="Calibri" w:hAnsi="Calibri" w:cs="Calibri"/>
        </w:rPr>
        <w:t>“ je potrebné udržiavanie vybudovanej GIS infraštruktúry v rámci 5 ročnej udržateľnosti projektu.</w:t>
      </w:r>
    </w:p>
    <w:p w14:paraId="483D198D" w14:textId="77777777" w:rsidR="009E7BD4" w:rsidRDefault="009E7BD4" w:rsidP="00F11B4C">
      <w:pPr>
        <w:pStyle w:val="Normlnywebov"/>
        <w:spacing w:before="0" w:beforeAutospacing="0" w:after="0" w:afterAutospacing="0"/>
        <w:jc w:val="both"/>
        <w:rPr>
          <w:rFonts w:ascii="Calibri" w:hAnsi="Calibri" w:cs="Calibri"/>
        </w:rPr>
      </w:pPr>
    </w:p>
    <w:p w14:paraId="5BD31EBD" w14:textId="126F05C5" w:rsidR="00F11B4C" w:rsidRDefault="00F11B4C" w:rsidP="00F11B4C">
      <w:pPr>
        <w:pStyle w:val="Normlnywebov"/>
        <w:spacing w:before="0" w:beforeAutospacing="0" w:after="0" w:afterAutospacing="0"/>
        <w:jc w:val="both"/>
        <w:rPr>
          <w:rFonts w:ascii="Calibri" w:hAnsi="Calibri" w:cs="Calibri"/>
        </w:rPr>
      </w:pPr>
      <w:r w:rsidRPr="00121894">
        <w:rPr>
          <w:rFonts w:ascii="Calibri" w:hAnsi="Calibri" w:cs="Calibri"/>
        </w:rPr>
        <w:t>V rámci inventarizácie drevín v areáloch a zariadeniach BSK je potrebné zabezpečenie technicko-materiálnych pomôcok a technických podkladov slúžiacich k inventarizácii ako napr. geodetické zameranie drevín v areáloch, nákup špeciálnych materiálov a podobne.</w:t>
      </w:r>
    </w:p>
    <w:p w14:paraId="7E502DE0" w14:textId="77777777" w:rsidR="009E7BD4" w:rsidRDefault="009E7BD4" w:rsidP="00F11B4C">
      <w:pPr>
        <w:pStyle w:val="Normlnywebov"/>
        <w:spacing w:before="0" w:beforeAutospacing="0" w:after="0" w:afterAutospacing="0"/>
        <w:jc w:val="both"/>
        <w:rPr>
          <w:rFonts w:ascii="Calibri" w:hAnsi="Calibri" w:cs="Calibri"/>
        </w:rPr>
      </w:pPr>
    </w:p>
    <w:p w14:paraId="4D4F2010" w14:textId="71BA0079" w:rsidR="00F11B4C" w:rsidRPr="00121894" w:rsidRDefault="00F11B4C" w:rsidP="00F11B4C">
      <w:pPr>
        <w:pStyle w:val="Normlnywebov"/>
        <w:spacing w:before="0" w:beforeAutospacing="0" w:after="0" w:afterAutospacing="0"/>
        <w:jc w:val="both"/>
        <w:rPr>
          <w:rFonts w:ascii="Calibri" w:eastAsiaTheme="minorEastAsia" w:hAnsi="Calibri" w:cs="Calibri"/>
        </w:rPr>
      </w:pPr>
      <w:proofErr w:type="spellStart"/>
      <w:r w:rsidRPr="00121894">
        <w:rPr>
          <w:rFonts w:ascii="Calibri" w:hAnsi="Calibri" w:cs="Calibri"/>
        </w:rPr>
        <w:t>Envirovýchova</w:t>
      </w:r>
      <w:proofErr w:type="spellEnd"/>
      <w:r w:rsidRPr="00121894">
        <w:rPr>
          <w:rFonts w:ascii="Calibri" w:hAnsi="Calibri" w:cs="Calibri"/>
        </w:rPr>
        <w:t xml:space="preserve"> </w:t>
      </w:r>
      <w:r w:rsidR="009E7BD4">
        <w:rPr>
          <w:rFonts w:ascii="Calibri" w:hAnsi="Calibri" w:cs="Calibri"/>
        </w:rPr>
        <w:t>reprezentuje k</w:t>
      </w:r>
      <w:r w:rsidRPr="00121894">
        <w:rPr>
          <w:rFonts w:ascii="Calibri" w:hAnsi="Calibri" w:cs="Calibri"/>
        </w:rPr>
        <w:t>oordináci</w:t>
      </w:r>
      <w:r w:rsidR="009E7BD4">
        <w:rPr>
          <w:rFonts w:ascii="Calibri" w:hAnsi="Calibri" w:cs="Calibri"/>
        </w:rPr>
        <w:t>u</w:t>
      </w:r>
      <w:r w:rsidRPr="00121894">
        <w:rPr>
          <w:rFonts w:ascii="Calibri" w:hAnsi="Calibri" w:cs="Calibri"/>
        </w:rPr>
        <w:t xml:space="preserve"> poskytovateľov EVVO na území BSK, zvyšovanie povedomia a vzdelávanie širokej verejnosti, žiakov a študentov v oblasti environmentálnej výchovy, využívania a ochrany lesov formou workshopov, aktivít lesnej pedagogiky). Financie budú slúžiť na nákup materiálov a predmetov spojených s organizáciou konferencií zameraných na </w:t>
      </w:r>
      <w:proofErr w:type="spellStart"/>
      <w:r w:rsidRPr="00121894">
        <w:rPr>
          <w:rFonts w:ascii="Calibri" w:hAnsi="Calibri" w:cs="Calibri"/>
        </w:rPr>
        <w:t>ekovýchovu</w:t>
      </w:r>
      <w:proofErr w:type="spellEnd"/>
      <w:r w:rsidRPr="00121894">
        <w:rPr>
          <w:rFonts w:ascii="Calibri" w:hAnsi="Calibri" w:cs="Calibri"/>
        </w:rPr>
        <w:t>.</w:t>
      </w:r>
    </w:p>
    <w:p w14:paraId="4030141D" w14:textId="77777777" w:rsidR="00671063" w:rsidRDefault="00671063" w:rsidP="00671063">
      <w:pPr>
        <w:spacing w:before="100" w:beforeAutospacing="1" w:after="100" w:afterAutospacing="1" w:line="240" w:lineRule="auto"/>
        <w:jc w:val="both"/>
        <w:outlineLvl w:val="1"/>
        <w:rPr>
          <w:rFonts w:eastAsia="Times New Roman" w:cstheme="minorHAnsi"/>
          <w:b/>
          <w:bCs/>
          <w:color w:val="000080"/>
          <w:sz w:val="36"/>
          <w:szCs w:val="36"/>
          <w:highlight w:val="yellow"/>
          <w:lang w:eastAsia="sk-SK"/>
        </w:rPr>
      </w:pPr>
    </w:p>
    <w:p w14:paraId="78E0BD3B" w14:textId="77777777" w:rsidR="009124C2" w:rsidRPr="009124C2" w:rsidRDefault="009124C2" w:rsidP="009124C2">
      <w:pPr>
        <w:spacing w:before="100" w:beforeAutospacing="1" w:after="100" w:afterAutospacing="1" w:line="240" w:lineRule="auto"/>
        <w:outlineLvl w:val="1"/>
        <w:rPr>
          <w:rFonts w:eastAsia="Times New Roman" w:cstheme="minorHAnsi"/>
          <w:b/>
          <w:bCs/>
          <w:sz w:val="36"/>
          <w:szCs w:val="36"/>
          <w:lang w:eastAsia="sk-SK"/>
        </w:rPr>
      </w:pPr>
      <w:r w:rsidRPr="00D95A2B">
        <w:rPr>
          <w:rFonts w:eastAsia="Times New Roman" w:cstheme="minorHAnsi"/>
          <w:b/>
          <w:bCs/>
          <w:color w:val="000080"/>
          <w:sz w:val="36"/>
          <w:szCs w:val="36"/>
          <w:lang w:eastAsia="sk-SK"/>
        </w:rPr>
        <w:t>Program 6: Komunikácie</w:t>
      </w:r>
      <w:r w:rsidRPr="009124C2">
        <w:rPr>
          <w:rFonts w:eastAsia="Times New Roman" w:cstheme="minorHAnsi"/>
          <w:b/>
          <w:bCs/>
          <w:sz w:val="36"/>
          <w:szCs w:val="36"/>
          <w:lang w:eastAsia="sk-SK"/>
        </w:rPr>
        <w:t xml:space="preserve"> </w:t>
      </w:r>
    </w:p>
    <w:p w14:paraId="4FE9E3DF" w14:textId="4007AC0A" w:rsidR="007C089A" w:rsidRDefault="009124C2" w:rsidP="009124C2">
      <w:pPr>
        <w:spacing w:before="100" w:beforeAutospacing="1" w:after="100" w:afterAutospacing="1" w:line="240" w:lineRule="auto"/>
        <w:rPr>
          <w:rFonts w:eastAsiaTheme="minorEastAsia" w:cstheme="minorHAnsi"/>
          <w:sz w:val="24"/>
          <w:szCs w:val="24"/>
          <w:lang w:eastAsia="sk-SK"/>
        </w:rPr>
      </w:pPr>
      <w:r w:rsidRPr="009124C2">
        <w:rPr>
          <w:rFonts w:eastAsiaTheme="minorEastAsia" w:cstheme="minorHAnsi"/>
          <w:b/>
          <w:bCs/>
          <w:sz w:val="24"/>
          <w:szCs w:val="24"/>
          <w:lang w:eastAsia="sk-SK"/>
        </w:rPr>
        <w:t xml:space="preserve">Zámer: </w:t>
      </w:r>
      <w:r w:rsidRPr="009124C2">
        <w:rPr>
          <w:rFonts w:eastAsiaTheme="minorEastAsia" w:cstheme="minorHAnsi"/>
          <w:sz w:val="24"/>
          <w:szCs w:val="24"/>
          <w:lang w:eastAsia="sk-SK"/>
        </w:rPr>
        <w:t>Zabezpečenie zjazdnosti a stabilizovanie technického stavu ciest</w:t>
      </w:r>
    </w:p>
    <w:tbl>
      <w:tblPr>
        <w:tblpPr w:leftFromText="141" w:rightFromText="141" w:vertAnchor="text" w:tblpXSpec="right" w:tblpY="1"/>
        <w:tblOverlap w:val="never"/>
        <w:tblW w:w="5023"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6"/>
        <w:gridCol w:w="1571"/>
        <w:gridCol w:w="490"/>
        <w:gridCol w:w="1246"/>
        <w:gridCol w:w="555"/>
        <w:gridCol w:w="843"/>
        <w:gridCol w:w="548"/>
        <w:gridCol w:w="844"/>
        <w:gridCol w:w="844"/>
        <w:gridCol w:w="649"/>
        <w:gridCol w:w="844"/>
        <w:gridCol w:w="844"/>
        <w:gridCol w:w="664"/>
      </w:tblGrid>
      <w:tr w:rsidR="00391223" w:rsidRPr="00476EE8" w14:paraId="285C8215" w14:textId="77777777" w:rsidTr="00D416E5">
        <w:trPr>
          <w:trHeight w:val="287"/>
          <w:tblCellSpacing w:w="15" w:type="dxa"/>
        </w:trPr>
        <w:tc>
          <w:tcPr>
            <w:tcW w:w="4971" w:type="pct"/>
            <w:gridSpan w:val="13"/>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A6B1048" w14:textId="77777777" w:rsidR="00391223" w:rsidRPr="00476EE8" w:rsidRDefault="00391223" w:rsidP="00D416E5">
            <w:pPr>
              <w:spacing w:after="0" w:line="240" w:lineRule="auto"/>
              <w:jc w:val="center"/>
              <w:rPr>
                <w:rFonts w:eastAsia="Times New Roman" w:cstheme="minorHAnsi"/>
                <w:sz w:val="24"/>
                <w:szCs w:val="24"/>
                <w:lang w:eastAsia="sk-SK"/>
              </w:rPr>
            </w:pPr>
            <w:r w:rsidRPr="00476EE8">
              <w:rPr>
                <w:rFonts w:eastAsia="Times New Roman" w:cstheme="minorHAnsi"/>
                <w:b/>
                <w:bCs/>
                <w:i/>
                <w:iCs/>
                <w:sz w:val="24"/>
                <w:szCs w:val="24"/>
                <w:lang w:eastAsia="sk-SK"/>
              </w:rPr>
              <w:t>Rozpočet v EUR</w:t>
            </w:r>
          </w:p>
        </w:tc>
      </w:tr>
      <w:tr w:rsidR="00391223" w:rsidRPr="00476EE8" w14:paraId="69D6F580" w14:textId="77777777" w:rsidTr="00D416E5">
        <w:trPr>
          <w:trHeight w:val="237"/>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FF736FE" w14:textId="77777777" w:rsidR="00391223" w:rsidRPr="00476EE8" w:rsidRDefault="00391223" w:rsidP="00D416E5">
            <w:pPr>
              <w:spacing w:after="0" w:line="240" w:lineRule="auto"/>
              <w:rPr>
                <w:rFonts w:eastAsia="Times New Roman" w:cstheme="minorHAnsi"/>
                <w:sz w:val="24"/>
                <w:szCs w:val="24"/>
                <w:lang w:eastAsia="sk-SK"/>
              </w:rPr>
            </w:pPr>
            <w:r w:rsidRPr="00476EE8">
              <w:rPr>
                <w:rFonts w:eastAsia="Times New Roman" w:cstheme="minorHAnsi"/>
                <w:b/>
                <w:bCs/>
                <w:sz w:val="20"/>
                <w:szCs w:val="20"/>
                <w:lang w:eastAsia="sk-SK"/>
              </w:rPr>
              <w:t>EK</w:t>
            </w:r>
          </w:p>
        </w:tc>
        <w:tc>
          <w:tcPr>
            <w:tcW w:w="969" w:type="pct"/>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05A688" w14:textId="77777777" w:rsidR="00391223" w:rsidRPr="00476EE8" w:rsidRDefault="00391223" w:rsidP="00D416E5">
            <w:pPr>
              <w:spacing w:after="0" w:line="240" w:lineRule="auto"/>
              <w:rPr>
                <w:rFonts w:eastAsia="Times New Roman" w:cstheme="minorHAnsi"/>
                <w:sz w:val="24"/>
                <w:szCs w:val="24"/>
                <w:lang w:eastAsia="sk-SK"/>
              </w:rPr>
            </w:pPr>
            <w:r w:rsidRPr="00476EE8">
              <w:rPr>
                <w:rFonts w:eastAsia="Times New Roman" w:cstheme="minorHAnsi"/>
                <w:b/>
                <w:bCs/>
                <w:sz w:val="20"/>
                <w:szCs w:val="20"/>
                <w:lang w:eastAsia="sk-SK"/>
              </w:rPr>
              <w:t>Ekonomická klasifikácia</w:t>
            </w:r>
          </w:p>
        </w:tc>
        <w:tc>
          <w:tcPr>
            <w:tcW w:w="57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D29DC6" w14:textId="77777777" w:rsidR="00391223" w:rsidRPr="00476EE8" w:rsidRDefault="00391223" w:rsidP="00D416E5">
            <w:pPr>
              <w:spacing w:after="0" w:line="240" w:lineRule="auto"/>
              <w:jc w:val="center"/>
              <w:rPr>
                <w:rFonts w:eastAsia="Times New Roman" w:cstheme="minorHAnsi"/>
                <w:sz w:val="24"/>
                <w:szCs w:val="24"/>
                <w:lang w:eastAsia="sk-SK"/>
              </w:rPr>
            </w:pPr>
            <w:r w:rsidRPr="00476EE8">
              <w:rPr>
                <w:rFonts w:eastAsia="Times New Roman" w:cstheme="minorHAnsi"/>
                <w:b/>
                <w:bCs/>
                <w:sz w:val="20"/>
                <w:szCs w:val="20"/>
                <w:lang w:eastAsia="sk-SK"/>
              </w:rPr>
              <w:t>202</w:t>
            </w:r>
            <w:r>
              <w:rPr>
                <w:rFonts w:eastAsia="Times New Roman" w:cstheme="minorHAnsi"/>
                <w:b/>
                <w:bCs/>
                <w:sz w:val="20"/>
                <w:szCs w:val="20"/>
                <w:lang w:eastAsia="sk-SK"/>
              </w:rPr>
              <w:t>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BFBA420" w14:textId="77777777" w:rsidR="00391223" w:rsidRPr="00476EE8" w:rsidRDefault="00391223" w:rsidP="00D416E5">
            <w:pPr>
              <w:spacing w:after="0" w:line="240" w:lineRule="auto"/>
              <w:jc w:val="center"/>
              <w:rPr>
                <w:rFonts w:eastAsia="Times New Roman" w:cstheme="minorHAnsi"/>
                <w:sz w:val="24"/>
                <w:szCs w:val="24"/>
                <w:lang w:eastAsia="sk-SK"/>
              </w:rPr>
            </w:pPr>
            <w:r w:rsidRPr="00476EE8">
              <w:rPr>
                <w:rFonts w:eastAsia="Times New Roman" w:cstheme="minorHAnsi"/>
                <w:b/>
                <w:bCs/>
                <w:sz w:val="20"/>
                <w:szCs w:val="20"/>
                <w:lang w:eastAsia="sk-SK"/>
              </w:rPr>
              <w:t>202</w:t>
            </w:r>
            <w:r>
              <w:rPr>
                <w:rFonts w:eastAsia="Times New Roman" w:cstheme="minorHAnsi"/>
                <w:b/>
                <w:bCs/>
                <w:sz w:val="20"/>
                <w:szCs w:val="20"/>
                <w:lang w:eastAsia="sk-SK"/>
              </w:rPr>
              <w:t>5</w:t>
            </w:r>
          </w:p>
        </w:tc>
        <w:tc>
          <w:tcPr>
            <w:tcW w:w="247"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D42861" w14:textId="77777777" w:rsidR="00391223" w:rsidRPr="00476EE8" w:rsidRDefault="00391223" w:rsidP="00D416E5">
            <w:pPr>
              <w:spacing w:after="0" w:line="240" w:lineRule="auto"/>
              <w:jc w:val="center"/>
              <w:rPr>
                <w:rFonts w:eastAsia="Times New Roman" w:cstheme="minorHAnsi"/>
                <w:sz w:val="24"/>
                <w:szCs w:val="24"/>
                <w:lang w:eastAsia="sk-SK"/>
              </w:rPr>
            </w:pPr>
            <w:r w:rsidRPr="00476EE8">
              <w:rPr>
                <w:rFonts w:eastAsia="Times New Roman" w:cstheme="minorHAnsi"/>
                <w:b/>
                <w:bCs/>
                <w:sz w:val="20"/>
                <w:szCs w:val="20"/>
                <w:lang w:eastAsia="sk-SK"/>
              </w:rPr>
              <w:t>%</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91DF964" w14:textId="77777777" w:rsidR="00391223" w:rsidRPr="00476EE8" w:rsidRDefault="00391223" w:rsidP="00D416E5">
            <w:pPr>
              <w:spacing w:after="0" w:line="240" w:lineRule="auto"/>
              <w:jc w:val="center"/>
              <w:rPr>
                <w:rFonts w:eastAsia="Times New Roman" w:cstheme="minorHAnsi"/>
                <w:sz w:val="24"/>
                <w:szCs w:val="24"/>
                <w:lang w:eastAsia="sk-SK"/>
              </w:rPr>
            </w:pPr>
            <w:r w:rsidRPr="00476EE8">
              <w:rPr>
                <w:rFonts w:eastAsia="Times New Roman" w:cstheme="minorHAnsi"/>
                <w:b/>
                <w:bCs/>
                <w:sz w:val="20"/>
                <w:szCs w:val="20"/>
                <w:lang w:eastAsia="sk-SK"/>
              </w:rPr>
              <w:t>202</w:t>
            </w:r>
            <w:r>
              <w:rPr>
                <w:rFonts w:eastAsia="Times New Roman" w:cstheme="minorHAnsi"/>
                <w:b/>
                <w:bCs/>
                <w:sz w:val="20"/>
                <w:szCs w:val="20"/>
                <w:lang w:eastAsia="sk-SK"/>
              </w:rPr>
              <w:t>6</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F5373D" w14:textId="77777777" w:rsidR="00391223" w:rsidRPr="00476EE8" w:rsidRDefault="00391223" w:rsidP="00D416E5">
            <w:pPr>
              <w:spacing w:after="0" w:line="240" w:lineRule="auto"/>
              <w:jc w:val="center"/>
              <w:rPr>
                <w:rFonts w:eastAsia="Times New Roman" w:cstheme="minorHAnsi"/>
                <w:sz w:val="24"/>
                <w:szCs w:val="24"/>
                <w:lang w:eastAsia="sk-SK"/>
              </w:rPr>
            </w:pPr>
            <w:r w:rsidRPr="00476EE8">
              <w:rPr>
                <w:rFonts w:eastAsia="Times New Roman" w:cstheme="minorHAnsi"/>
                <w:b/>
                <w:bCs/>
                <w:sz w:val="20"/>
                <w:szCs w:val="20"/>
                <w:lang w:eastAsia="sk-SK"/>
              </w:rPr>
              <w:t>%</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54E4B2" w14:textId="77777777" w:rsidR="00391223" w:rsidRPr="00476EE8" w:rsidRDefault="00391223" w:rsidP="00D416E5">
            <w:pPr>
              <w:spacing w:after="0" w:line="240" w:lineRule="auto"/>
              <w:jc w:val="center"/>
              <w:rPr>
                <w:rFonts w:eastAsia="Times New Roman" w:cstheme="minorHAnsi"/>
                <w:sz w:val="24"/>
                <w:szCs w:val="24"/>
                <w:lang w:eastAsia="sk-SK"/>
              </w:rPr>
            </w:pPr>
            <w:r w:rsidRPr="00476EE8">
              <w:rPr>
                <w:rFonts w:eastAsia="Times New Roman" w:cstheme="minorHAnsi"/>
                <w:b/>
                <w:bCs/>
                <w:sz w:val="20"/>
                <w:szCs w:val="20"/>
                <w:lang w:eastAsia="sk-SK"/>
              </w:rPr>
              <w:t>202</w:t>
            </w:r>
            <w:r>
              <w:rPr>
                <w:rFonts w:eastAsia="Times New Roman" w:cstheme="minorHAnsi"/>
                <w:b/>
                <w:bCs/>
                <w:sz w:val="20"/>
                <w:szCs w:val="20"/>
                <w:lang w:eastAsia="sk-SK"/>
              </w:rPr>
              <w:t>7</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AD649B8" w14:textId="77777777" w:rsidR="00391223" w:rsidRPr="00476EE8" w:rsidRDefault="00391223" w:rsidP="00D416E5">
            <w:pPr>
              <w:spacing w:after="0" w:line="240" w:lineRule="auto"/>
              <w:jc w:val="center"/>
              <w:rPr>
                <w:rFonts w:eastAsia="Times New Roman" w:cstheme="minorHAnsi"/>
                <w:sz w:val="24"/>
                <w:szCs w:val="24"/>
                <w:lang w:eastAsia="sk-SK"/>
              </w:rPr>
            </w:pPr>
            <w:r w:rsidRPr="00476EE8">
              <w:rPr>
                <w:rFonts w:eastAsia="Times New Roman" w:cstheme="minorHAnsi"/>
                <w:b/>
                <w:bCs/>
                <w:sz w:val="20"/>
                <w:szCs w:val="20"/>
                <w:lang w:eastAsia="sk-SK"/>
              </w:rPr>
              <w:t>%</w:t>
            </w:r>
          </w:p>
        </w:tc>
      </w:tr>
      <w:tr w:rsidR="00391223" w:rsidRPr="00476EE8" w14:paraId="35584401" w14:textId="77777777" w:rsidTr="00D416E5">
        <w:trPr>
          <w:trHeight w:val="224"/>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9531A6" w14:textId="77777777" w:rsidR="00391223" w:rsidRPr="00476EE8" w:rsidRDefault="00391223" w:rsidP="00D416E5">
            <w:pPr>
              <w:spacing w:after="0" w:line="240" w:lineRule="auto"/>
              <w:jc w:val="center"/>
              <w:rPr>
                <w:rFonts w:eastAsia="Times New Roman" w:cstheme="minorHAnsi"/>
                <w:sz w:val="24"/>
                <w:szCs w:val="24"/>
                <w:lang w:eastAsia="sk-SK"/>
              </w:rPr>
            </w:pPr>
          </w:p>
        </w:tc>
        <w:tc>
          <w:tcPr>
            <w:tcW w:w="969" w:type="pct"/>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9E9AB3" w14:textId="77777777" w:rsidR="00391223" w:rsidRPr="00476EE8" w:rsidRDefault="00391223" w:rsidP="00D416E5">
            <w:pPr>
              <w:spacing w:after="0" w:line="240" w:lineRule="auto"/>
              <w:rPr>
                <w:rFonts w:eastAsia="Times New Roman" w:cstheme="minorHAnsi"/>
                <w:sz w:val="24"/>
                <w:szCs w:val="24"/>
                <w:lang w:eastAsia="sk-SK"/>
              </w:rPr>
            </w:pPr>
            <w:r w:rsidRPr="00476EE8">
              <w:rPr>
                <w:rFonts w:eastAsia="Times New Roman" w:cstheme="minorHAnsi"/>
                <w:b/>
                <w:bCs/>
                <w:sz w:val="20"/>
                <w:szCs w:val="20"/>
                <w:lang w:eastAsia="sk-SK"/>
              </w:rPr>
              <w:t>Výdavky celkom</w:t>
            </w:r>
            <w:r w:rsidRPr="00476EE8">
              <w:rPr>
                <w:rFonts w:eastAsia="Times New Roman" w:cstheme="minorHAnsi"/>
                <w:sz w:val="24"/>
                <w:szCs w:val="24"/>
                <w:lang w:eastAsia="sk-SK"/>
              </w:rPr>
              <w:t xml:space="preserve"> </w:t>
            </w:r>
          </w:p>
        </w:tc>
        <w:tc>
          <w:tcPr>
            <w:tcW w:w="57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A1A65B"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b/>
                <w:bCs/>
                <w:sz w:val="20"/>
                <w:szCs w:val="20"/>
                <w:lang w:eastAsia="sk-SK"/>
              </w:rPr>
              <w:t>47 500</w:t>
            </w:r>
            <w:r w:rsidRPr="00476EE8">
              <w:rPr>
                <w:rFonts w:eastAsia="Times New Roman" w:cstheme="minorHAnsi"/>
                <w:b/>
                <w:bCs/>
                <w:sz w:val="20"/>
                <w:szCs w:val="20"/>
                <w:lang w:eastAsia="sk-SK"/>
              </w:rPr>
              <w:t xml:space="preserve"> 000,00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77EF63"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b/>
                <w:bCs/>
                <w:sz w:val="20"/>
                <w:szCs w:val="20"/>
                <w:lang w:eastAsia="sk-SK"/>
              </w:rPr>
              <w:t>33 283 301</w:t>
            </w:r>
            <w:r w:rsidRPr="00476EE8">
              <w:rPr>
                <w:rFonts w:eastAsia="Times New Roman" w:cstheme="minorHAnsi"/>
                <w:b/>
                <w:bCs/>
                <w:sz w:val="20"/>
                <w:szCs w:val="20"/>
                <w:lang w:eastAsia="sk-SK"/>
              </w:rPr>
              <w:t>,</w:t>
            </w:r>
            <w:r>
              <w:rPr>
                <w:rFonts w:eastAsia="Times New Roman" w:cstheme="minorHAnsi"/>
                <w:b/>
                <w:bCs/>
                <w:sz w:val="20"/>
                <w:szCs w:val="20"/>
                <w:lang w:eastAsia="sk-SK"/>
              </w:rPr>
              <w:t>84</w:t>
            </w:r>
            <w:r w:rsidRPr="00476EE8">
              <w:rPr>
                <w:rFonts w:eastAsia="Times New Roman" w:cstheme="minorHAnsi"/>
                <w:sz w:val="24"/>
                <w:szCs w:val="24"/>
                <w:lang w:eastAsia="sk-SK"/>
              </w:rPr>
              <w:t xml:space="preserve"> </w:t>
            </w:r>
          </w:p>
        </w:tc>
        <w:tc>
          <w:tcPr>
            <w:tcW w:w="24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278C3E" w14:textId="77777777" w:rsidR="00391223" w:rsidRPr="00166A44" w:rsidRDefault="00391223" w:rsidP="00D416E5">
            <w:pPr>
              <w:spacing w:after="0" w:line="240" w:lineRule="auto"/>
              <w:jc w:val="right"/>
              <w:rPr>
                <w:rFonts w:eastAsia="Times New Roman" w:cstheme="minorHAnsi"/>
                <w:b/>
                <w:bCs/>
                <w:sz w:val="20"/>
                <w:szCs w:val="20"/>
                <w:lang w:eastAsia="sk-SK"/>
              </w:rPr>
            </w:pPr>
            <w:r w:rsidRPr="00166A44">
              <w:rPr>
                <w:rFonts w:eastAsia="Times New Roman" w:cstheme="minorHAnsi"/>
                <w:b/>
                <w:bCs/>
                <w:sz w:val="20"/>
                <w:szCs w:val="20"/>
                <w:lang w:eastAsia="sk-SK"/>
              </w:rPr>
              <w:t>70,07</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3C1A37"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b/>
                <w:bCs/>
                <w:sz w:val="20"/>
                <w:szCs w:val="20"/>
                <w:lang w:eastAsia="sk-SK"/>
              </w:rPr>
              <w:t>17</w:t>
            </w:r>
            <w:r w:rsidRPr="00476EE8">
              <w:rPr>
                <w:rFonts w:eastAsia="Times New Roman" w:cstheme="minorHAnsi"/>
                <w:b/>
                <w:bCs/>
                <w:sz w:val="20"/>
                <w:szCs w:val="20"/>
                <w:lang w:eastAsia="sk-SK"/>
              </w:rPr>
              <w:t xml:space="preserve"> </w:t>
            </w:r>
            <w:r>
              <w:rPr>
                <w:rFonts w:eastAsia="Times New Roman" w:cstheme="minorHAnsi"/>
                <w:b/>
                <w:bCs/>
                <w:sz w:val="20"/>
                <w:szCs w:val="20"/>
                <w:lang w:eastAsia="sk-SK"/>
              </w:rPr>
              <w:t>300</w:t>
            </w:r>
            <w:r w:rsidRPr="00476EE8">
              <w:rPr>
                <w:rFonts w:eastAsia="Times New Roman" w:cstheme="minorHAnsi"/>
                <w:b/>
                <w:bCs/>
                <w:sz w:val="20"/>
                <w:szCs w:val="20"/>
                <w:lang w:eastAsia="sk-SK"/>
              </w:rPr>
              <w:t xml:space="preserve"> </w:t>
            </w:r>
            <w:r>
              <w:rPr>
                <w:rFonts w:eastAsia="Times New Roman" w:cstheme="minorHAnsi"/>
                <w:b/>
                <w:bCs/>
                <w:sz w:val="20"/>
                <w:szCs w:val="20"/>
                <w:lang w:eastAsia="sk-SK"/>
              </w:rPr>
              <w:t>0</w:t>
            </w:r>
            <w:r w:rsidRPr="00476EE8">
              <w:rPr>
                <w:rFonts w:eastAsia="Times New Roman" w:cstheme="minorHAnsi"/>
                <w:b/>
                <w:bCs/>
                <w:sz w:val="20"/>
                <w:szCs w:val="20"/>
                <w:lang w:eastAsia="sk-SK"/>
              </w:rPr>
              <w:t>00,00</w:t>
            </w:r>
            <w:r w:rsidRPr="00476EE8">
              <w:rPr>
                <w:rFonts w:eastAsia="Times New Roman" w:cstheme="minorHAns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C674D7"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b/>
                <w:bCs/>
                <w:sz w:val="20"/>
                <w:szCs w:val="20"/>
                <w:lang w:eastAsia="sk-SK"/>
              </w:rPr>
              <w:t>51,98</w:t>
            </w:r>
            <w:r w:rsidRPr="00476EE8">
              <w:rPr>
                <w:rFonts w:eastAsia="Times New Roman" w:cstheme="minorHAns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7D332B"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b/>
                <w:bCs/>
                <w:sz w:val="20"/>
                <w:szCs w:val="20"/>
                <w:lang w:eastAsia="sk-SK"/>
              </w:rPr>
              <w:t>18</w:t>
            </w:r>
            <w:r w:rsidRPr="00476EE8">
              <w:rPr>
                <w:rFonts w:eastAsia="Times New Roman" w:cstheme="minorHAnsi"/>
                <w:b/>
                <w:bCs/>
                <w:sz w:val="20"/>
                <w:szCs w:val="20"/>
                <w:lang w:eastAsia="sk-SK"/>
              </w:rPr>
              <w:t xml:space="preserve"> </w:t>
            </w:r>
            <w:r>
              <w:rPr>
                <w:rFonts w:eastAsia="Times New Roman" w:cstheme="minorHAnsi"/>
                <w:b/>
                <w:bCs/>
                <w:sz w:val="20"/>
                <w:szCs w:val="20"/>
                <w:lang w:eastAsia="sk-SK"/>
              </w:rPr>
              <w:t>800</w:t>
            </w:r>
            <w:r w:rsidRPr="00476EE8">
              <w:rPr>
                <w:rFonts w:eastAsia="Times New Roman" w:cstheme="minorHAnsi"/>
                <w:b/>
                <w:bCs/>
                <w:sz w:val="20"/>
                <w:szCs w:val="20"/>
                <w:lang w:eastAsia="sk-SK"/>
              </w:rPr>
              <w:t xml:space="preserve"> </w:t>
            </w:r>
            <w:r>
              <w:rPr>
                <w:rFonts w:eastAsia="Times New Roman" w:cstheme="minorHAnsi"/>
                <w:b/>
                <w:bCs/>
                <w:sz w:val="20"/>
                <w:szCs w:val="20"/>
                <w:lang w:eastAsia="sk-SK"/>
              </w:rPr>
              <w:t>0</w:t>
            </w:r>
            <w:r w:rsidRPr="00476EE8">
              <w:rPr>
                <w:rFonts w:eastAsia="Times New Roman" w:cstheme="minorHAnsi"/>
                <w:b/>
                <w:bCs/>
                <w:sz w:val="20"/>
                <w:szCs w:val="20"/>
                <w:lang w:eastAsia="sk-SK"/>
              </w:rPr>
              <w:t>00,00</w:t>
            </w:r>
            <w:r w:rsidRPr="00476EE8">
              <w:rPr>
                <w:rFonts w:eastAsia="Times New Roman" w:cstheme="minorHAns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20FB5F"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b/>
                <w:bCs/>
                <w:sz w:val="20"/>
                <w:szCs w:val="20"/>
                <w:lang w:eastAsia="sk-SK"/>
              </w:rPr>
              <w:t>108,67</w:t>
            </w:r>
            <w:r w:rsidRPr="00476EE8">
              <w:rPr>
                <w:rFonts w:eastAsia="Times New Roman" w:cstheme="minorHAnsi"/>
                <w:sz w:val="24"/>
                <w:szCs w:val="24"/>
                <w:lang w:eastAsia="sk-SK"/>
              </w:rPr>
              <w:t xml:space="preserve"> </w:t>
            </w:r>
          </w:p>
        </w:tc>
      </w:tr>
      <w:tr w:rsidR="00391223" w:rsidRPr="00476EE8" w14:paraId="09B6AA01" w14:textId="77777777" w:rsidTr="00D416E5">
        <w:trPr>
          <w:trHeight w:val="237"/>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635A1B3" w14:textId="77777777" w:rsidR="00391223" w:rsidRPr="00476EE8" w:rsidRDefault="00391223" w:rsidP="00D416E5">
            <w:pPr>
              <w:spacing w:after="0" w:line="240" w:lineRule="auto"/>
              <w:rPr>
                <w:rFonts w:eastAsia="Times New Roman" w:cstheme="minorHAnsi"/>
                <w:sz w:val="24"/>
                <w:szCs w:val="24"/>
                <w:lang w:eastAsia="sk-SK"/>
              </w:rPr>
            </w:pPr>
            <w:r w:rsidRPr="00476EE8">
              <w:rPr>
                <w:rFonts w:eastAsia="Times New Roman" w:cstheme="minorHAnsi"/>
                <w:b/>
                <w:bCs/>
                <w:sz w:val="20"/>
                <w:szCs w:val="20"/>
                <w:lang w:eastAsia="sk-SK"/>
              </w:rPr>
              <w:t>600</w:t>
            </w:r>
            <w:r w:rsidRPr="00476EE8">
              <w:rPr>
                <w:rFonts w:eastAsia="Times New Roman" w:cstheme="minorHAnsi"/>
                <w:sz w:val="24"/>
                <w:szCs w:val="24"/>
                <w:lang w:eastAsia="sk-SK"/>
              </w:rPr>
              <w:t xml:space="preserve"> </w:t>
            </w:r>
          </w:p>
        </w:tc>
        <w:tc>
          <w:tcPr>
            <w:tcW w:w="969" w:type="pct"/>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890082" w14:textId="77777777" w:rsidR="00391223" w:rsidRPr="00476EE8" w:rsidRDefault="00391223" w:rsidP="00D416E5">
            <w:pPr>
              <w:spacing w:after="0" w:line="240" w:lineRule="auto"/>
              <w:rPr>
                <w:rFonts w:eastAsia="Times New Roman" w:cstheme="minorHAnsi"/>
                <w:sz w:val="24"/>
                <w:szCs w:val="24"/>
                <w:lang w:eastAsia="sk-SK"/>
              </w:rPr>
            </w:pPr>
            <w:r w:rsidRPr="00476EE8">
              <w:rPr>
                <w:rFonts w:eastAsia="Times New Roman" w:cstheme="minorHAnsi"/>
                <w:b/>
                <w:bCs/>
                <w:sz w:val="20"/>
                <w:szCs w:val="20"/>
                <w:lang w:eastAsia="sk-SK"/>
              </w:rPr>
              <w:t>Bežné výdavky</w:t>
            </w:r>
            <w:r w:rsidRPr="00476EE8">
              <w:rPr>
                <w:rFonts w:eastAsia="Times New Roman" w:cstheme="minorHAnsi"/>
                <w:sz w:val="24"/>
                <w:szCs w:val="24"/>
                <w:lang w:eastAsia="sk-SK"/>
              </w:rPr>
              <w:t xml:space="preserve"> </w:t>
            </w:r>
          </w:p>
        </w:tc>
        <w:tc>
          <w:tcPr>
            <w:tcW w:w="57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E542B4" w14:textId="77777777" w:rsidR="00391223" w:rsidRPr="00476EE8" w:rsidRDefault="00391223" w:rsidP="00D416E5">
            <w:pPr>
              <w:spacing w:after="0" w:line="240" w:lineRule="auto"/>
              <w:jc w:val="right"/>
              <w:rPr>
                <w:rFonts w:eastAsia="Times New Roman" w:cstheme="minorHAnsi"/>
                <w:sz w:val="24"/>
                <w:szCs w:val="24"/>
                <w:lang w:eastAsia="sk-SK"/>
              </w:rPr>
            </w:pPr>
            <w:r w:rsidRPr="00AA62CE">
              <w:rPr>
                <w:rFonts w:eastAsia="Times New Roman" w:cstheme="minorHAnsi"/>
                <w:b/>
                <w:bCs/>
                <w:sz w:val="20"/>
                <w:szCs w:val="20"/>
                <w:lang w:eastAsia="sk-SK"/>
              </w:rPr>
              <w:t>7 700 000,00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3CFE89" w14:textId="77777777" w:rsidR="00391223" w:rsidRPr="00166A44" w:rsidRDefault="00391223" w:rsidP="00D416E5">
            <w:pPr>
              <w:spacing w:after="0" w:line="240" w:lineRule="auto"/>
              <w:jc w:val="right"/>
              <w:rPr>
                <w:rFonts w:eastAsia="Times New Roman" w:cstheme="minorHAnsi"/>
                <w:b/>
                <w:bCs/>
                <w:sz w:val="24"/>
                <w:szCs w:val="24"/>
                <w:lang w:eastAsia="sk-SK"/>
              </w:rPr>
            </w:pPr>
            <w:r w:rsidRPr="00166A44">
              <w:rPr>
                <w:rFonts w:eastAsia="Times New Roman" w:cstheme="minorHAnsi"/>
                <w:b/>
                <w:bCs/>
                <w:sz w:val="20"/>
                <w:szCs w:val="20"/>
                <w:lang w:eastAsia="sk-SK"/>
              </w:rPr>
              <w:t>7 000 000,00</w:t>
            </w:r>
          </w:p>
        </w:tc>
        <w:tc>
          <w:tcPr>
            <w:tcW w:w="24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FD8D15" w14:textId="77777777" w:rsidR="00391223" w:rsidRPr="00166A44" w:rsidRDefault="00391223" w:rsidP="00D416E5">
            <w:pPr>
              <w:spacing w:after="0" w:line="240" w:lineRule="auto"/>
              <w:jc w:val="right"/>
              <w:rPr>
                <w:rFonts w:eastAsia="Times New Roman" w:cstheme="minorHAnsi"/>
                <w:b/>
                <w:bCs/>
                <w:sz w:val="18"/>
                <w:szCs w:val="18"/>
                <w:lang w:eastAsia="sk-SK"/>
              </w:rPr>
            </w:pPr>
            <w:r w:rsidRPr="00166A44">
              <w:rPr>
                <w:rFonts w:eastAsia="Times New Roman" w:cstheme="minorHAnsi"/>
                <w:b/>
                <w:bCs/>
                <w:sz w:val="18"/>
                <w:szCs w:val="18"/>
                <w:lang w:eastAsia="sk-SK"/>
              </w:rPr>
              <w:t>90,91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1A4B21" w14:textId="77777777" w:rsidR="00391223" w:rsidRPr="00166A44" w:rsidRDefault="00391223" w:rsidP="00D416E5">
            <w:pPr>
              <w:spacing w:after="0" w:line="240" w:lineRule="auto"/>
              <w:jc w:val="right"/>
              <w:rPr>
                <w:rFonts w:eastAsia="Times New Roman" w:cstheme="minorHAnsi"/>
                <w:b/>
                <w:bCs/>
                <w:sz w:val="24"/>
                <w:szCs w:val="24"/>
                <w:lang w:eastAsia="sk-SK"/>
              </w:rPr>
            </w:pPr>
            <w:r w:rsidRPr="00166A44">
              <w:rPr>
                <w:rFonts w:eastAsia="Times New Roman" w:cstheme="minorHAnsi"/>
                <w:b/>
                <w:bCs/>
                <w:sz w:val="20"/>
                <w:szCs w:val="20"/>
                <w:lang w:eastAsia="sk-SK"/>
              </w:rPr>
              <w:t>7 300 000,00</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C0FC24" w14:textId="77777777" w:rsidR="00391223" w:rsidRPr="00AA62CE" w:rsidRDefault="00391223" w:rsidP="00D416E5">
            <w:pPr>
              <w:spacing w:after="0" w:line="240" w:lineRule="auto"/>
              <w:jc w:val="right"/>
              <w:rPr>
                <w:rFonts w:eastAsia="Times New Roman" w:cstheme="minorHAnsi"/>
                <w:b/>
                <w:bCs/>
                <w:sz w:val="24"/>
                <w:szCs w:val="24"/>
                <w:lang w:eastAsia="sk-SK"/>
              </w:rPr>
            </w:pPr>
            <w:r>
              <w:rPr>
                <w:rFonts w:eastAsia="Times New Roman" w:cstheme="minorHAnsi"/>
                <w:b/>
                <w:bCs/>
                <w:sz w:val="20"/>
                <w:szCs w:val="20"/>
                <w:lang w:eastAsia="sk-SK"/>
              </w:rPr>
              <w:t>104,29</w:t>
            </w:r>
            <w:r w:rsidRPr="00AA62CE">
              <w:rPr>
                <w:rFonts w:eastAsia="Times New Roman" w:cstheme="minorHAnsi"/>
                <w:b/>
                <w:bCs/>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795D209" w14:textId="77777777" w:rsidR="00391223" w:rsidRPr="00AA62CE" w:rsidRDefault="00391223" w:rsidP="00D416E5">
            <w:pPr>
              <w:spacing w:after="0" w:line="240" w:lineRule="auto"/>
              <w:jc w:val="right"/>
              <w:rPr>
                <w:rFonts w:eastAsia="Times New Roman" w:cstheme="minorHAnsi"/>
                <w:b/>
                <w:bCs/>
                <w:sz w:val="24"/>
                <w:szCs w:val="24"/>
                <w:lang w:eastAsia="sk-SK"/>
              </w:rPr>
            </w:pPr>
            <w:r>
              <w:rPr>
                <w:rFonts w:eastAsia="Times New Roman" w:cstheme="minorHAnsi"/>
                <w:sz w:val="20"/>
                <w:szCs w:val="20"/>
                <w:lang w:eastAsia="sk-SK"/>
              </w:rPr>
              <w:t>7 800 000,00</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A77EC1"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b/>
                <w:bCs/>
                <w:sz w:val="20"/>
                <w:szCs w:val="20"/>
                <w:lang w:eastAsia="sk-SK"/>
              </w:rPr>
              <w:t>106,85</w:t>
            </w:r>
          </w:p>
        </w:tc>
      </w:tr>
      <w:tr w:rsidR="00391223" w:rsidRPr="00476EE8" w14:paraId="0BA9B975" w14:textId="77777777" w:rsidTr="00D416E5">
        <w:trPr>
          <w:trHeight w:val="237"/>
          <w:tblCellSpacing w:w="15" w:type="dxa"/>
        </w:trPr>
        <w:tc>
          <w:tcPr>
            <w:tcW w:w="247" w:type="pct"/>
            <w:tcBorders>
              <w:top w:val="outset" w:sz="6" w:space="0" w:color="000000"/>
              <w:left w:val="outset" w:sz="6" w:space="0" w:color="000000"/>
              <w:bottom w:val="outset" w:sz="6" w:space="0" w:color="000000"/>
              <w:right w:val="outset" w:sz="6" w:space="0" w:color="000000"/>
            </w:tcBorders>
            <w:noWrap/>
            <w:vAlign w:val="center"/>
            <w:hideMark/>
          </w:tcPr>
          <w:p w14:paraId="3FA48D74" w14:textId="77777777" w:rsidR="00391223" w:rsidRPr="00476EE8" w:rsidRDefault="00391223" w:rsidP="00D416E5">
            <w:pPr>
              <w:spacing w:after="0" w:line="240" w:lineRule="auto"/>
              <w:rPr>
                <w:rFonts w:eastAsia="Times New Roman" w:cstheme="minorHAnsi"/>
                <w:sz w:val="24"/>
                <w:szCs w:val="24"/>
                <w:lang w:eastAsia="sk-SK"/>
              </w:rPr>
            </w:pPr>
            <w:r w:rsidRPr="00476EE8">
              <w:rPr>
                <w:rFonts w:eastAsia="Times New Roman" w:cstheme="minorHAnsi"/>
                <w:sz w:val="20"/>
                <w:szCs w:val="20"/>
                <w:lang w:eastAsia="sk-SK"/>
              </w:rPr>
              <w:t>640</w:t>
            </w:r>
            <w:r w:rsidRPr="00476EE8">
              <w:rPr>
                <w:rFonts w:eastAsia="Times New Roman" w:cstheme="minorHAnsi"/>
                <w:sz w:val="24"/>
                <w:szCs w:val="24"/>
                <w:lang w:eastAsia="sk-SK"/>
              </w:rPr>
              <w:t xml:space="preserve"> </w:t>
            </w:r>
          </w:p>
        </w:tc>
        <w:tc>
          <w:tcPr>
            <w:tcW w:w="969" w:type="pct"/>
            <w:gridSpan w:val="2"/>
            <w:tcBorders>
              <w:top w:val="outset" w:sz="6" w:space="0" w:color="000000"/>
              <w:left w:val="outset" w:sz="6" w:space="0" w:color="000000"/>
              <w:bottom w:val="outset" w:sz="6" w:space="0" w:color="000000"/>
              <w:right w:val="outset" w:sz="6" w:space="0" w:color="000000"/>
            </w:tcBorders>
            <w:vAlign w:val="center"/>
            <w:hideMark/>
          </w:tcPr>
          <w:p w14:paraId="26D3719C" w14:textId="77777777" w:rsidR="00391223" w:rsidRPr="00476EE8" w:rsidRDefault="00391223" w:rsidP="00D416E5">
            <w:pPr>
              <w:spacing w:after="0" w:line="240" w:lineRule="auto"/>
              <w:rPr>
                <w:rFonts w:eastAsia="Times New Roman" w:cstheme="minorHAnsi"/>
                <w:sz w:val="24"/>
                <w:szCs w:val="24"/>
                <w:lang w:eastAsia="sk-SK"/>
              </w:rPr>
            </w:pPr>
            <w:r w:rsidRPr="00476EE8">
              <w:rPr>
                <w:rFonts w:eastAsia="Times New Roman" w:cstheme="minorHAnsi"/>
                <w:sz w:val="20"/>
                <w:szCs w:val="20"/>
                <w:lang w:eastAsia="sk-SK"/>
              </w:rPr>
              <w:t>Bežné transfery</w:t>
            </w:r>
            <w:r w:rsidRPr="00476EE8">
              <w:rPr>
                <w:rFonts w:eastAsia="Times New Roman" w:cstheme="minorHAnsi"/>
                <w:sz w:val="24"/>
                <w:szCs w:val="24"/>
                <w:lang w:eastAsia="sk-SK"/>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hideMark/>
          </w:tcPr>
          <w:p w14:paraId="18BA38AE"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sz w:val="20"/>
                <w:szCs w:val="20"/>
                <w:lang w:eastAsia="sk-SK"/>
              </w:rPr>
              <w:t>7 700 000,00</w:t>
            </w:r>
            <w:r w:rsidRPr="00476EE8">
              <w:rPr>
                <w:rFonts w:eastAsia="Times New Roman" w:cstheme="minorHAns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hideMark/>
          </w:tcPr>
          <w:p w14:paraId="3B1D17DE"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sz w:val="20"/>
                <w:szCs w:val="20"/>
                <w:lang w:eastAsia="sk-SK"/>
              </w:rPr>
              <w:t>7 000 000,00</w:t>
            </w:r>
          </w:p>
        </w:tc>
        <w:tc>
          <w:tcPr>
            <w:tcW w:w="247" w:type="pct"/>
            <w:tcBorders>
              <w:top w:val="outset" w:sz="6" w:space="0" w:color="000000"/>
              <w:left w:val="outset" w:sz="6" w:space="0" w:color="000000"/>
              <w:bottom w:val="outset" w:sz="6" w:space="0" w:color="000000"/>
              <w:right w:val="outset" w:sz="6" w:space="0" w:color="000000"/>
            </w:tcBorders>
            <w:noWrap/>
            <w:vAlign w:val="center"/>
            <w:hideMark/>
          </w:tcPr>
          <w:p w14:paraId="66298360" w14:textId="77777777" w:rsidR="00391223" w:rsidRPr="00A02C26" w:rsidRDefault="00391223" w:rsidP="00D416E5">
            <w:pPr>
              <w:spacing w:after="0" w:line="240" w:lineRule="auto"/>
              <w:jc w:val="center"/>
              <w:rPr>
                <w:rFonts w:eastAsia="Times New Roman" w:cstheme="minorHAnsi"/>
                <w:sz w:val="20"/>
                <w:szCs w:val="20"/>
                <w:lang w:eastAsia="sk-SK"/>
              </w:rPr>
            </w:pPr>
            <w:r>
              <w:rPr>
                <w:rFonts w:eastAsia="Times New Roman" w:cstheme="minorHAnsi"/>
                <w:sz w:val="20"/>
                <w:szCs w:val="20"/>
                <w:lang w:eastAsia="sk-SK"/>
              </w:rPr>
              <w:t>90,91</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hideMark/>
          </w:tcPr>
          <w:p w14:paraId="61A1F102" w14:textId="77777777" w:rsidR="00391223" w:rsidRPr="00476EE8" w:rsidRDefault="00391223" w:rsidP="00D416E5">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7 300 000,00</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1CA7D297" w14:textId="77777777" w:rsidR="00391223" w:rsidRPr="00A02C26" w:rsidRDefault="00391223" w:rsidP="00D416E5">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104,29</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hideMark/>
          </w:tcPr>
          <w:p w14:paraId="6D469DCE" w14:textId="77777777" w:rsidR="00391223" w:rsidRPr="00476EE8" w:rsidRDefault="00391223" w:rsidP="00D416E5">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7 800 000,00</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4920D575" w14:textId="77777777" w:rsidR="00391223" w:rsidRPr="00A02C26" w:rsidRDefault="00391223" w:rsidP="00D416E5">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106,85</w:t>
            </w:r>
          </w:p>
        </w:tc>
      </w:tr>
      <w:tr w:rsidR="00391223" w:rsidRPr="00476EE8" w14:paraId="77770D1E" w14:textId="77777777" w:rsidTr="00D416E5">
        <w:trPr>
          <w:trHeight w:val="224"/>
          <w:tblCellSpacing w:w="15" w:type="dxa"/>
        </w:trPr>
        <w:tc>
          <w:tcPr>
            <w:tcW w:w="24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3C69B7" w14:textId="77777777" w:rsidR="00391223" w:rsidRPr="00476EE8" w:rsidRDefault="00391223" w:rsidP="00D416E5">
            <w:pPr>
              <w:spacing w:after="0" w:line="240" w:lineRule="auto"/>
              <w:rPr>
                <w:rFonts w:eastAsia="Times New Roman" w:cstheme="minorHAnsi"/>
                <w:sz w:val="24"/>
                <w:szCs w:val="24"/>
                <w:lang w:eastAsia="sk-SK"/>
              </w:rPr>
            </w:pPr>
            <w:r w:rsidRPr="00476EE8">
              <w:rPr>
                <w:rFonts w:eastAsia="Times New Roman" w:cstheme="minorHAnsi"/>
                <w:b/>
                <w:bCs/>
                <w:sz w:val="20"/>
                <w:szCs w:val="20"/>
                <w:lang w:eastAsia="sk-SK"/>
              </w:rPr>
              <w:t>700</w:t>
            </w:r>
            <w:r w:rsidRPr="00476EE8">
              <w:rPr>
                <w:rFonts w:eastAsia="Times New Roman" w:cstheme="minorHAnsi"/>
                <w:sz w:val="24"/>
                <w:szCs w:val="24"/>
                <w:lang w:eastAsia="sk-SK"/>
              </w:rPr>
              <w:t xml:space="preserve"> </w:t>
            </w:r>
          </w:p>
        </w:tc>
        <w:tc>
          <w:tcPr>
            <w:tcW w:w="969" w:type="pct"/>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B04B66" w14:textId="77777777" w:rsidR="00391223" w:rsidRPr="00476EE8" w:rsidRDefault="00391223" w:rsidP="00D416E5">
            <w:pPr>
              <w:spacing w:after="0" w:line="240" w:lineRule="auto"/>
              <w:rPr>
                <w:rFonts w:eastAsia="Times New Roman" w:cstheme="minorHAnsi"/>
                <w:sz w:val="24"/>
                <w:szCs w:val="24"/>
                <w:lang w:eastAsia="sk-SK"/>
              </w:rPr>
            </w:pPr>
            <w:r w:rsidRPr="00476EE8">
              <w:rPr>
                <w:rFonts w:eastAsia="Times New Roman" w:cstheme="minorHAnsi"/>
                <w:b/>
                <w:bCs/>
                <w:sz w:val="20"/>
                <w:szCs w:val="20"/>
                <w:lang w:eastAsia="sk-SK"/>
              </w:rPr>
              <w:t>Kapitálové výdavky</w:t>
            </w:r>
            <w:r w:rsidRPr="00476EE8">
              <w:rPr>
                <w:rFonts w:eastAsia="Times New Roman" w:cstheme="minorHAnsi"/>
                <w:sz w:val="24"/>
                <w:szCs w:val="24"/>
                <w:lang w:eastAsia="sk-SK"/>
              </w:rPr>
              <w:t xml:space="preserve"> </w:t>
            </w:r>
          </w:p>
        </w:tc>
        <w:tc>
          <w:tcPr>
            <w:tcW w:w="57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49718E"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b/>
                <w:bCs/>
                <w:sz w:val="20"/>
                <w:szCs w:val="20"/>
                <w:lang w:eastAsia="sk-SK"/>
              </w:rPr>
              <w:t>39 8</w:t>
            </w:r>
            <w:r w:rsidRPr="00476EE8">
              <w:rPr>
                <w:rFonts w:eastAsia="Times New Roman" w:cstheme="minorHAnsi"/>
                <w:b/>
                <w:bCs/>
                <w:sz w:val="20"/>
                <w:szCs w:val="20"/>
                <w:lang w:eastAsia="sk-SK"/>
              </w:rPr>
              <w:t>00 000,00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9624D5" w14:textId="77777777" w:rsidR="00391223" w:rsidRPr="00166A44" w:rsidRDefault="00391223" w:rsidP="00D416E5">
            <w:pPr>
              <w:spacing w:after="0" w:line="240" w:lineRule="auto"/>
              <w:jc w:val="right"/>
              <w:rPr>
                <w:rFonts w:eastAsia="Times New Roman" w:cstheme="minorHAnsi"/>
                <w:b/>
                <w:bCs/>
                <w:sz w:val="24"/>
                <w:szCs w:val="24"/>
                <w:lang w:eastAsia="sk-SK"/>
              </w:rPr>
            </w:pPr>
            <w:r w:rsidRPr="00166A44">
              <w:rPr>
                <w:rFonts w:eastAsia="Times New Roman" w:cstheme="minorHAnsi"/>
                <w:b/>
                <w:bCs/>
                <w:sz w:val="20"/>
                <w:szCs w:val="20"/>
                <w:lang w:eastAsia="sk-SK"/>
              </w:rPr>
              <w:t>26 283 301,84</w:t>
            </w:r>
          </w:p>
        </w:tc>
        <w:tc>
          <w:tcPr>
            <w:tcW w:w="24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0FEDD3"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b/>
                <w:bCs/>
                <w:sz w:val="20"/>
                <w:szCs w:val="20"/>
                <w:lang w:eastAsia="sk-SK"/>
              </w:rPr>
              <w:t>66,04</w:t>
            </w:r>
            <w:r w:rsidRPr="00476EE8">
              <w:rPr>
                <w:rFonts w:eastAsia="Times New Roman" w:cstheme="minorHAns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238773" w14:textId="77777777" w:rsidR="00391223" w:rsidRPr="006A0CED" w:rsidRDefault="00391223" w:rsidP="00D416E5">
            <w:pPr>
              <w:spacing w:after="0" w:line="240" w:lineRule="auto"/>
              <w:jc w:val="right"/>
              <w:rPr>
                <w:rFonts w:eastAsia="Times New Roman" w:cstheme="minorHAnsi"/>
                <w:b/>
                <w:bCs/>
                <w:sz w:val="24"/>
                <w:szCs w:val="24"/>
                <w:lang w:eastAsia="sk-SK"/>
              </w:rPr>
            </w:pPr>
            <w:r w:rsidRPr="006A0CED">
              <w:rPr>
                <w:rFonts w:eastAsia="Times New Roman" w:cstheme="minorHAnsi"/>
                <w:b/>
                <w:bCs/>
                <w:sz w:val="20"/>
                <w:szCs w:val="20"/>
                <w:lang w:eastAsia="sk-SK"/>
              </w:rPr>
              <w:t>10 000 000,00</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1031C6"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b/>
                <w:bCs/>
                <w:sz w:val="20"/>
                <w:szCs w:val="20"/>
                <w:lang w:eastAsia="sk-SK"/>
              </w:rPr>
              <w:t>38,05</w:t>
            </w:r>
            <w:r w:rsidRPr="00476EE8">
              <w:rPr>
                <w:rFonts w:eastAsia="Times New Roman" w:cstheme="minorHAns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526175" w14:textId="77777777" w:rsidR="00391223" w:rsidRPr="006A0CED" w:rsidRDefault="00391223" w:rsidP="00D416E5">
            <w:pPr>
              <w:spacing w:after="0" w:line="240" w:lineRule="auto"/>
              <w:jc w:val="right"/>
              <w:rPr>
                <w:rFonts w:eastAsia="Times New Roman" w:cstheme="minorHAnsi"/>
                <w:b/>
                <w:bCs/>
                <w:sz w:val="24"/>
                <w:szCs w:val="24"/>
                <w:lang w:eastAsia="sk-SK"/>
              </w:rPr>
            </w:pPr>
            <w:r w:rsidRPr="006A0CED">
              <w:rPr>
                <w:rFonts w:eastAsia="Times New Roman" w:cstheme="minorHAnsi"/>
                <w:b/>
                <w:bCs/>
                <w:sz w:val="20"/>
                <w:szCs w:val="20"/>
                <w:lang w:eastAsia="sk-SK"/>
              </w:rPr>
              <w:t>11 000 000,00</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7187E4" w14:textId="77777777" w:rsidR="00391223" w:rsidRPr="00476EE8" w:rsidRDefault="00391223" w:rsidP="00D416E5">
            <w:pPr>
              <w:spacing w:after="0" w:line="240" w:lineRule="auto"/>
              <w:jc w:val="right"/>
              <w:rPr>
                <w:rFonts w:eastAsia="Times New Roman" w:cstheme="minorHAnsi"/>
                <w:sz w:val="24"/>
                <w:szCs w:val="24"/>
                <w:lang w:eastAsia="sk-SK"/>
              </w:rPr>
            </w:pPr>
            <w:r>
              <w:rPr>
                <w:rFonts w:eastAsia="Times New Roman" w:cstheme="minorHAnsi"/>
                <w:b/>
                <w:bCs/>
                <w:sz w:val="20"/>
                <w:szCs w:val="20"/>
                <w:lang w:eastAsia="sk-SK"/>
              </w:rPr>
              <w:t>110,00</w:t>
            </w:r>
            <w:r w:rsidRPr="00476EE8">
              <w:rPr>
                <w:rFonts w:eastAsia="Times New Roman" w:cstheme="minorHAnsi"/>
                <w:sz w:val="24"/>
                <w:szCs w:val="24"/>
                <w:lang w:eastAsia="sk-SK"/>
              </w:rPr>
              <w:t xml:space="preserve"> </w:t>
            </w:r>
          </w:p>
        </w:tc>
      </w:tr>
      <w:tr w:rsidR="00391223" w:rsidRPr="00476EE8" w14:paraId="0D9115CF" w14:textId="77777777" w:rsidTr="00D416E5">
        <w:trPr>
          <w:trHeight w:val="237"/>
          <w:tblCellSpacing w:w="15" w:type="dxa"/>
        </w:trPr>
        <w:tc>
          <w:tcPr>
            <w:tcW w:w="247" w:type="pct"/>
            <w:tcBorders>
              <w:top w:val="outset" w:sz="6" w:space="0" w:color="000000"/>
              <w:left w:val="outset" w:sz="6" w:space="0" w:color="000000"/>
              <w:bottom w:val="outset" w:sz="6" w:space="0" w:color="000000"/>
              <w:right w:val="outset" w:sz="6" w:space="0" w:color="000000"/>
            </w:tcBorders>
            <w:noWrap/>
            <w:vAlign w:val="center"/>
          </w:tcPr>
          <w:p w14:paraId="2D3F4032" w14:textId="77777777" w:rsidR="00391223" w:rsidRPr="00476EE8" w:rsidRDefault="00391223" w:rsidP="00D416E5">
            <w:pPr>
              <w:spacing w:after="0" w:line="240" w:lineRule="auto"/>
              <w:rPr>
                <w:rFonts w:eastAsia="Times New Roman" w:cstheme="minorHAnsi"/>
                <w:sz w:val="20"/>
                <w:szCs w:val="20"/>
                <w:lang w:eastAsia="sk-SK"/>
              </w:rPr>
            </w:pPr>
            <w:r>
              <w:rPr>
                <w:rFonts w:eastAsia="Times New Roman" w:cstheme="minorHAnsi"/>
                <w:sz w:val="20"/>
                <w:szCs w:val="20"/>
                <w:lang w:eastAsia="sk-SK"/>
              </w:rPr>
              <w:t xml:space="preserve">720 </w:t>
            </w:r>
          </w:p>
        </w:tc>
        <w:tc>
          <w:tcPr>
            <w:tcW w:w="969" w:type="pct"/>
            <w:gridSpan w:val="2"/>
            <w:tcBorders>
              <w:top w:val="outset" w:sz="6" w:space="0" w:color="000000"/>
              <w:left w:val="outset" w:sz="6" w:space="0" w:color="000000"/>
              <w:bottom w:val="outset" w:sz="6" w:space="0" w:color="000000"/>
              <w:right w:val="outset" w:sz="6" w:space="0" w:color="000000"/>
            </w:tcBorders>
            <w:vAlign w:val="center"/>
          </w:tcPr>
          <w:p w14:paraId="6E8E8139" w14:textId="77777777" w:rsidR="00391223" w:rsidRPr="00476EE8" w:rsidRDefault="00391223" w:rsidP="00D416E5">
            <w:pPr>
              <w:spacing w:after="0" w:line="240" w:lineRule="auto"/>
              <w:rPr>
                <w:rFonts w:eastAsia="Times New Roman" w:cstheme="minorHAnsi"/>
                <w:sz w:val="20"/>
                <w:szCs w:val="20"/>
                <w:lang w:eastAsia="sk-SK"/>
              </w:rPr>
            </w:pPr>
            <w:r>
              <w:rPr>
                <w:rFonts w:eastAsia="Times New Roman" w:cstheme="minorHAnsi"/>
                <w:sz w:val="20"/>
                <w:szCs w:val="20"/>
                <w:lang w:eastAsia="sk-SK"/>
              </w:rPr>
              <w:t>Kapitálové transfery</w:t>
            </w:r>
          </w:p>
        </w:tc>
        <w:tc>
          <w:tcPr>
            <w:tcW w:w="579" w:type="pct"/>
            <w:tcBorders>
              <w:top w:val="outset" w:sz="6" w:space="0" w:color="000000"/>
              <w:left w:val="outset" w:sz="6" w:space="0" w:color="000000"/>
              <w:bottom w:val="outset" w:sz="6" w:space="0" w:color="000000"/>
              <w:right w:val="outset" w:sz="6" w:space="0" w:color="000000"/>
            </w:tcBorders>
            <w:noWrap/>
            <w:vAlign w:val="center"/>
          </w:tcPr>
          <w:p w14:paraId="6C005759" w14:textId="77777777" w:rsidR="00391223" w:rsidRDefault="00391223" w:rsidP="00D416E5">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39 800 000,00</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tcPr>
          <w:p w14:paraId="6423E40C" w14:textId="77777777" w:rsidR="00391223" w:rsidRDefault="00391223" w:rsidP="00D416E5">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26 283 301,84</w:t>
            </w:r>
          </w:p>
        </w:tc>
        <w:tc>
          <w:tcPr>
            <w:tcW w:w="247" w:type="pct"/>
            <w:tcBorders>
              <w:top w:val="outset" w:sz="6" w:space="0" w:color="000000"/>
              <w:left w:val="outset" w:sz="6" w:space="0" w:color="000000"/>
              <w:bottom w:val="outset" w:sz="6" w:space="0" w:color="000000"/>
              <w:right w:val="outset" w:sz="6" w:space="0" w:color="000000"/>
            </w:tcBorders>
            <w:noWrap/>
            <w:vAlign w:val="center"/>
          </w:tcPr>
          <w:p w14:paraId="4FF07DCB" w14:textId="77777777" w:rsidR="00391223" w:rsidRDefault="00391223" w:rsidP="00D416E5">
            <w:pPr>
              <w:spacing w:after="0" w:line="240" w:lineRule="auto"/>
              <w:jc w:val="center"/>
              <w:rPr>
                <w:rFonts w:eastAsia="Times New Roman" w:cstheme="minorHAnsi"/>
                <w:sz w:val="20"/>
                <w:szCs w:val="20"/>
                <w:lang w:eastAsia="sk-SK"/>
              </w:rPr>
            </w:pPr>
            <w:r>
              <w:rPr>
                <w:rFonts w:eastAsia="Times New Roman" w:cstheme="minorHAnsi"/>
                <w:sz w:val="20"/>
                <w:szCs w:val="20"/>
                <w:lang w:eastAsia="sk-SK"/>
              </w:rPr>
              <w:t>66,04</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tcPr>
          <w:p w14:paraId="5816C1FE" w14:textId="77777777" w:rsidR="00391223" w:rsidRPr="00476EE8" w:rsidRDefault="00391223" w:rsidP="00D416E5">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10 000 000,00</w:t>
            </w:r>
          </w:p>
        </w:tc>
        <w:tc>
          <w:tcPr>
            <w:tcW w:w="295" w:type="pct"/>
            <w:tcBorders>
              <w:top w:val="outset" w:sz="6" w:space="0" w:color="000000"/>
              <w:left w:val="outset" w:sz="6" w:space="0" w:color="000000"/>
              <w:bottom w:val="outset" w:sz="6" w:space="0" w:color="000000"/>
              <w:right w:val="outset" w:sz="6" w:space="0" w:color="000000"/>
            </w:tcBorders>
            <w:noWrap/>
            <w:vAlign w:val="center"/>
          </w:tcPr>
          <w:p w14:paraId="7C1D00AA" w14:textId="77777777" w:rsidR="00391223" w:rsidRDefault="00391223" w:rsidP="00D416E5">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38,05</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tcPr>
          <w:p w14:paraId="7FAF8053" w14:textId="77777777" w:rsidR="00391223" w:rsidRPr="00476EE8" w:rsidRDefault="00391223" w:rsidP="00D416E5">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11 000 000,00</w:t>
            </w:r>
          </w:p>
        </w:tc>
        <w:tc>
          <w:tcPr>
            <w:tcW w:w="295" w:type="pct"/>
            <w:tcBorders>
              <w:top w:val="outset" w:sz="6" w:space="0" w:color="000000"/>
              <w:left w:val="outset" w:sz="6" w:space="0" w:color="000000"/>
              <w:bottom w:val="outset" w:sz="6" w:space="0" w:color="000000"/>
              <w:right w:val="outset" w:sz="6" w:space="0" w:color="000000"/>
            </w:tcBorders>
            <w:noWrap/>
            <w:vAlign w:val="center"/>
          </w:tcPr>
          <w:p w14:paraId="0ADAF90D" w14:textId="77777777" w:rsidR="00391223" w:rsidRPr="00476EE8" w:rsidRDefault="00391223" w:rsidP="00D416E5">
            <w:pPr>
              <w:spacing w:after="0" w:line="240" w:lineRule="auto"/>
              <w:jc w:val="center"/>
              <w:rPr>
                <w:rFonts w:eastAsia="Times New Roman" w:cstheme="minorHAnsi"/>
                <w:sz w:val="20"/>
                <w:szCs w:val="20"/>
                <w:lang w:eastAsia="sk-SK"/>
              </w:rPr>
            </w:pPr>
            <w:r>
              <w:rPr>
                <w:rFonts w:eastAsia="Times New Roman" w:cstheme="minorHAnsi"/>
                <w:sz w:val="20"/>
                <w:szCs w:val="20"/>
                <w:lang w:eastAsia="sk-SK"/>
              </w:rPr>
              <w:t>110,00</w:t>
            </w:r>
          </w:p>
        </w:tc>
      </w:tr>
      <w:tr w:rsidR="00391223" w:rsidRPr="0082447D" w14:paraId="58D50CFF"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1FE4E84"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Zodpovednosť</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416C6CA"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lang w:eastAsia="sk-SK"/>
              </w:rPr>
              <w:t>Odbor dopravy</w:t>
            </w:r>
          </w:p>
        </w:tc>
      </w:tr>
      <w:tr w:rsidR="00391223" w:rsidRPr="0082447D" w14:paraId="0CC1151C" w14:textId="77777777" w:rsidTr="00D416E5">
        <w:trPr>
          <w:trHeight w:val="250"/>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006075C5"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Cieľ</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0F92C5F6"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Zabezpečiť zjazdnosť a bezpečnosť premávky na komunikáciách spravovaných BSK</w:t>
            </w:r>
          </w:p>
        </w:tc>
      </w:tr>
      <w:tr w:rsidR="00391223" w:rsidRPr="0082447D" w14:paraId="65FC32E6"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653917E"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Merateľný ukazovateľ</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F017542"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lang w:eastAsia="sk-SK"/>
              </w:rPr>
              <w:t>Počet km spravovaných ciest v BSK</w:t>
            </w:r>
          </w:p>
        </w:tc>
      </w:tr>
      <w:tr w:rsidR="00391223" w:rsidRPr="0082447D" w14:paraId="5130A219" w14:textId="77777777" w:rsidTr="00D416E5">
        <w:trPr>
          <w:trHeight w:val="401"/>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7399E2A" w14:textId="77777777" w:rsidR="00391223" w:rsidRPr="00C04CB3" w:rsidRDefault="00391223" w:rsidP="00D416E5">
            <w:pPr>
              <w:spacing w:after="0" w:line="240" w:lineRule="auto"/>
              <w:rPr>
                <w:rFonts w:eastAsia="Times New Roman" w:cstheme="minorHAnsi"/>
                <w:b/>
                <w:lang w:eastAsia="sk-SK"/>
              </w:rPr>
            </w:pPr>
            <w:r w:rsidRPr="00C04CB3">
              <w:rPr>
                <w:rFonts w:eastAsia="Times New Roman" w:cstheme="minorHAnsi"/>
                <w:b/>
                <w:bCs/>
                <w:lang w:eastAsia="sk-SK"/>
              </w:rPr>
              <w:t>Rok</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875675C" w14:textId="77777777" w:rsidR="00391223" w:rsidRPr="00C04CB3" w:rsidRDefault="00391223" w:rsidP="00D416E5">
            <w:pPr>
              <w:spacing w:after="0" w:line="240" w:lineRule="auto"/>
              <w:jc w:val="center"/>
              <w:rPr>
                <w:rFonts w:eastAsia="Times New Roman" w:cstheme="minorHAnsi"/>
                <w:lang w:eastAsia="sk-SK"/>
              </w:rPr>
            </w:pPr>
            <w:r w:rsidRPr="00C04CB3">
              <w:rPr>
                <w:rFonts w:eastAsia="Times New Roman" w:cstheme="minorHAnsi"/>
                <w:lang w:eastAsia="sk-SK"/>
              </w:rPr>
              <w:t>202</w:t>
            </w:r>
            <w:r>
              <w:rPr>
                <w:rFonts w:eastAsia="Times New Roman" w:cstheme="minorHAnsi"/>
                <w:lang w:eastAsia="sk-SK"/>
              </w:rPr>
              <w:t>4</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B0AED71" w14:textId="77777777" w:rsidR="00391223" w:rsidRPr="00C04CB3" w:rsidRDefault="00391223" w:rsidP="00D416E5">
            <w:pPr>
              <w:spacing w:after="0" w:line="240" w:lineRule="auto"/>
              <w:jc w:val="center"/>
              <w:rPr>
                <w:rFonts w:eastAsia="Times New Roman" w:cstheme="minorHAnsi"/>
                <w:b/>
                <w:lang w:eastAsia="sk-SK"/>
              </w:rPr>
            </w:pPr>
            <w:r w:rsidRPr="00C04CB3">
              <w:rPr>
                <w:rFonts w:eastAsia="Times New Roman" w:cstheme="minorHAnsi"/>
                <w:b/>
                <w:bCs/>
                <w:lang w:eastAsia="sk-SK"/>
              </w:rPr>
              <w:t>202</w:t>
            </w:r>
            <w:r>
              <w:rPr>
                <w:rFonts w:eastAsia="Times New Roman" w:cstheme="minorHAnsi"/>
                <w:b/>
                <w:bCs/>
                <w:lang w:eastAsia="sk-SK"/>
              </w:rPr>
              <w:t>5</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D43EAA9" w14:textId="77777777" w:rsidR="00391223" w:rsidRPr="00C04CB3" w:rsidRDefault="00391223" w:rsidP="00D416E5">
            <w:pPr>
              <w:spacing w:after="0" w:line="240" w:lineRule="auto"/>
              <w:jc w:val="center"/>
              <w:rPr>
                <w:rFonts w:eastAsia="Times New Roman" w:cstheme="minorHAnsi"/>
                <w:lang w:eastAsia="sk-SK"/>
              </w:rPr>
            </w:pPr>
            <w:r w:rsidRPr="00C04CB3">
              <w:rPr>
                <w:rFonts w:eastAsia="Times New Roman" w:cstheme="minorHAnsi"/>
                <w:lang w:eastAsia="sk-SK"/>
              </w:rPr>
              <w:t>202</w:t>
            </w:r>
            <w:r>
              <w:rPr>
                <w:rFonts w:eastAsia="Times New Roman" w:cstheme="minorHAnsi"/>
                <w:lang w:eastAsia="sk-SK"/>
              </w:rPr>
              <w:t>6</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518E0A5E" w14:textId="77777777" w:rsidR="00391223" w:rsidRPr="00C04CB3" w:rsidRDefault="00391223" w:rsidP="00D416E5">
            <w:pPr>
              <w:spacing w:after="0" w:line="240" w:lineRule="auto"/>
              <w:jc w:val="center"/>
              <w:rPr>
                <w:rFonts w:eastAsia="Times New Roman" w:cstheme="minorHAnsi"/>
                <w:lang w:eastAsia="sk-SK"/>
              </w:rPr>
            </w:pPr>
            <w:r w:rsidRPr="00C04CB3">
              <w:rPr>
                <w:rFonts w:eastAsia="Times New Roman" w:cstheme="minorHAnsi"/>
                <w:lang w:eastAsia="sk-SK"/>
              </w:rPr>
              <w:t>202</w:t>
            </w:r>
            <w:r>
              <w:rPr>
                <w:rFonts w:eastAsia="Times New Roman" w:cstheme="minorHAnsi"/>
                <w:lang w:eastAsia="sk-SK"/>
              </w:rPr>
              <w:t>7</w:t>
            </w:r>
          </w:p>
        </w:tc>
      </w:tr>
      <w:tr w:rsidR="00391223" w:rsidRPr="0082447D" w14:paraId="630D3B3C" w14:textId="77777777" w:rsidTr="00D416E5">
        <w:trPr>
          <w:trHeight w:val="250"/>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51C76CC7" w14:textId="77777777" w:rsidR="00391223" w:rsidRPr="00C04CB3" w:rsidRDefault="00391223" w:rsidP="00D416E5">
            <w:pPr>
              <w:spacing w:after="0" w:line="240" w:lineRule="auto"/>
              <w:rPr>
                <w:rFonts w:eastAsia="Times New Roman" w:cstheme="minorHAnsi"/>
                <w:b/>
                <w:lang w:eastAsia="sk-SK"/>
              </w:rPr>
            </w:pPr>
            <w:r w:rsidRPr="00C04CB3">
              <w:rPr>
                <w:rFonts w:eastAsia="Times New Roman" w:cstheme="minorHAnsi"/>
                <w:b/>
                <w:bCs/>
                <w:lang w:eastAsia="sk-SK"/>
              </w:rPr>
              <w:t>Plánovaná hodnota</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AA4E402" w14:textId="77777777" w:rsidR="00391223" w:rsidRPr="00C04CB3" w:rsidRDefault="00391223" w:rsidP="00D416E5">
            <w:pPr>
              <w:spacing w:after="0" w:line="240" w:lineRule="auto"/>
              <w:jc w:val="center"/>
              <w:rPr>
                <w:rFonts w:eastAsia="Times New Roman" w:cstheme="minorHAnsi"/>
                <w:lang w:eastAsia="sk-SK"/>
              </w:rPr>
            </w:pPr>
            <w:r>
              <w:rPr>
                <w:rFonts w:eastAsia="Times New Roman" w:cstheme="minorHAnsi"/>
                <w:lang w:eastAsia="sk-SK"/>
              </w:rPr>
              <w:t>520</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52CC1923" w14:textId="77777777" w:rsidR="00391223" w:rsidRPr="00C04CB3" w:rsidRDefault="00391223" w:rsidP="00D416E5">
            <w:pPr>
              <w:spacing w:after="0" w:line="240" w:lineRule="auto"/>
              <w:jc w:val="center"/>
              <w:rPr>
                <w:rFonts w:eastAsia="Times New Roman" w:cstheme="minorHAnsi"/>
                <w:b/>
                <w:lang w:eastAsia="sk-SK"/>
              </w:rPr>
            </w:pPr>
            <w:r w:rsidRPr="00C04CB3">
              <w:rPr>
                <w:rFonts w:eastAsia="Times New Roman" w:cstheme="minorHAnsi"/>
                <w:b/>
                <w:bCs/>
                <w:lang w:eastAsia="sk-SK"/>
              </w:rPr>
              <w:t> 520</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7AED2994" w14:textId="77777777" w:rsidR="00391223" w:rsidRPr="00C04CB3" w:rsidRDefault="00391223" w:rsidP="00D416E5">
            <w:pPr>
              <w:spacing w:after="0" w:line="240" w:lineRule="auto"/>
              <w:jc w:val="center"/>
              <w:rPr>
                <w:rFonts w:eastAsia="Times New Roman" w:cstheme="minorHAnsi"/>
                <w:lang w:eastAsia="sk-SK"/>
              </w:rPr>
            </w:pPr>
            <w:r w:rsidRPr="00C04CB3">
              <w:rPr>
                <w:rFonts w:eastAsia="Times New Roman" w:cstheme="minorHAnsi"/>
                <w:lang w:eastAsia="sk-SK"/>
              </w:rPr>
              <w:t> 520</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7761191C" w14:textId="77777777" w:rsidR="00391223" w:rsidRPr="00C04CB3" w:rsidRDefault="00391223" w:rsidP="00D416E5">
            <w:pPr>
              <w:spacing w:after="0" w:line="240" w:lineRule="auto"/>
              <w:jc w:val="center"/>
              <w:rPr>
                <w:rFonts w:eastAsia="Times New Roman" w:cstheme="minorHAnsi"/>
                <w:lang w:eastAsia="sk-SK"/>
              </w:rPr>
            </w:pPr>
            <w:r w:rsidRPr="00C04CB3">
              <w:rPr>
                <w:rFonts w:eastAsia="Times New Roman" w:cstheme="minorHAnsi"/>
                <w:lang w:eastAsia="sk-SK"/>
              </w:rPr>
              <w:t> 520</w:t>
            </w:r>
          </w:p>
        </w:tc>
      </w:tr>
      <w:tr w:rsidR="00391223" w:rsidRPr="0082447D" w14:paraId="514E4984"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0DA65493"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Cieľ</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410754D5"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Stabilizovanie technického stavu ciest</w:t>
            </w:r>
          </w:p>
        </w:tc>
      </w:tr>
      <w:tr w:rsidR="00391223" w:rsidRPr="0082447D" w14:paraId="1C41AA82" w14:textId="77777777" w:rsidTr="00D416E5">
        <w:trPr>
          <w:trHeight w:val="250"/>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43673A80"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Merateľný ukazovateľ</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A3C0967" w14:textId="77777777" w:rsidR="00391223" w:rsidRPr="00C04CB3" w:rsidRDefault="00391223" w:rsidP="00D416E5">
            <w:pPr>
              <w:spacing w:after="0" w:line="240" w:lineRule="auto"/>
              <w:rPr>
                <w:rFonts w:eastAsia="Times New Roman" w:cstheme="minorHAnsi"/>
                <w:highlight w:val="yellow"/>
                <w:lang w:eastAsia="sk-SK"/>
              </w:rPr>
            </w:pPr>
            <w:r w:rsidRPr="00C04CB3">
              <w:rPr>
                <w:rFonts w:eastAsia="Times New Roman" w:cstheme="minorHAnsi"/>
                <w:lang w:eastAsia="sk-SK"/>
              </w:rPr>
              <w:t>Opravy frézovaním, položením nového asfaltového koberca v m2</w:t>
            </w:r>
          </w:p>
        </w:tc>
      </w:tr>
      <w:tr w:rsidR="00391223" w:rsidRPr="0082447D" w14:paraId="73A886FE"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E36FAE5"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Rok</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3E43E979" w14:textId="77777777" w:rsidR="00391223" w:rsidRPr="00C04CB3" w:rsidRDefault="00391223" w:rsidP="00D416E5">
            <w:pPr>
              <w:spacing w:after="0" w:line="240" w:lineRule="auto"/>
              <w:jc w:val="center"/>
              <w:rPr>
                <w:rFonts w:eastAsia="Times New Roman" w:cstheme="minorHAnsi"/>
                <w:lang w:eastAsia="sk-SK"/>
              </w:rPr>
            </w:pPr>
            <w:r w:rsidRPr="00C04CB3">
              <w:rPr>
                <w:rFonts w:eastAsia="Times New Roman" w:cstheme="minorHAnsi"/>
                <w:lang w:eastAsia="sk-SK"/>
              </w:rPr>
              <w:t>202</w:t>
            </w:r>
            <w:r>
              <w:rPr>
                <w:rFonts w:eastAsia="Times New Roman" w:cstheme="minorHAnsi"/>
                <w:lang w:eastAsia="sk-SK"/>
              </w:rPr>
              <w:t>4</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4E60AF55" w14:textId="77777777" w:rsidR="00391223" w:rsidRPr="00C04CB3" w:rsidRDefault="00391223" w:rsidP="00D416E5">
            <w:pPr>
              <w:spacing w:after="0" w:line="240" w:lineRule="auto"/>
              <w:jc w:val="center"/>
              <w:rPr>
                <w:rFonts w:eastAsia="Times New Roman" w:cstheme="minorHAnsi"/>
                <w:b/>
                <w:lang w:eastAsia="sk-SK"/>
              </w:rPr>
            </w:pPr>
            <w:r w:rsidRPr="00C04CB3">
              <w:rPr>
                <w:rFonts w:eastAsia="Times New Roman" w:cstheme="minorHAnsi"/>
                <w:b/>
                <w:bCs/>
                <w:lang w:eastAsia="sk-SK"/>
              </w:rPr>
              <w:t>202</w:t>
            </w:r>
            <w:r>
              <w:rPr>
                <w:rFonts w:eastAsia="Times New Roman" w:cstheme="minorHAnsi"/>
                <w:b/>
                <w:bCs/>
                <w:lang w:eastAsia="sk-SK"/>
              </w:rPr>
              <w:t>5</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E332AB1" w14:textId="77777777" w:rsidR="00391223" w:rsidRPr="00C04CB3" w:rsidRDefault="00391223" w:rsidP="00D416E5">
            <w:pPr>
              <w:spacing w:after="0" w:line="240" w:lineRule="auto"/>
              <w:jc w:val="center"/>
              <w:rPr>
                <w:rFonts w:eastAsia="Times New Roman" w:cstheme="minorHAnsi"/>
                <w:lang w:eastAsia="sk-SK"/>
              </w:rPr>
            </w:pPr>
            <w:r w:rsidRPr="00C04CB3">
              <w:rPr>
                <w:rFonts w:eastAsia="Times New Roman" w:cstheme="minorHAnsi"/>
                <w:lang w:eastAsia="sk-SK"/>
              </w:rPr>
              <w:t>202</w:t>
            </w:r>
            <w:r>
              <w:rPr>
                <w:rFonts w:eastAsia="Times New Roman" w:cstheme="minorHAnsi"/>
                <w:lang w:eastAsia="sk-SK"/>
              </w:rPr>
              <w:t>6</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3BF9A7D6" w14:textId="77777777" w:rsidR="00391223" w:rsidRPr="00C04CB3" w:rsidRDefault="00391223" w:rsidP="00D416E5">
            <w:pPr>
              <w:spacing w:after="0" w:line="240" w:lineRule="auto"/>
              <w:jc w:val="center"/>
              <w:rPr>
                <w:rFonts w:eastAsia="Times New Roman" w:cstheme="minorHAnsi"/>
                <w:lang w:eastAsia="sk-SK"/>
              </w:rPr>
            </w:pPr>
            <w:r w:rsidRPr="00C04CB3">
              <w:rPr>
                <w:rFonts w:eastAsia="Times New Roman" w:cstheme="minorHAnsi"/>
                <w:lang w:eastAsia="sk-SK"/>
              </w:rPr>
              <w:t>202</w:t>
            </w:r>
            <w:r>
              <w:rPr>
                <w:rFonts w:eastAsia="Times New Roman" w:cstheme="minorHAnsi"/>
                <w:lang w:eastAsia="sk-SK"/>
              </w:rPr>
              <w:t>7</w:t>
            </w:r>
          </w:p>
        </w:tc>
      </w:tr>
      <w:tr w:rsidR="00391223" w:rsidRPr="0082447D" w14:paraId="75715B68"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34FBEB4"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Plánovaná hodnota</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4553BFC1"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20 000</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38F02A14" w14:textId="77777777" w:rsidR="00391223" w:rsidRPr="00391223" w:rsidRDefault="00391223" w:rsidP="00D416E5">
            <w:pPr>
              <w:spacing w:after="0" w:line="240" w:lineRule="auto"/>
              <w:jc w:val="center"/>
              <w:rPr>
                <w:rFonts w:eastAsia="Times New Roman" w:cstheme="minorHAnsi"/>
                <w:b/>
                <w:sz w:val="24"/>
                <w:szCs w:val="24"/>
                <w:lang w:eastAsia="sk-SK"/>
              </w:rPr>
            </w:pPr>
            <w:r w:rsidRPr="00391223">
              <w:rPr>
                <w:rFonts w:eastAsia="Times New Roman" w:cstheme="minorHAnsi"/>
                <w:b/>
                <w:sz w:val="24"/>
                <w:szCs w:val="24"/>
                <w:lang w:eastAsia="sk-SK"/>
              </w:rPr>
              <w:t>20 000</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708B085F"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20 000</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20CD0CD0"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20 000</w:t>
            </w:r>
          </w:p>
        </w:tc>
      </w:tr>
      <w:tr w:rsidR="00391223" w:rsidRPr="0082447D" w14:paraId="498E4A22" w14:textId="77777777" w:rsidTr="00D416E5">
        <w:trPr>
          <w:trHeight w:val="250"/>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8CC8870"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Merateľný ukazovateľ</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799AFAA3" w14:textId="77777777" w:rsidR="00391223" w:rsidRPr="00391223" w:rsidRDefault="00391223" w:rsidP="00D416E5">
            <w:pPr>
              <w:spacing w:after="0" w:line="240" w:lineRule="auto"/>
              <w:rPr>
                <w:rFonts w:eastAsia="Times New Roman" w:cstheme="minorHAnsi"/>
                <w:sz w:val="24"/>
                <w:szCs w:val="24"/>
                <w:highlight w:val="yellow"/>
                <w:lang w:eastAsia="sk-SK"/>
              </w:rPr>
            </w:pPr>
            <w:r w:rsidRPr="00391223">
              <w:rPr>
                <w:rFonts w:eastAsia="Times New Roman" w:cstheme="minorHAnsi"/>
                <w:sz w:val="24"/>
                <w:szCs w:val="24"/>
                <w:lang w:eastAsia="sk-SK"/>
              </w:rPr>
              <w:t>Bezpečnosť chodcov a cestnej premávky</w:t>
            </w:r>
          </w:p>
        </w:tc>
      </w:tr>
      <w:tr w:rsidR="00391223" w:rsidRPr="0082447D" w14:paraId="7CD1A5FF"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72BECB32"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lastRenderedPageBreak/>
              <w:t>Rok</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C863CFF"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2024</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4DEB19D" w14:textId="77777777" w:rsidR="00391223" w:rsidRPr="00391223" w:rsidRDefault="00391223" w:rsidP="00D416E5">
            <w:pPr>
              <w:spacing w:after="0" w:line="240" w:lineRule="auto"/>
              <w:jc w:val="center"/>
              <w:rPr>
                <w:rFonts w:eastAsia="Times New Roman" w:cstheme="minorHAnsi"/>
                <w:b/>
                <w:sz w:val="24"/>
                <w:szCs w:val="24"/>
                <w:lang w:eastAsia="sk-SK"/>
              </w:rPr>
            </w:pPr>
            <w:r w:rsidRPr="00391223">
              <w:rPr>
                <w:rFonts w:eastAsia="Times New Roman" w:cstheme="minorHAnsi"/>
                <w:b/>
                <w:bCs/>
                <w:sz w:val="24"/>
                <w:szCs w:val="24"/>
                <w:lang w:eastAsia="sk-SK"/>
              </w:rPr>
              <w:t>2025</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4E50CFF7"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2026</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0D472135"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2027</w:t>
            </w:r>
          </w:p>
        </w:tc>
      </w:tr>
      <w:tr w:rsidR="00391223" w:rsidRPr="0082447D" w14:paraId="04A73777"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1DA2D3D"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Plánovaná hodnota</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7A062B8A"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 10</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59C137AE" w14:textId="77777777" w:rsidR="00391223" w:rsidRPr="00391223" w:rsidRDefault="00391223" w:rsidP="00D416E5">
            <w:pPr>
              <w:spacing w:after="0" w:line="240" w:lineRule="auto"/>
              <w:jc w:val="center"/>
              <w:rPr>
                <w:rFonts w:eastAsia="Times New Roman" w:cstheme="minorHAnsi"/>
                <w:b/>
                <w:sz w:val="24"/>
                <w:szCs w:val="24"/>
                <w:lang w:eastAsia="sk-SK"/>
              </w:rPr>
            </w:pPr>
            <w:r w:rsidRPr="00391223">
              <w:rPr>
                <w:rFonts w:eastAsia="Times New Roman" w:cstheme="minorHAnsi"/>
                <w:b/>
                <w:sz w:val="24"/>
                <w:szCs w:val="24"/>
                <w:lang w:eastAsia="sk-SK"/>
              </w:rPr>
              <w:t>10</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6481F370"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10</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6864F8BC"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10</w:t>
            </w:r>
          </w:p>
        </w:tc>
      </w:tr>
      <w:tr w:rsidR="00391223" w:rsidRPr="0082447D" w14:paraId="52970ED1" w14:textId="77777777" w:rsidTr="00D416E5">
        <w:trPr>
          <w:trHeight w:val="375"/>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E078AAD"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Cieľ</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25FDC67" w14:textId="77777777" w:rsidR="00391223" w:rsidRPr="00391223" w:rsidRDefault="00391223" w:rsidP="00D416E5">
            <w:pPr>
              <w:spacing w:after="0" w:line="240" w:lineRule="auto"/>
              <w:rPr>
                <w:rFonts w:eastAsia="Times New Roman" w:cstheme="minorHAnsi"/>
                <w:sz w:val="24"/>
                <w:szCs w:val="24"/>
                <w:highlight w:val="yellow"/>
                <w:lang w:eastAsia="sk-SK"/>
              </w:rPr>
            </w:pPr>
            <w:r w:rsidRPr="00391223">
              <w:rPr>
                <w:rFonts w:eastAsia="Times New Roman" w:cstheme="minorHAnsi"/>
                <w:b/>
                <w:bCs/>
                <w:sz w:val="24"/>
                <w:szCs w:val="24"/>
                <w:lang w:eastAsia="sk-SK"/>
              </w:rPr>
              <w:t>Výstavba nových komunikácií</w:t>
            </w:r>
          </w:p>
        </w:tc>
      </w:tr>
      <w:tr w:rsidR="00391223" w:rsidRPr="0082447D" w14:paraId="76361DDE" w14:textId="77777777" w:rsidTr="00D416E5">
        <w:trPr>
          <w:trHeight w:val="250"/>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082058FF"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Merateľný ukazovateľ</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5C02E5C8" w14:textId="77777777" w:rsidR="00391223" w:rsidRPr="00391223" w:rsidRDefault="00391223" w:rsidP="00D416E5">
            <w:pPr>
              <w:spacing w:after="0" w:line="240" w:lineRule="auto"/>
              <w:rPr>
                <w:rFonts w:eastAsia="Times New Roman" w:cstheme="minorHAnsi"/>
                <w:sz w:val="24"/>
                <w:szCs w:val="24"/>
                <w:lang w:eastAsia="sk-SK"/>
              </w:rPr>
            </w:pPr>
            <w:r w:rsidRPr="00391223">
              <w:rPr>
                <w:rFonts w:eastAsia="Times New Roman" w:cstheme="minorHAnsi"/>
                <w:sz w:val="24"/>
                <w:szCs w:val="24"/>
                <w:lang w:eastAsia="sk-SK"/>
              </w:rPr>
              <w:t>Príprava/realizácia v m2 nových ciest v BSK</w:t>
            </w:r>
          </w:p>
        </w:tc>
      </w:tr>
      <w:tr w:rsidR="00391223" w:rsidRPr="0082447D" w14:paraId="68B574C1"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524C34A"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Rok</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3E64A841"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2024</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36978C32" w14:textId="77777777" w:rsidR="00391223" w:rsidRPr="00391223" w:rsidRDefault="00391223" w:rsidP="00D416E5">
            <w:pPr>
              <w:spacing w:after="0" w:line="240" w:lineRule="auto"/>
              <w:jc w:val="center"/>
              <w:rPr>
                <w:rFonts w:eastAsia="Times New Roman" w:cstheme="minorHAnsi"/>
                <w:b/>
                <w:sz w:val="24"/>
                <w:szCs w:val="24"/>
                <w:lang w:eastAsia="sk-SK"/>
              </w:rPr>
            </w:pPr>
            <w:r w:rsidRPr="00391223">
              <w:rPr>
                <w:rFonts w:eastAsia="Times New Roman" w:cstheme="minorHAnsi"/>
                <w:b/>
                <w:bCs/>
                <w:sz w:val="24"/>
                <w:szCs w:val="24"/>
                <w:lang w:eastAsia="sk-SK"/>
              </w:rPr>
              <w:t>2025</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EEA380C"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2026</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A75150E"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2027</w:t>
            </w:r>
          </w:p>
        </w:tc>
      </w:tr>
      <w:tr w:rsidR="00391223" w:rsidRPr="0082447D" w14:paraId="2227CA23"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44CF292"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Plánovaná hodnota</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7029870"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35 500</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699EF2E0" w14:textId="77777777" w:rsidR="00391223" w:rsidRPr="00391223" w:rsidRDefault="00391223" w:rsidP="00D416E5">
            <w:pPr>
              <w:spacing w:after="0" w:line="240" w:lineRule="auto"/>
              <w:jc w:val="center"/>
              <w:rPr>
                <w:rFonts w:eastAsia="Times New Roman" w:cstheme="minorHAnsi"/>
                <w:b/>
                <w:sz w:val="24"/>
                <w:szCs w:val="24"/>
                <w:lang w:eastAsia="sk-SK"/>
              </w:rPr>
            </w:pPr>
            <w:r w:rsidRPr="00391223">
              <w:rPr>
                <w:rFonts w:eastAsia="Times New Roman" w:cstheme="minorHAnsi"/>
                <w:b/>
                <w:sz w:val="24"/>
                <w:szCs w:val="24"/>
                <w:lang w:eastAsia="sk-SK"/>
              </w:rPr>
              <w:t>35 500</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11D874B0"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35 500</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38013A56"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35 500</w:t>
            </w:r>
          </w:p>
        </w:tc>
      </w:tr>
      <w:tr w:rsidR="00391223" w:rsidRPr="0082447D" w14:paraId="6B5F01B3" w14:textId="77777777" w:rsidTr="00D416E5">
        <w:trPr>
          <w:trHeight w:val="250"/>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B8272D5"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Cieľ</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067C5895" w14:textId="77777777" w:rsidR="00391223" w:rsidRPr="00391223" w:rsidRDefault="00391223" w:rsidP="00D416E5">
            <w:pPr>
              <w:spacing w:after="0" w:line="240" w:lineRule="auto"/>
              <w:rPr>
                <w:rFonts w:eastAsia="Times New Roman" w:cstheme="minorHAnsi"/>
                <w:b/>
                <w:bCs/>
                <w:sz w:val="24"/>
                <w:szCs w:val="24"/>
                <w:highlight w:val="yellow"/>
                <w:lang w:eastAsia="sk-SK"/>
              </w:rPr>
            </w:pPr>
            <w:r w:rsidRPr="00391223">
              <w:rPr>
                <w:rFonts w:eastAsia="Times New Roman" w:cstheme="minorHAnsi"/>
                <w:b/>
                <w:bCs/>
                <w:sz w:val="24"/>
                <w:szCs w:val="24"/>
                <w:lang w:eastAsia="sk-SK"/>
              </w:rPr>
              <w:t>Výkup pozemkov</w:t>
            </w:r>
          </w:p>
        </w:tc>
      </w:tr>
      <w:tr w:rsidR="00391223" w:rsidRPr="0082447D" w14:paraId="73D8D70B"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36D12B5C"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Merateľný ukazovateľ</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17941AA" w14:textId="77777777" w:rsidR="00391223" w:rsidRPr="00391223" w:rsidRDefault="00391223" w:rsidP="00D416E5">
            <w:pPr>
              <w:spacing w:after="0" w:line="240" w:lineRule="auto"/>
              <w:rPr>
                <w:rFonts w:eastAsia="Times New Roman" w:cstheme="minorHAnsi"/>
                <w:sz w:val="24"/>
                <w:szCs w:val="24"/>
                <w:lang w:eastAsia="sk-SK"/>
              </w:rPr>
            </w:pPr>
            <w:r w:rsidRPr="00391223">
              <w:rPr>
                <w:rFonts w:eastAsia="Times New Roman" w:cstheme="minorHAnsi"/>
                <w:sz w:val="24"/>
                <w:szCs w:val="24"/>
                <w:lang w:eastAsia="sk-SK"/>
              </w:rPr>
              <w:t>% z celkovej výmery pozemkov pod cestami</w:t>
            </w:r>
          </w:p>
        </w:tc>
      </w:tr>
      <w:tr w:rsidR="00391223" w:rsidRPr="0082447D" w14:paraId="3EF8B9E3"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0BEBB5A"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Rok</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0265D5D"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2024</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AD88151" w14:textId="77777777" w:rsidR="00391223" w:rsidRPr="00391223" w:rsidRDefault="00391223" w:rsidP="00D416E5">
            <w:pPr>
              <w:spacing w:after="0" w:line="240" w:lineRule="auto"/>
              <w:jc w:val="center"/>
              <w:rPr>
                <w:rFonts w:eastAsia="Times New Roman" w:cstheme="minorHAnsi"/>
                <w:b/>
                <w:sz w:val="24"/>
                <w:szCs w:val="24"/>
                <w:lang w:eastAsia="sk-SK"/>
              </w:rPr>
            </w:pPr>
            <w:r w:rsidRPr="00391223">
              <w:rPr>
                <w:rFonts w:eastAsia="Times New Roman" w:cstheme="minorHAnsi"/>
                <w:b/>
                <w:bCs/>
                <w:sz w:val="24"/>
                <w:szCs w:val="24"/>
                <w:lang w:eastAsia="sk-SK"/>
              </w:rPr>
              <w:t>2025</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4EE5D3AC"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2026</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1F63FC1"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2027</w:t>
            </w:r>
          </w:p>
        </w:tc>
      </w:tr>
      <w:tr w:rsidR="00391223" w:rsidRPr="0082447D" w14:paraId="3A7A4ADA" w14:textId="77777777" w:rsidTr="00D416E5">
        <w:trPr>
          <w:trHeight w:val="250"/>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7000D15" w14:textId="77777777" w:rsidR="00391223" w:rsidRPr="00C04CB3" w:rsidRDefault="00391223" w:rsidP="00D416E5">
            <w:pPr>
              <w:spacing w:after="0" w:line="240" w:lineRule="auto"/>
              <w:rPr>
                <w:rFonts w:eastAsia="Times New Roman" w:cstheme="minorHAnsi"/>
                <w:lang w:eastAsia="sk-SK"/>
              </w:rPr>
            </w:pPr>
            <w:r w:rsidRPr="00C04CB3">
              <w:rPr>
                <w:rFonts w:eastAsia="Times New Roman" w:cstheme="minorHAnsi"/>
                <w:b/>
                <w:bCs/>
                <w:lang w:eastAsia="sk-SK"/>
              </w:rPr>
              <w:t>Plánovaná hodnota</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0802D3BF"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0</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6F81F630" w14:textId="77777777" w:rsidR="00391223" w:rsidRPr="00391223" w:rsidRDefault="00391223" w:rsidP="00D416E5">
            <w:pPr>
              <w:spacing w:after="0" w:line="240" w:lineRule="auto"/>
              <w:jc w:val="center"/>
              <w:rPr>
                <w:rFonts w:eastAsia="Times New Roman" w:cstheme="minorHAnsi"/>
                <w:b/>
                <w:sz w:val="24"/>
                <w:szCs w:val="24"/>
                <w:lang w:eastAsia="sk-SK"/>
              </w:rPr>
            </w:pPr>
            <w:r w:rsidRPr="00391223">
              <w:rPr>
                <w:rFonts w:eastAsia="Times New Roman" w:cstheme="minorHAnsi"/>
                <w:b/>
                <w:sz w:val="24"/>
                <w:szCs w:val="24"/>
                <w:lang w:eastAsia="sk-SK"/>
              </w:rPr>
              <w:t>10</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67CE8B4B"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10</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79C29FD3" w14:textId="77777777" w:rsidR="00391223" w:rsidRPr="00391223" w:rsidRDefault="00391223" w:rsidP="00D416E5">
            <w:pPr>
              <w:spacing w:after="0" w:line="240" w:lineRule="auto"/>
              <w:jc w:val="center"/>
              <w:rPr>
                <w:rFonts w:eastAsia="Times New Roman" w:cstheme="minorHAnsi"/>
                <w:sz w:val="24"/>
                <w:szCs w:val="24"/>
                <w:lang w:eastAsia="sk-SK"/>
              </w:rPr>
            </w:pPr>
            <w:r w:rsidRPr="00391223">
              <w:rPr>
                <w:rFonts w:eastAsia="Times New Roman" w:cstheme="minorHAnsi"/>
                <w:sz w:val="24"/>
                <w:szCs w:val="24"/>
                <w:lang w:eastAsia="sk-SK"/>
              </w:rPr>
              <w:t>10</w:t>
            </w:r>
          </w:p>
        </w:tc>
      </w:tr>
      <w:tr w:rsidR="00391223" w:rsidRPr="0082447D" w14:paraId="0E010EA2"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009667F0" w14:textId="77777777" w:rsidR="00391223" w:rsidRPr="00C04CB3" w:rsidRDefault="00391223" w:rsidP="00D416E5">
            <w:pPr>
              <w:spacing w:after="0" w:line="240" w:lineRule="auto"/>
              <w:rPr>
                <w:rFonts w:eastAsia="Times New Roman" w:cstheme="minorHAnsi"/>
                <w:highlight w:val="yellow"/>
                <w:lang w:eastAsia="sk-SK"/>
              </w:rPr>
            </w:pPr>
            <w:r w:rsidRPr="00C04CB3">
              <w:rPr>
                <w:rFonts w:eastAsia="Times New Roman" w:cstheme="minorHAnsi"/>
                <w:b/>
                <w:bCs/>
                <w:lang w:eastAsia="sk-SK"/>
              </w:rPr>
              <w:t>Cieľ</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51E1464" w14:textId="77777777" w:rsidR="00391223" w:rsidRPr="00391223" w:rsidRDefault="00391223" w:rsidP="00D416E5">
            <w:pPr>
              <w:spacing w:after="0" w:line="240" w:lineRule="auto"/>
              <w:rPr>
                <w:rFonts w:eastAsia="Times New Roman" w:cstheme="minorHAnsi"/>
                <w:sz w:val="24"/>
                <w:szCs w:val="24"/>
                <w:highlight w:val="yellow"/>
                <w:lang w:eastAsia="sk-SK"/>
              </w:rPr>
            </w:pPr>
            <w:r w:rsidRPr="00391223">
              <w:rPr>
                <w:rFonts w:eastAsia="Times New Roman" w:cstheme="minorHAnsi"/>
                <w:b/>
                <w:bCs/>
                <w:sz w:val="24"/>
                <w:szCs w:val="24"/>
                <w:lang w:eastAsia="sk-SK"/>
              </w:rPr>
              <w:t>Rekonštrukcia mostov</w:t>
            </w:r>
          </w:p>
        </w:tc>
      </w:tr>
      <w:tr w:rsidR="00391223" w:rsidRPr="0082447D" w14:paraId="31659578"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599B14B6" w14:textId="77777777" w:rsidR="00391223" w:rsidRPr="00C04CB3" w:rsidRDefault="00391223" w:rsidP="00D416E5">
            <w:pPr>
              <w:spacing w:after="0" w:line="240" w:lineRule="auto"/>
              <w:rPr>
                <w:rFonts w:eastAsia="Times New Roman" w:cstheme="minorHAnsi"/>
                <w:highlight w:val="yellow"/>
                <w:lang w:eastAsia="sk-SK"/>
              </w:rPr>
            </w:pPr>
            <w:r w:rsidRPr="00C04CB3">
              <w:rPr>
                <w:rFonts w:eastAsia="Times New Roman" w:cstheme="minorHAnsi"/>
                <w:b/>
                <w:bCs/>
                <w:lang w:eastAsia="sk-SK"/>
              </w:rPr>
              <w:t>Merateľný ukazovateľ</w:t>
            </w:r>
          </w:p>
        </w:tc>
        <w:tc>
          <w:tcPr>
            <w:tcW w:w="3966" w:type="pct"/>
            <w:gridSpan w:val="11"/>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D7660A0" w14:textId="77777777" w:rsidR="00391223" w:rsidRPr="00391223" w:rsidRDefault="00391223" w:rsidP="00D416E5">
            <w:pPr>
              <w:spacing w:after="0" w:line="240" w:lineRule="auto"/>
              <w:rPr>
                <w:rFonts w:eastAsia="Times New Roman" w:cstheme="minorHAnsi"/>
                <w:sz w:val="24"/>
                <w:szCs w:val="24"/>
                <w:highlight w:val="yellow"/>
                <w:lang w:eastAsia="sk-SK"/>
              </w:rPr>
            </w:pPr>
            <w:r w:rsidRPr="00391223">
              <w:rPr>
                <w:rFonts w:eastAsia="Times New Roman" w:cstheme="minorHAnsi"/>
                <w:sz w:val="24"/>
                <w:szCs w:val="24"/>
                <w:lang w:eastAsia="sk-SK"/>
              </w:rPr>
              <w:t>Počet rekonštruovaných mostov</w:t>
            </w:r>
          </w:p>
        </w:tc>
      </w:tr>
      <w:tr w:rsidR="00391223" w:rsidRPr="0082447D" w14:paraId="34991657"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123F10A" w14:textId="77777777" w:rsidR="00391223" w:rsidRPr="00C04CB3" w:rsidRDefault="00391223" w:rsidP="00D416E5">
            <w:pPr>
              <w:spacing w:after="0" w:line="240" w:lineRule="auto"/>
              <w:rPr>
                <w:rFonts w:eastAsia="Times New Roman" w:cstheme="minorHAnsi"/>
                <w:highlight w:val="yellow"/>
                <w:lang w:eastAsia="sk-SK"/>
              </w:rPr>
            </w:pPr>
            <w:r w:rsidRPr="00C04CB3">
              <w:rPr>
                <w:rFonts w:eastAsia="Times New Roman" w:cstheme="minorHAnsi"/>
                <w:b/>
                <w:bCs/>
                <w:lang w:eastAsia="sk-SK"/>
              </w:rPr>
              <w:t>Rok</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7AE2DB4E" w14:textId="77777777" w:rsidR="00391223" w:rsidRPr="00391223" w:rsidRDefault="00391223" w:rsidP="00D416E5">
            <w:pPr>
              <w:spacing w:after="0" w:line="240" w:lineRule="auto"/>
              <w:jc w:val="center"/>
              <w:rPr>
                <w:rFonts w:eastAsia="Times New Roman" w:cstheme="minorHAnsi"/>
                <w:sz w:val="24"/>
                <w:szCs w:val="24"/>
                <w:highlight w:val="yellow"/>
                <w:lang w:eastAsia="sk-SK"/>
              </w:rPr>
            </w:pPr>
            <w:r w:rsidRPr="00391223">
              <w:rPr>
                <w:rFonts w:eastAsia="Times New Roman" w:cstheme="minorHAnsi"/>
                <w:sz w:val="24"/>
                <w:szCs w:val="24"/>
                <w:lang w:eastAsia="sk-SK"/>
              </w:rPr>
              <w:t>2024</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C0434E5" w14:textId="77777777" w:rsidR="00391223" w:rsidRPr="00391223" w:rsidRDefault="00391223" w:rsidP="00D416E5">
            <w:pPr>
              <w:spacing w:after="0" w:line="240" w:lineRule="auto"/>
              <w:jc w:val="center"/>
              <w:rPr>
                <w:rFonts w:eastAsia="Times New Roman" w:cstheme="minorHAnsi"/>
                <w:b/>
                <w:sz w:val="24"/>
                <w:szCs w:val="24"/>
                <w:highlight w:val="yellow"/>
                <w:lang w:eastAsia="sk-SK"/>
              </w:rPr>
            </w:pPr>
            <w:r w:rsidRPr="00391223">
              <w:rPr>
                <w:rFonts w:eastAsia="Times New Roman" w:cstheme="minorHAnsi"/>
                <w:b/>
                <w:bCs/>
                <w:sz w:val="24"/>
                <w:szCs w:val="24"/>
                <w:lang w:eastAsia="sk-SK"/>
              </w:rPr>
              <w:t>2025</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786E353E" w14:textId="77777777" w:rsidR="00391223" w:rsidRPr="00391223" w:rsidRDefault="00391223" w:rsidP="00D416E5">
            <w:pPr>
              <w:spacing w:after="0" w:line="240" w:lineRule="auto"/>
              <w:jc w:val="center"/>
              <w:rPr>
                <w:rFonts w:eastAsia="Times New Roman" w:cstheme="minorHAnsi"/>
                <w:sz w:val="24"/>
                <w:szCs w:val="24"/>
                <w:highlight w:val="yellow"/>
                <w:lang w:eastAsia="sk-SK"/>
              </w:rPr>
            </w:pPr>
            <w:r w:rsidRPr="00391223">
              <w:rPr>
                <w:rFonts w:eastAsia="Times New Roman" w:cstheme="minorHAnsi"/>
                <w:sz w:val="24"/>
                <w:szCs w:val="24"/>
                <w:lang w:eastAsia="sk-SK"/>
              </w:rPr>
              <w:t>2026</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36FD75B3" w14:textId="77777777" w:rsidR="00391223" w:rsidRPr="00391223" w:rsidRDefault="00391223" w:rsidP="00D416E5">
            <w:pPr>
              <w:spacing w:after="0" w:line="240" w:lineRule="auto"/>
              <w:jc w:val="center"/>
              <w:rPr>
                <w:rFonts w:eastAsia="Times New Roman" w:cstheme="minorHAnsi"/>
                <w:sz w:val="24"/>
                <w:szCs w:val="24"/>
                <w:highlight w:val="yellow"/>
                <w:lang w:eastAsia="sk-SK"/>
              </w:rPr>
            </w:pPr>
            <w:r w:rsidRPr="00391223">
              <w:rPr>
                <w:rFonts w:eastAsia="Times New Roman" w:cstheme="minorHAnsi"/>
                <w:sz w:val="24"/>
                <w:szCs w:val="24"/>
                <w:lang w:eastAsia="sk-SK"/>
              </w:rPr>
              <w:t>2027</w:t>
            </w:r>
          </w:p>
        </w:tc>
      </w:tr>
      <w:tr w:rsidR="00391223" w:rsidRPr="0082447D" w14:paraId="0C3B82A2" w14:textId="77777777" w:rsidTr="00D416E5">
        <w:trPr>
          <w:trHeight w:val="263"/>
          <w:tblCellSpacing w:w="15" w:type="dxa"/>
        </w:trPr>
        <w:tc>
          <w:tcPr>
            <w:tcW w:w="992"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FFAD7ED" w14:textId="77777777" w:rsidR="00391223" w:rsidRPr="00C04CB3" w:rsidRDefault="00391223" w:rsidP="00D416E5">
            <w:pPr>
              <w:spacing w:after="0" w:line="240" w:lineRule="auto"/>
              <w:rPr>
                <w:rFonts w:eastAsia="Times New Roman" w:cstheme="minorHAnsi"/>
                <w:highlight w:val="yellow"/>
                <w:lang w:eastAsia="sk-SK"/>
              </w:rPr>
            </w:pPr>
            <w:r w:rsidRPr="00C04CB3">
              <w:rPr>
                <w:rFonts w:eastAsia="Times New Roman" w:cstheme="minorHAnsi"/>
                <w:b/>
                <w:bCs/>
                <w:lang w:eastAsia="sk-SK"/>
              </w:rPr>
              <w:t>Plánovaná hodnota</w:t>
            </w:r>
          </w:p>
        </w:tc>
        <w:tc>
          <w:tcPr>
            <w:tcW w:w="1074"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053A9484" w14:textId="77777777" w:rsidR="00391223" w:rsidRPr="00391223" w:rsidRDefault="00391223" w:rsidP="00D416E5">
            <w:pPr>
              <w:spacing w:after="0" w:line="240" w:lineRule="auto"/>
              <w:jc w:val="center"/>
              <w:rPr>
                <w:rFonts w:eastAsia="Times New Roman" w:cstheme="minorHAnsi"/>
                <w:sz w:val="24"/>
                <w:szCs w:val="24"/>
                <w:highlight w:val="yellow"/>
                <w:lang w:eastAsia="sk-SK"/>
              </w:rPr>
            </w:pPr>
            <w:r w:rsidRPr="00391223">
              <w:rPr>
                <w:rFonts w:eastAsia="Times New Roman" w:cstheme="minorHAnsi"/>
                <w:sz w:val="24"/>
                <w:szCs w:val="24"/>
                <w:lang w:eastAsia="sk-SK"/>
              </w:rPr>
              <w:t>0</w:t>
            </w:r>
          </w:p>
        </w:tc>
        <w:tc>
          <w:tcPr>
            <w:tcW w:w="1051"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33603158" w14:textId="77777777" w:rsidR="00391223" w:rsidRPr="00391223" w:rsidRDefault="00391223" w:rsidP="00D416E5">
            <w:pPr>
              <w:spacing w:after="0" w:line="240" w:lineRule="auto"/>
              <w:jc w:val="center"/>
              <w:rPr>
                <w:rFonts w:eastAsia="Times New Roman" w:cstheme="minorHAnsi"/>
                <w:b/>
                <w:sz w:val="24"/>
                <w:szCs w:val="24"/>
                <w:highlight w:val="yellow"/>
                <w:lang w:eastAsia="sk-SK"/>
              </w:rPr>
            </w:pPr>
            <w:r w:rsidRPr="00391223">
              <w:rPr>
                <w:rFonts w:eastAsia="Times New Roman" w:cstheme="minorHAnsi"/>
                <w:b/>
                <w:sz w:val="24"/>
                <w:szCs w:val="24"/>
                <w:lang w:eastAsia="sk-SK"/>
              </w:rPr>
              <w:t>3</w:t>
            </w:r>
          </w:p>
        </w:tc>
        <w:tc>
          <w:tcPr>
            <w:tcW w:w="1100" w:type="pct"/>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0C51C8F3" w14:textId="77777777" w:rsidR="00391223" w:rsidRPr="00391223" w:rsidRDefault="00391223" w:rsidP="00D416E5">
            <w:pPr>
              <w:spacing w:after="0" w:line="240" w:lineRule="auto"/>
              <w:jc w:val="center"/>
              <w:rPr>
                <w:rFonts w:eastAsia="Times New Roman" w:cstheme="minorHAnsi"/>
                <w:sz w:val="24"/>
                <w:szCs w:val="24"/>
                <w:highlight w:val="yellow"/>
                <w:lang w:eastAsia="sk-SK"/>
              </w:rPr>
            </w:pPr>
            <w:r w:rsidRPr="00391223">
              <w:rPr>
                <w:rFonts w:eastAsia="Times New Roman" w:cstheme="minorHAnsi"/>
                <w:sz w:val="24"/>
                <w:szCs w:val="24"/>
                <w:lang w:eastAsia="sk-SK"/>
              </w:rPr>
              <w:t>3</w:t>
            </w:r>
          </w:p>
        </w:tc>
        <w:tc>
          <w:tcPr>
            <w:tcW w:w="697" w:type="pct"/>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tcPr>
          <w:p w14:paraId="3896CCCC" w14:textId="77777777" w:rsidR="00391223" w:rsidRPr="00391223" w:rsidRDefault="00391223" w:rsidP="00D416E5">
            <w:pPr>
              <w:spacing w:after="0" w:line="240" w:lineRule="auto"/>
              <w:jc w:val="center"/>
              <w:rPr>
                <w:rFonts w:eastAsia="Times New Roman" w:cstheme="minorHAnsi"/>
                <w:sz w:val="24"/>
                <w:szCs w:val="24"/>
                <w:highlight w:val="yellow"/>
                <w:lang w:eastAsia="sk-SK"/>
              </w:rPr>
            </w:pPr>
            <w:r w:rsidRPr="00391223">
              <w:rPr>
                <w:rFonts w:eastAsia="Times New Roman" w:cstheme="minorHAnsi"/>
                <w:sz w:val="24"/>
                <w:szCs w:val="24"/>
                <w:lang w:eastAsia="sk-SK"/>
              </w:rPr>
              <w:t>3</w:t>
            </w:r>
          </w:p>
        </w:tc>
      </w:tr>
    </w:tbl>
    <w:p w14:paraId="250E80AD" w14:textId="77777777" w:rsidR="007C089A" w:rsidRPr="009124C2" w:rsidRDefault="007C089A" w:rsidP="00537ACE">
      <w:pPr>
        <w:spacing w:after="0" w:line="240" w:lineRule="auto"/>
        <w:rPr>
          <w:rFonts w:eastAsiaTheme="minorEastAsia" w:cstheme="minorHAnsi"/>
          <w:sz w:val="24"/>
          <w:szCs w:val="24"/>
          <w:lang w:eastAsia="sk-SK"/>
        </w:rPr>
      </w:pPr>
    </w:p>
    <w:p w14:paraId="192A893A" w14:textId="77777777" w:rsidR="009124C2" w:rsidRPr="009124C2" w:rsidRDefault="009124C2" w:rsidP="00537ACE">
      <w:pPr>
        <w:spacing w:after="0" w:line="240" w:lineRule="auto"/>
        <w:rPr>
          <w:rFonts w:eastAsiaTheme="minorEastAsia" w:cstheme="minorHAnsi"/>
          <w:vanish/>
          <w:sz w:val="24"/>
          <w:szCs w:val="24"/>
          <w:lang w:eastAsia="sk-SK"/>
        </w:rPr>
      </w:pPr>
    </w:p>
    <w:p w14:paraId="72DFE5A5" w14:textId="4E38BA3C" w:rsidR="0065317C" w:rsidRDefault="009124C2" w:rsidP="00537ACE">
      <w:pPr>
        <w:spacing w:after="0" w:line="240" w:lineRule="auto"/>
        <w:jc w:val="both"/>
        <w:outlineLvl w:val="1"/>
        <w:rPr>
          <w:rFonts w:eastAsiaTheme="minorEastAsia" w:cstheme="minorHAnsi"/>
          <w:sz w:val="24"/>
          <w:szCs w:val="24"/>
          <w:lang w:eastAsia="sk-SK"/>
        </w:rPr>
      </w:pPr>
      <w:r w:rsidRPr="009124C2">
        <w:rPr>
          <w:rFonts w:eastAsiaTheme="minorEastAsia" w:cstheme="minorHAnsi"/>
          <w:b/>
          <w:bCs/>
          <w:sz w:val="24"/>
          <w:szCs w:val="24"/>
          <w:lang w:eastAsia="sk-SK"/>
        </w:rPr>
        <w:t xml:space="preserve">Komentár: </w:t>
      </w:r>
      <w:r w:rsidRPr="009124C2">
        <w:rPr>
          <w:rFonts w:eastAsiaTheme="minorEastAsia" w:cstheme="minorHAnsi"/>
          <w:sz w:val="24"/>
          <w:szCs w:val="24"/>
          <w:lang w:eastAsia="sk-SK"/>
        </w:rPr>
        <w:t xml:space="preserve">Cieľom je zabezpečenie zjazdnosti a bezpečnosti premávky na všetkých 517,997 kilometroch komunikácií vo vlastníctve BSK. </w:t>
      </w:r>
      <w:r w:rsidR="003D2BD8">
        <w:rPr>
          <w:rFonts w:eastAsiaTheme="minorEastAsia" w:cstheme="minorHAnsi"/>
          <w:sz w:val="24"/>
          <w:szCs w:val="24"/>
          <w:lang w:eastAsia="sk-SK"/>
        </w:rPr>
        <w:t xml:space="preserve"> </w:t>
      </w:r>
      <w:r w:rsidRPr="009124C2">
        <w:rPr>
          <w:rFonts w:eastAsiaTheme="minorEastAsia" w:cstheme="minorHAnsi"/>
          <w:sz w:val="24"/>
          <w:szCs w:val="24"/>
          <w:lang w:eastAsia="sk-SK"/>
        </w:rPr>
        <w:t xml:space="preserve">Vykonávanie bežnej údržby a rekonštrukcií ciest II. a III. triedy, ktoré sú vo vlastníctve BSK, zabezpečuje </w:t>
      </w:r>
      <w:r w:rsidRPr="0065317C">
        <w:rPr>
          <w:rFonts w:eastAsiaTheme="minorEastAsia" w:cstheme="minorHAnsi"/>
          <w:b/>
          <w:bCs/>
          <w:sz w:val="24"/>
          <w:szCs w:val="24"/>
          <w:lang w:eastAsia="sk-SK"/>
        </w:rPr>
        <w:t>príspevková organizácia poverená výkonom údržby a správy ciest – Správa ciest Bratislavského samosprávneho kraja</w:t>
      </w:r>
      <w:r w:rsidRPr="009124C2">
        <w:rPr>
          <w:rFonts w:eastAsiaTheme="minorEastAsia" w:cstheme="minorHAnsi"/>
          <w:sz w:val="24"/>
          <w:szCs w:val="24"/>
          <w:lang w:eastAsia="sk-SK"/>
        </w:rPr>
        <w:t xml:space="preserve">. </w:t>
      </w:r>
      <w:r w:rsidR="003D2BD8">
        <w:rPr>
          <w:rFonts w:eastAsiaTheme="minorEastAsia" w:cstheme="minorHAnsi"/>
          <w:sz w:val="24"/>
          <w:szCs w:val="24"/>
          <w:lang w:eastAsia="sk-SK"/>
        </w:rPr>
        <w:t xml:space="preserve"> </w:t>
      </w:r>
    </w:p>
    <w:p w14:paraId="48C5D22B" w14:textId="01468A0C" w:rsidR="0065317C" w:rsidRDefault="009124C2" w:rsidP="009124C2">
      <w:pPr>
        <w:spacing w:before="100" w:beforeAutospacing="1" w:after="100" w:afterAutospacing="1" w:line="240" w:lineRule="auto"/>
        <w:jc w:val="both"/>
        <w:outlineLvl w:val="1"/>
        <w:rPr>
          <w:rFonts w:eastAsiaTheme="minorEastAsia" w:cstheme="minorHAnsi"/>
          <w:sz w:val="24"/>
          <w:szCs w:val="24"/>
          <w:lang w:eastAsia="sk-SK"/>
        </w:rPr>
      </w:pPr>
      <w:r w:rsidRPr="009124C2">
        <w:rPr>
          <w:rFonts w:eastAsiaTheme="minorEastAsia" w:cstheme="minorHAnsi"/>
          <w:sz w:val="24"/>
          <w:szCs w:val="24"/>
          <w:lang w:eastAsia="sk-SK"/>
        </w:rPr>
        <w:t xml:space="preserve">Cieľom Správy ciest BSK je zabezpečenie zjazdnosti a bezpečnosti premávky na všetkých 517,997 kilometroch komunikácií vo vlastníctve BSK. Vykonáva bežnú údržbu a rekonštrukcie ciest II. a III. triedy, ktoré sú vo vlastníctve BSK. Bežnou údržbou sa rozumie všetka činnosť správcu na zabezpečenie zjazdnosti ciest II. a III. triedy počas celého roka sú to bežné opravy vozovky, oprava a obnova vodorovného a zvislého dopravného značenia, kosenie a postreky priľahlých pozemkov, čistenie priekop, rigolov a krajníc, výrezov krov, stromov a ich likvidácia. Ďalej odpratávanie cestných prekážok, čistenie ciest a priľahlých pozemkov. Neoddeliteľnou súčasťou je výkon správy. </w:t>
      </w:r>
    </w:p>
    <w:p w14:paraId="640D0290" w14:textId="77777777" w:rsidR="00215582" w:rsidRDefault="009124C2" w:rsidP="00215582">
      <w:pPr>
        <w:spacing w:after="0" w:line="240" w:lineRule="auto"/>
        <w:jc w:val="both"/>
        <w:outlineLvl w:val="1"/>
        <w:rPr>
          <w:rFonts w:eastAsiaTheme="minorEastAsia" w:cstheme="minorHAnsi"/>
          <w:sz w:val="24"/>
          <w:szCs w:val="24"/>
          <w:lang w:eastAsia="sk-SK"/>
        </w:rPr>
      </w:pPr>
      <w:r w:rsidRPr="009124C2">
        <w:rPr>
          <w:rFonts w:eastAsiaTheme="minorEastAsia" w:cstheme="minorHAnsi"/>
          <w:sz w:val="24"/>
          <w:szCs w:val="24"/>
          <w:lang w:eastAsia="sk-SK"/>
        </w:rPr>
        <w:t xml:space="preserve">Zimná údržba sa vykonáva spravidla v období 15. november – 15. apríl. Pod zimnou údržbou sa rozumie činnosť správcu na zabezpečenie zjazdnosti ciest (posyp zľadovateného povrchu vozovky, odhŕňanie snehu z vozovky, odvoz snehu, odstraňovanie cestných prekážok. Vo výdavkovej časti návrhu rozpočtu sú zahrnuté všetky výdavky nevyhnutné na zabezpečenie správy ciest, ktoré vyplývajú zo zákona a zmluvných vzťahov. Navrhované sú v štruktúre </w:t>
      </w:r>
      <w:r w:rsidRPr="00011C51">
        <w:rPr>
          <w:rFonts w:eastAsiaTheme="minorEastAsia" w:cstheme="minorHAnsi"/>
          <w:b/>
          <w:bCs/>
          <w:sz w:val="24"/>
          <w:szCs w:val="24"/>
          <w:lang w:eastAsia="sk-SK"/>
        </w:rPr>
        <w:t xml:space="preserve">bežných výdavkov a kapitálových výdavkov v celkovej výške </w:t>
      </w:r>
      <w:r w:rsidR="00260123" w:rsidRPr="00011C51">
        <w:rPr>
          <w:rFonts w:eastAsiaTheme="minorEastAsia" w:cstheme="minorHAnsi"/>
          <w:b/>
          <w:bCs/>
          <w:sz w:val="24"/>
          <w:szCs w:val="24"/>
          <w:lang w:eastAsia="sk-SK"/>
        </w:rPr>
        <w:t xml:space="preserve">33 283 301,84 </w:t>
      </w:r>
      <w:r w:rsidRPr="00011C51">
        <w:rPr>
          <w:rFonts w:eastAsiaTheme="minorEastAsia" w:cstheme="minorHAnsi"/>
          <w:b/>
          <w:bCs/>
          <w:sz w:val="24"/>
          <w:szCs w:val="24"/>
          <w:lang w:eastAsia="sk-SK"/>
        </w:rPr>
        <w:t>EUR</w:t>
      </w:r>
      <w:r w:rsidRPr="009124C2">
        <w:rPr>
          <w:rFonts w:eastAsiaTheme="minorEastAsia" w:cstheme="minorHAnsi"/>
          <w:sz w:val="24"/>
          <w:szCs w:val="24"/>
          <w:lang w:eastAsia="sk-SK"/>
        </w:rPr>
        <w:t xml:space="preserve">. </w:t>
      </w:r>
      <w:r w:rsidRPr="009124C2">
        <w:rPr>
          <w:rFonts w:eastAsiaTheme="minorEastAsia" w:cstheme="minorHAnsi"/>
          <w:sz w:val="24"/>
          <w:szCs w:val="24"/>
          <w:lang w:eastAsia="sk-SK"/>
        </w:rPr>
        <w:br/>
      </w:r>
    </w:p>
    <w:p w14:paraId="1B1CAE5B" w14:textId="7589F116" w:rsidR="006A6847" w:rsidRDefault="009124C2" w:rsidP="00215582">
      <w:pPr>
        <w:spacing w:after="0" w:line="240" w:lineRule="auto"/>
        <w:jc w:val="both"/>
        <w:outlineLvl w:val="1"/>
        <w:rPr>
          <w:rFonts w:eastAsiaTheme="minorEastAsia" w:cstheme="minorHAnsi"/>
          <w:sz w:val="24"/>
          <w:szCs w:val="24"/>
          <w:lang w:eastAsia="sk-SK"/>
        </w:rPr>
      </w:pPr>
      <w:r w:rsidRPr="005F205E">
        <w:rPr>
          <w:rFonts w:eastAsiaTheme="minorEastAsia" w:cstheme="minorHAnsi"/>
          <w:b/>
          <w:bCs/>
          <w:sz w:val="24"/>
          <w:szCs w:val="24"/>
          <w:lang w:eastAsia="sk-SK"/>
        </w:rPr>
        <w:t>Bežné výdavky</w:t>
      </w:r>
      <w:r w:rsidRPr="009124C2">
        <w:rPr>
          <w:rFonts w:eastAsiaTheme="minorEastAsia" w:cstheme="minorHAnsi"/>
          <w:sz w:val="24"/>
          <w:szCs w:val="24"/>
          <w:lang w:eastAsia="sk-SK"/>
        </w:rPr>
        <w:t xml:space="preserve"> sú navrhnuté na rok 202</w:t>
      </w:r>
      <w:r w:rsidR="00215582">
        <w:rPr>
          <w:rFonts w:eastAsiaTheme="minorEastAsia" w:cstheme="minorHAnsi"/>
          <w:sz w:val="24"/>
          <w:szCs w:val="24"/>
          <w:lang w:eastAsia="sk-SK"/>
        </w:rPr>
        <w:t>5</w:t>
      </w:r>
      <w:r w:rsidRPr="009124C2">
        <w:rPr>
          <w:rFonts w:eastAsiaTheme="minorEastAsia" w:cstheme="minorHAnsi"/>
          <w:sz w:val="24"/>
          <w:szCs w:val="24"/>
          <w:lang w:eastAsia="sk-SK"/>
        </w:rPr>
        <w:t xml:space="preserve"> v celkovej </w:t>
      </w:r>
      <w:r w:rsidRPr="0054056F">
        <w:rPr>
          <w:rFonts w:eastAsiaTheme="minorEastAsia" w:cstheme="minorHAnsi"/>
          <w:sz w:val="24"/>
          <w:szCs w:val="24"/>
          <w:lang w:eastAsia="sk-SK"/>
        </w:rPr>
        <w:t>výške</w:t>
      </w:r>
      <w:r w:rsidRPr="00011C51">
        <w:rPr>
          <w:rFonts w:eastAsiaTheme="minorEastAsia" w:cstheme="minorHAnsi"/>
          <w:b/>
          <w:bCs/>
          <w:sz w:val="24"/>
          <w:szCs w:val="24"/>
          <w:lang w:eastAsia="sk-SK"/>
        </w:rPr>
        <w:t xml:space="preserve"> 7 </w:t>
      </w:r>
      <w:r w:rsidR="00215582" w:rsidRPr="00011C51">
        <w:rPr>
          <w:rFonts w:eastAsiaTheme="minorEastAsia" w:cstheme="minorHAnsi"/>
          <w:b/>
          <w:bCs/>
          <w:sz w:val="24"/>
          <w:szCs w:val="24"/>
          <w:lang w:eastAsia="sk-SK"/>
        </w:rPr>
        <w:t>0</w:t>
      </w:r>
      <w:r w:rsidRPr="00011C51">
        <w:rPr>
          <w:rFonts w:eastAsiaTheme="minorEastAsia" w:cstheme="minorHAnsi"/>
          <w:b/>
          <w:bCs/>
          <w:sz w:val="24"/>
          <w:szCs w:val="24"/>
          <w:lang w:eastAsia="sk-SK"/>
        </w:rPr>
        <w:t>00 000 EUR</w:t>
      </w:r>
      <w:r w:rsidRPr="009124C2">
        <w:rPr>
          <w:rFonts w:eastAsiaTheme="minorEastAsia" w:cstheme="minorHAnsi"/>
          <w:sz w:val="24"/>
          <w:szCs w:val="24"/>
          <w:lang w:eastAsia="sk-SK"/>
        </w:rPr>
        <w:t>, s cieľom aby boli zabezpečené všetky obligatórne povinnosti správy ciest vyplývajúce jej z predmetu činnosti. Je zapojená príspevkom od zriaďovateľa. V rámci výkonu prác bežnej a zimnej údržby sa môže a aj s najväčšou pravdepodobnosťou sa aj bude meniť podľa vývoja čerpania rozpočtu v roku 202</w:t>
      </w:r>
      <w:r w:rsidR="00011C51">
        <w:rPr>
          <w:rFonts w:eastAsiaTheme="minorEastAsia" w:cstheme="minorHAnsi"/>
          <w:sz w:val="24"/>
          <w:szCs w:val="24"/>
          <w:lang w:eastAsia="sk-SK"/>
        </w:rPr>
        <w:t>5</w:t>
      </w:r>
      <w:r w:rsidRPr="009124C2">
        <w:rPr>
          <w:rFonts w:eastAsiaTheme="minorEastAsia" w:cstheme="minorHAnsi"/>
          <w:sz w:val="24"/>
          <w:szCs w:val="24"/>
          <w:lang w:eastAsia="sk-SK"/>
        </w:rPr>
        <w:t xml:space="preserve">. Všetko bude v závislosti od poveternostných podmienok (hlavne výkon prác zimnej údržby), stavu a potrieb cestnej siete a skutočne realizovaných výkonov objemov jednotlivých prác. </w:t>
      </w:r>
    </w:p>
    <w:p w14:paraId="5CCDE11B" w14:textId="77777777" w:rsidR="00A43301" w:rsidRDefault="00A43301" w:rsidP="000B528A">
      <w:pPr>
        <w:spacing w:after="0" w:line="240" w:lineRule="auto"/>
        <w:jc w:val="both"/>
        <w:outlineLvl w:val="1"/>
        <w:rPr>
          <w:rFonts w:eastAsiaTheme="minorEastAsia" w:cstheme="minorHAnsi"/>
          <w:sz w:val="24"/>
          <w:szCs w:val="24"/>
          <w:lang w:eastAsia="sk-SK"/>
        </w:rPr>
      </w:pPr>
    </w:p>
    <w:p w14:paraId="258340CD" w14:textId="5DF6B6C1" w:rsidR="006A6847" w:rsidRDefault="009124C2" w:rsidP="00A43301">
      <w:pPr>
        <w:spacing w:after="0" w:line="240" w:lineRule="auto"/>
        <w:jc w:val="both"/>
        <w:outlineLvl w:val="1"/>
        <w:rPr>
          <w:rFonts w:eastAsiaTheme="minorEastAsia" w:cstheme="minorHAnsi"/>
          <w:sz w:val="24"/>
          <w:szCs w:val="24"/>
          <w:lang w:eastAsia="sk-SK"/>
        </w:rPr>
      </w:pPr>
      <w:r w:rsidRPr="009124C2">
        <w:rPr>
          <w:rFonts w:eastAsiaTheme="minorEastAsia" w:cstheme="minorHAnsi"/>
          <w:sz w:val="24"/>
          <w:szCs w:val="24"/>
          <w:lang w:eastAsia="sk-SK"/>
        </w:rPr>
        <w:t xml:space="preserve">Ďalej nevyhnutné náklady: </w:t>
      </w:r>
    </w:p>
    <w:p w14:paraId="3E36D367" w14:textId="77777777" w:rsidR="00A43301" w:rsidRPr="00A43301" w:rsidRDefault="009124C2" w:rsidP="00A43301">
      <w:pPr>
        <w:pStyle w:val="Odsekzoznamu"/>
        <w:numPr>
          <w:ilvl w:val="0"/>
          <w:numId w:val="35"/>
        </w:numPr>
        <w:spacing w:before="0" w:beforeAutospacing="0" w:after="0" w:afterAutospacing="0"/>
        <w:jc w:val="both"/>
        <w:outlineLvl w:val="1"/>
        <w:rPr>
          <w:rFonts w:asciiTheme="minorHAnsi" w:eastAsiaTheme="minorEastAsia" w:hAnsiTheme="minorHAnsi" w:cstheme="minorHAnsi"/>
        </w:rPr>
      </w:pPr>
      <w:r w:rsidRPr="00A43301">
        <w:rPr>
          <w:rFonts w:asciiTheme="minorHAnsi" w:eastAsiaTheme="minorEastAsia" w:hAnsiTheme="minorHAnsi" w:cstheme="minorHAnsi"/>
        </w:rPr>
        <w:t xml:space="preserve">na úseku verejného obstarávania a správy majetku predpokladané výdavky na servis, údržbu opravy spojené s dopravnými prostriedkami ako aj náklady na opravy budov z dôvodu havarijného stavu zverených do správy majetku, </w:t>
      </w:r>
    </w:p>
    <w:p w14:paraId="28D2D1E7" w14:textId="77777777" w:rsidR="00A43301" w:rsidRPr="00A43301" w:rsidRDefault="009124C2" w:rsidP="000B528A">
      <w:pPr>
        <w:pStyle w:val="Odsekzoznamu"/>
        <w:numPr>
          <w:ilvl w:val="0"/>
          <w:numId w:val="35"/>
        </w:numPr>
        <w:spacing w:after="0"/>
        <w:jc w:val="both"/>
        <w:outlineLvl w:val="1"/>
        <w:rPr>
          <w:rFonts w:asciiTheme="minorHAnsi" w:eastAsiaTheme="minorEastAsia" w:hAnsiTheme="minorHAnsi" w:cstheme="minorHAnsi"/>
        </w:rPr>
      </w:pPr>
      <w:r w:rsidRPr="00A43301">
        <w:rPr>
          <w:rFonts w:asciiTheme="minorHAnsi" w:eastAsiaTheme="minorEastAsia" w:hAnsiTheme="minorHAnsi" w:cstheme="minorHAnsi"/>
        </w:rPr>
        <w:lastRenderedPageBreak/>
        <w:t xml:space="preserve">na úseku údržby a opráv náklady na posypovú soľ s rozmrazovacou účinnosťou, snehové zábrany, asfaltové zmesi, záchytné bezpečnostné systémy a ostatné materiály na úpravu vozoviek II. a III. triedy, </w:t>
      </w:r>
    </w:p>
    <w:p w14:paraId="5012A2D4" w14:textId="77777777" w:rsidR="00A43301" w:rsidRPr="00A43301" w:rsidRDefault="009124C2" w:rsidP="000B528A">
      <w:pPr>
        <w:pStyle w:val="Odsekzoznamu"/>
        <w:numPr>
          <w:ilvl w:val="0"/>
          <w:numId w:val="35"/>
        </w:numPr>
        <w:spacing w:after="0"/>
        <w:jc w:val="both"/>
        <w:outlineLvl w:val="1"/>
        <w:rPr>
          <w:rFonts w:asciiTheme="minorHAnsi" w:eastAsiaTheme="minorEastAsia" w:hAnsiTheme="minorHAnsi" w:cstheme="minorHAnsi"/>
        </w:rPr>
      </w:pPr>
      <w:r w:rsidRPr="00A43301">
        <w:rPr>
          <w:rFonts w:asciiTheme="minorHAnsi" w:eastAsiaTheme="minorEastAsia" w:hAnsiTheme="minorHAnsi" w:cstheme="minorHAnsi"/>
        </w:rPr>
        <w:t xml:space="preserve">realizáciu špeciálnych služieb VDZ, na zalievanie </w:t>
      </w:r>
      <w:proofErr w:type="spellStart"/>
      <w:r w:rsidRPr="00A43301">
        <w:rPr>
          <w:rFonts w:asciiTheme="minorHAnsi" w:eastAsiaTheme="minorEastAsia" w:hAnsiTheme="minorHAnsi" w:cstheme="minorHAnsi"/>
        </w:rPr>
        <w:t>špár</w:t>
      </w:r>
      <w:proofErr w:type="spellEnd"/>
      <w:r w:rsidRPr="00A43301">
        <w:rPr>
          <w:rFonts w:asciiTheme="minorHAnsi" w:eastAsiaTheme="minorEastAsia" w:hAnsiTheme="minorHAnsi" w:cstheme="minorHAnsi"/>
        </w:rPr>
        <w:t xml:space="preserve"> </w:t>
      </w:r>
      <w:proofErr w:type="spellStart"/>
      <w:r w:rsidRPr="00A43301">
        <w:rPr>
          <w:rFonts w:asciiTheme="minorHAnsi" w:eastAsiaTheme="minorEastAsia" w:hAnsiTheme="minorHAnsi" w:cstheme="minorHAnsi"/>
        </w:rPr>
        <w:t>zálievkovou</w:t>
      </w:r>
      <w:proofErr w:type="spellEnd"/>
      <w:r w:rsidRPr="00A43301">
        <w:rPr>
          <w:rFonts w:asciiTheme="minorHAnsi" w:eastAsiaTheme="minorEastAsia" w:hAnsiTheme="minorHAnsi" w:cstheme="minorHAnsi"/>
        </w:rPr>
        <w:t xml:space="preserve"> modifikovanou hmotou, výmenu </w:t>
      </w:r>
      <w:proofErr w:type="spellStart"/>
      <w:r w:rsidRPr="00A43301">
        <w:rPr>
          <w:rFonts w:asciiTheme="minorHAnsi" w:eastAsiaTheme="minorEastAsia" w:hAnsiTheme="minorHAnsi" w:cstheme="minorHAnsi"/>
        </w:rPr>
        <w:t>asfaltobetónovej</w:t>
      </w:r>
      <w:proofErr w:type="spellEnd"/>
      <w:r w:rsidRPr="00A43301">
        <w:rPr>
          <w:rFonts w:asciiTheme="minorHAnsi" w:eastAsiaTheme="minorEastAsia" w:hAnsiTheme="minorHAnsi" w:cstheme="minorHAnsi"/>
        </w:rPr>
        <w:t xml:space="preserve"> </w:t>
      </w:r>
      <w:proofErr w:type="spellStart"/>
      <w:r w:rsidRPr="00A43301">
        <w:rPr>
          <w:rFonts w:asciiTheme="minorHAnsi" w:eastAsiaTheme="minorEastAsia" w:hAnsiTheme="minorHAnsi" w:cstheme="minorHAnsi"/>
        </w:rPr>
        <w:t>obrusnej</w:t>
      </w:r>
      <w:proofErr w:type="spellEnd"/>
      <w:r w:rsidRPr="00A43301">
        <w:rPr>
          <w:rFonts w:asciiTheme="minorHAnsi" w:eastAsiaTheme="minorEastAsia" w:hAnsiTheme="minorHAnsi" w:cstheme="minorHAnsi"/>
        </w:rPr>
        <w:t xml:space="preserve"> vrstvy, čistenie dažďových vpustí, dažďovej kanalizácie a priepustov v sume, dendrologické posudky cestného stromoradia, </w:t>
      </w:r>
    </w:p>
    <w:p w14:paraId="3413F22E" w14:textId="77777777" w:rsidR="00A43301" w:rsidRPr="00A43301" w:rsidRDefault="009124C2" w:rsidP="000B528A">
      <w:pPr>
        <w:pStyle w:val="Odsekzoznamu"/>
        <w:numPr>
          <w:ilvl w:val="0"/>
          <w:numId w:val="35"/>
        </w:numPr>
        <w:spacing w:after="0"/>
        <w:jc w:val="both"/>
        <w:outlineLvl w:val="1"/>
        <w:rPr>
          <w:rFonts w:asciiTheme="minorHAnsi" w:eastAsiaTheme="minorEastAsia" w:hAnsiTheme="minorHAnsi" w:cstheme="minorHAnsi"/>
        </w:rPr>
      </w:pPr>
      <w:r w:rsidRPr="00A43301">
        <w:rPr>
          <w:rFonts w:asciiTheme="minorHAnsi" w:eastAsiaTheme="minorEastAsia" w:hAnsiTheme="minorHAnsi" w:cstheme="minorHAnsi"/>
        </w:rPr>
        <w:t xml:space="preserve">na úseku správy ciest a investícií je potrebné zabezpečenie výstupov z akreditovaného skúšobného laboratória pre potreby kontroly zabudovaných materiálov zhotoviteľmi stavieb, zabezpečiť diagnostiku spravovaných SC BSK mostných objektov z dôvodu zistenia skutkového stavu a návrh na sanáciu formou opravy alebo rekonštrukcie, geodetické meračské práce pripravovaných alebo realizovaných stavieb ako aj projekčné práce slúžiace ako návrh opatrení na opravu a rekonštrukciu poškodených ciest, mostov a priepustov, </w:t>
      </w:r>
    </w:p>
    <w:p w14:paraId="38ED6C8D" w14:textId="02F60B16" w:rsidR="006A6847" w:rsidRPr="00A43301" w:rsidRDefault="009124C2" w:rsidP="000B528A">
      <w:pPr>
        <w:pStyle w:val="Odsekzoznamu"/>
        <w:numPr>
          <w:ilvl w:val="0"/>
          <w:numId w:val="35"/>
        </w:numPr>
        <w:spacing w:after="0"/>
        <w:jc w:val="both"/>
        <w:outlineLvl w:val="1"/>
        <w:rPr>
          <w:rFonts w:asciiTheme="minorHAnsi" w:eastAsiaTheme="minorEastAsia" w:hAnsiTheme="minorHAnsi" w:cstheme="minorHAnsi"/>
        </w:rPr>
      </w:pPr>
      <w:r w:rsidRPr="00A43301">
        <w:rPr>
          <w:rFonts w:asciiTheme="minorHAnsi" w:eastAsiaTheme="minorEastAsia" w:hAnsiTheme="minorHAnsi" w:cstheme="minorHAnsi"/>
        </w:rPr>
        <w:t>služby v oblasti informačne komunikačných technológií sa plánuje na základe zmeny skutkového stavu cestnej siete s finančnými prostriedkami na aktualizáciu mapových podkladov (zmeny vyplývajúce zo zmeny šírky vozovky po rekonštrukcii, vybudovania nových okružných križovatiek, doplnenia nových bezpečnostných dopravných zaradení a iné) v plánovanej výške</w:t>
      </w:r>
      <w:r w:rsidR="00F05240" w:rsidRPr="00A43301">
        <w:rPr>
          <w:rFonts w:asciiTheme="minorHAnsi" w:eastAsiaTheme="minorEastAsia" w:hAnsiTheme="minorHAnsi" w:cstheme="minorHAnsi"/>
        </w:rPr>
        <w:t>.</w:t>
      </w:r>
    </w:p>
    <w:p w14:paraId="2E017C0E" w14:textId="51AE3EFC" w:rsidR="00E3312E" w:rsidRDefault="009124C2" w:rsidP="009124C2">
      <w:pPr>
        <w:spacing w:before="100" w:beforeAutospacing="1" w:after="100" w:afterAutospacing="1" w:line="240" w:lineRule="auto"/>
        <w:jc w:val="both"/>
        <w:outlineLvl w:val="1"/>
        <w:rPr>
          <w:rFonts w:eastAsiaTheme="minorEastAsia" w:cstheme="minorHAnsi"/>
          <w:sz w:val="24"/>
          <w:szCs w:val="24"/>
          <w:lang w:eastAsia="sk-SK"/>
        </w:rPr>
      </w:pPr>
      <w:r w:rsidRPr="009124C2">
        <w:rPr>
          <w:rFonts w:eastAsiaTheme="minorEastAsia" w:cstheme="minorHAnsi"/>
          <w:sz w:val="24"/>
          <w:szCs w:val="24"/>
          <w:lang w:eastAsia="sk-SK"/>
        </w:rPr>
        <w:t>V kapitole Bežné výdavky, v rámci výkonu prác bežnej a zimnej údržby sa môže, a aj s najväčšou pravdepodobnosťou sa aj bude, čerpanie počas roku 202</w:t>
      </w:r>
      <w:r w:rsidR="00701135">
        <w:rPr>
          <w:rFonts w:eastAsiaTheme="minorEastAsia" w:cstheme="minorHAnsi"/>
          <w:sz w:val="24"/>
          <w:szCs w:val="24"/>
          <w:lang w:eastAsia="sk-SK"/>
        </w:rPr>
        <w:t>5</w:t>
      </w:r>
      <w:r w:rsidRPr="009124C2">
        <w:rPr>
          <w:rFonts w:eastAsiaTheme="minorEastAsia" w:cstheme="minorHAnsi"/>
          <w:sz w:val="24"/>
          <w:szCs w:val="24"/>
          <w:lang w:eastAsia="sk-SK"/>
        </w:rPr>
        <w:t xml:space="preserve"> meniť. Bude závisieť najmä na poveternostnej situácii (hlavne výkon prác zimnej údržby), stavu a potrieb cestnej siete a skutočne realizovaných výkonov a objemov jednotlivých prác. </w:t>
      </w:r>
    </w:p>
    <w:p w14:paraId="79D82294" w14:textId="630F59B6" w:rsidR="000E19B9" w:rsidRDefault="009124C2" w:rsidP="009124C2">
      <w:pPr>
        <w:spacing w:before="100" w:beforeAutospacing="1" w:after="100" w:afterAutospacing="1" w:line="240" w:lineRule="auto"/>
        <w:jc w:val="both"/>
        <w:outlineLvl w:val="1"/>
        <w:rPr>
          <w:rFonts w:eastAsiaTheme="minorEastAsia" w:cstheme="minorHAnsi"/>
          <w:sz w:val="24"/>
          <w:szCs w:val="24"/>
          <w:lang w:eastAsia="sk-SK"/>
        </w:rPr>
      </w:pPr>
      <w:r w:rsidRPr="00E3312E">
        <w:rPr>
          <w:rFonts w:eastAsiaTheme="minorEastAsia" w:cstheme="minorHAnsi"/>
          <w:b/>
          <w:bCs/>
          <w:sz w:val="24"/>
          <w:szCs w:val="24"/>
          <w:lang w:eastAsia="sk-SK"/>
        </w:rPr>
        <w:t>Kapitálové výdavky</w:t>
      </w:r>
      <w:r w:rsidRPr="009124C2">
        <w:rPr>
          <w:rFonts w:eastAsiaTheme="minorEastAsia" w:cstheme="minorHAnsi"/>
          <w:sz w:val="24"/>
          <w:szCs w:val="24"/>
          <w:lang w:eastAsia="sk-SK"/>
        </w:rPr>
        <w:t xml:space="preserve"> sú navrhované v celkovej sume </w:t>
      </w:r>
      <w:r w:rsidR="0054056F" w:rsidRPr="00FF07E2">
        <w:rPr>
          <w:rFonts w:ascii="Calibri" w:eastAsia="Times New Roman" w:hAnsi="Calibri" w:cs="Calibri"/>
          <w:b/>
          <w:bCs/>
          <w:sz w:val="24"/>
          <w:szCs w:val="24"/>
          <w:lang w:eastAsia="sk-SK"/>
        </w:rPr>
        <w:t>26 283 301,84</w:t>
      </w:r>
      <w:r w:rsidR="0054056F">
        <w:rPr>
          <w:rFonts w:ascii="Calibri" w:eastAsia="Times New Roman" w:hAnsi="Calibri" w:cs="Calibri"/>
          <w:b/>
          <w:bCs/>
          <w:sz w:val="24"/>
          <w:szCs w:val="24"/>
          <w:lang w:eastAsia="sk-SK"/>
        </w:rPr>
        <w:t xml:space="preserve"> EUR</w:t>
      </w:r>
      <w:r w:rsidRPr="009124C2">
        <w:rPr>
          <w:rFonts w:eastAsiaTheme="minorEastAsia" w:cstheme="minorHAnsi"/>
          <w:sz w:val="24"/>
          <w:szCs w:val="24"/>
          <w:lang w:eastAsia="sk-SK"/>
        </w:rPr>
        <w:t xml:space="preserve">. Plánovaná suma zahŕňa náklady súvisiace s rekonštrukciami ciest II. a III. triedy vo vlastníctve BSK. </w:t>
      </w:r>
    </w:p>
    <w:p w14:paraId="401EB63B" w14:textId="17BAA70E" w:rsidR="000E19B9" w:rsidRDefault="009124C2" w:rsidP="00E3312E">
      <w:pPr>
        <w:spacing w:after="0" w:line="240" w:lineRule="auto"/>
        <w:jc w:val="both"/>
        <w:outlineLvl w:val="1"/>
        <w:rPr>
          <w:rFonts w:eastAsiaTheme="minorEastAsia" w:cstheme="minorHAnsi"/>
          <w:sz w:val="24"/>
          <w:szCs w:val="24"/>
          <w:lang w:eastAsia="sk-SK"/>
        </w:rPr>
      </w:pPr>
      <w:r w:rsidRPr="009124C2">
        <w:rPr>
          <w:rFonts w:eastAsiaTheme="minorEastAsia" w:cstheme="minorHAnsi"/>
          <w:sz w:val="24"/>
          <w:szCs w:val="24"/>
          <w:lang w:eastAsia="sk-SK"/>
        </w:rPr>
        <w:t xml:space="preserve">Plánované výdavky: </w:t>
      </w:r>
    </w:p>
    <w:p w14:paraId="3D43FA23" w14:textId="5A9A2E06" w:rsidR="000E19B9" w:rsidRDefault="009124C2" w:rsidP="00E3312E">
      <w:pPr>
        <w:spacing w:after="0" w:line="240" w:lineRule="auto"/>
        <w:jc w:val="both"/>
        <w:outlineLvl w:val="1"/>
        <w:rPr>
          <w:rFonts w:eastAsiaTheme="minorEastAsia" w:cstheme="minorHAnsi"/>
          <w:sz w:val="24"/>
          <w:szCs w:val="24"/>
          <w:lang w:eastAsia="sk-SK"/>
        </w:rPr>
      </w:pPr>
      <w:r w:rsidRPr="009124C2">
        <w:rPr>
          <w:rFonts w:eastAsiaTheme="minorEastAsia" w:cstheme="minorHAnsi"/>
          <w:sz w:val="24"/>
          <w:szCs w:val="24"/>
          <w:lang w:eastAsia="sk-SK"/>
        </w:rPr>
        <w:t xml:space="preserve">• </w:t>
      </w:r>
      <w:r w:rsidR="00A11439">
        <w:rPr>
          <w:rFonts w:eastAsiaTheme="minorEastAsia" w:cstheme="minorHAnsi"/>
          <w:sz w:val="24"/>
          <w:szCs w:val="24"/>
          <w:lang w:eastAsia="sk-SK"/>
        </w:rPr>
        <w:t xml:space="preserve">na </w:t>
      </w:r>
      <w:r w:rsidR="007E5364">
        <w:rPr>
          <w:rFonts w:eastAsiaTheme="minorEastAsia" w:cstheme="minorHAnsi"/>
          <w:sz w:val="24"/>
          <w:szCs w:val="24"/>
          <w:lang w:eastAsia="sk-SK"/>
        </w:rPr>
        <w:t>rekonštrukcie</w:t>
      </w:r>
      <w:r w:rsidRPr="009124C2">
        <w:rPr>
          <w:rFonts w:eastAsiaTheme="minorEastAsia" w:cstheme="minorHAnsi"/>
          <w:sz w:val="24"/>
          <w:szCs w:val="24"/>
          <w:lang w:eastAsia="sk-SK"/>
        </w:rPr>
        <w:t xml:space="preserve"> mostov </w:t>
      </w:r>
      <w:r w:rsidR="00A11439">
        <w:rPr>
          <w:rFonts w:eastAsiaTheme="minorEastAsia" w:cstheme="minorHAnsi"/>
          <w:sz w:val="24"/>
          <w:szCs w:val="24"/>
          <w:lang w:eastAsia="sk-SK"/>
        </w:rPr>
        <w:t>sú</w:t>
      </w:r>
      <w:r w:rsidRPr="009124C2">
        <w:rPr>
          <w:rFonts w:eastAsiaTheme="minorEastAsia" w:cstheme="minorHAnsi"/>
          <w:sz w:val="24"/>
          <w:szCs w:val="24"/>
          <w:lang w:eastAsia="sk-SK"/>
        </w:rPr>
        <w:t xml:space="preserve"> plánovan</w:t>
      </w:r>
      <w:r w:rsidR="00A11439">
        <w:rPr>
          <w:rFonts w:eastAsiaTheme="minorEastAsia" w:cstheme="minorHAnsi"/>
          <w:sz w:val="24"/>
          <w:szCs w:val="24"/>
          <w:lang w:eastAsia="sk-SK"/>
        </w:rPr>
        <w:t>é</w:t>
      </w:r>
      <w:r w:rsidRPr="009124C2">
        <w:rPr>
          <w:rFonts w:eastAsiaTheme="minorEastAsia" w:cstheme="minorHAnsi"/>
          <w:sz w:val="24"/>
          <w:szCs w:val="24"/>
          <w:lang w:eastAsia="sk-SK"/>
        </w:rPr>
        <w:t xml:space="preserve"> na rok 202</w:t>
      </w:r>
      <w:r w:rsidR="00A11439">
        <w:rPr>
          <w:rFonts w:eastAsiaTheme="minorEastAsia" w:cstheme="minorHAnsi"/>
          <w:sz w:val="24"/>
          <w:szCs w:val="24"/>
          <w:lang w:eastAsia="sk-SK"/>
        </w:rPr>
        <w:t>5</w:t>
      </w:r>
      <w:r w:rsidRPr="009124C2">
        <w:rPr>
          <w:rFonts w:eastAsiaTheme="minorEastAsia" w:cstheme="minorHAnsi"/>
          <w:sz w:val="24"/>
          <w:szCs w:val="24"/>
          <w:lang w:eastAsia="sk-SK"/>
        </w:rPr>
        <w:t xml:space="preserve">, nakoľko mosty sa nachádzajú v stavebno-technickom stave 6, ktoré si vyžaduje kompletnú diagnostiku, </w:t>
      </w:r>
    </w:p>
    <w:p w14:paraId="61C56744" w14:textId="77777777" w:rsidR="000E19B9" w:rsidRDefault="009124C2" w:rsidP="00E3312E">
      <w:pPr>
        <w:spacing w:after="0" w:line="240" w:lineRule="auto"/>
        <w:jc w:val="both"/>
        <w:outlineLvl w:val="1"/>
        <w:rPr>
          <w:rFonts w:eastAsiaTheme="minorEastAsia" w:cstheme="minorHAnsi"/>
          <w:sz w:val="24"/>
          <w:szCs w:val="24"/>
          <w:lang w:eastAsia="sk-SK"/>
        </w:rPr>
      </w:pPr>
      <w:r w:rsidRPr="009124C2">
        <w:rPr>
          <w:rFonts w:eastAsiaTheme="minorEastAsia" w:cstheme="minorHAnsi"/>
          <w:sz w:val="24"/>
          <w:szCs w:val="24"/>
          <w:lang w:eastAsia="sk-SK"/>
        </w:rPr>
        <w:t xml:space="preserve">• na rekonštrukciu ciest frézovaním a asfaltovaním, recykláciou za studena a za horúca, rekonštrukcie mostov, bezpečnostné záchytné zariadenia, priechody pre chodcov, cestná svetelná signalizácia a sanácia zosuvov, rekonštrukcia priepustov. </w:t>
      </w:r>
    </w:p>
    <w:p w14:paraId="6742E114" w14:textId="5FF56739" w:rsidR="00BC67BE" w:rsidRDefault="009124C2" w:rsidP="00BD3C26">
      <w:pPr>
        <w:spacing w:before="100" w:beforeAutospacing="1" w:after="100" w:afterAutospacing="1" w:line="240" w:lineRule="auto"/>
        <w:jc w:val="both"/>
        <w:outlineLvl w:val="1"/>
        <w:rPr>
          <w:rFonts w:eastAsiaTheme="minorEastAsia" w:cstheme="minorHAnsi"/>
          <w:sz w:val="24"/>
          <w:szCs w:val="24"/>
          <w:lang w:eastAsia="sk-SK"/>
        </w:rPr>
      </w:pPr>
      <w:r w:rsidRPr="009124C2">
        <w:rPr>
          <w:rFonts w:eastAsiaTheme="minorEastAsia" w:cstheme="minorHAnsi"/>
          <w:sz w:val="24"/>
          <w:szCs w:val="24"/>
          <w:lang w:eastAsia="sk-SK"/>
        </w:rPr>
        <w:t xml:space="preserve">Podrobný zoznam kapitálových výdavkov je v rámci Investičného plánu BSK v Prílohe č. 1 - IP cesty II. a III. triedy. </w:t>
      </w:r>
      <w:r w:rsidRPr="009124C2">
        <w:rPr>
          <w:rFonts w:eastAsiaTheme="minorEastAsia" w:cstheme="minorHAnsi"/>
          <w:sz w:val="24"/>
          <w:szCs w:val="24"/>
          <w:lang w:eastAsia="sk-SK"/>
        </w:rPr>
        <w:br/>
      </w:r>
    </w:p>
    <w:p w14:paraId="4FBFD43C" w14:textId="77777777" w:rsidR="008457A3" w:rsidRPr="005476A0" w:rsidRDefault="008457A3" w:rsidP="008457A3">
      <w:pPr>
        <w:spacing w:after="0" w:line="240" w:lineRule="auto"/>
        <w:jc w:val="both"/>
        <w:textAlignment w:val="baseline"/>
        <w:rPr>
          <w:rFonts w:ascii="Segoe UI" w:eastAsia="Times New Roman" w:hAnsi="Segoe UI" w:cs="Segoe UI"/>
          <w:sz w:val="18"/>
          <w:szCs w:val="18"/>
          <w:lang w:eastAsia="sk-SK"/>
        </w:rPr>
      </w:pPr>
      <w:r w:rsidRPr="005476A0">
        <w:rPr>
          <w:rFonts w:ascii="Calibri" w:eastAsia="Times New Roman" w:hAnsi="Calibri" w:cs="Calibri"/>
          <w:b/>
          <w:bCs/>
          <w:sz w:val="24"/>
          <w:szCs w:val="24"/>
          <w:lang w:eastAsia="sk-SK"/>
        </w:rPr>
        <w:t>Strategické projekty</w:t>
      </w:r>
      <w:r w:rsidRPr="005476A0">
        <w:rPr>
          <w:rFonts w:ascii="Calibri" w:eastAsia="Times New Roman" w:hAnsi="Calibri" w:cs="Calibri"/>
          <w:sz w:val="24"/>
          <w:szCs w:val="24"/>
          <w:lang w:eastAsia="sk-SK"/>
        </w:rPr>
        <w:t> </w:t>
      </w:r>
    </w:p>
    <w:p w14:paraId="0D3DD964" w14:textId="77777777" w:rsidR="008457A3" w:rsidRDefault="008457A3" w:rsidP="008457A3">
      <w:pPr>
        <w:spacing w:after="0" w:line="240" w:lineRule="auto"/>
        <w:jc w:val="both"/>
        <w:textAlignment w:val="baseline"/>
        <w:rPr>
          <w:rFonts w:ascii="Calibri" w:eastAsia="Times New Roman" w:hAnsi="Calibri" w:cs="Calibri"/>
          <w:sz w:val="24"/>
          <w:szCs w:val="24"/>
          <w:lang w:eastAsia="sk-SK"/>
        </w:rPr>
      </w:pPr>
      <w:r w:rsidRPr="005476A0">
        <w:rPr>
          <w:rFonts w:ascii="Calibri" w:eastAsia="Times New Roman" w:hAnsi="Calibri" w:cs="Calibri"/>
          <w:sz w:val="24"/>
          <w:szCs w:val="24"/>
          <w:lang w:eastAsia="sk-SK"/>
        </w:rPr>
        <w:t xml:space="preserve">V nižšie uvedenej tabuľke sú všetky strategické projekty, ktoré sú súčasťou  Akčného  plánu BSK. Suma zahŕňa predprojektovú, projektovú prípravu, vrátane majetkovoprávneho </w:t>
      </w:r>
      <w:r>
        <w:rPr>
          <w:rFonts w:ascii="Calibri" w:eastAsia="Times New Roman" w:hAnsi="Calibri" w:cs="Calibri"/>
          <w:sz w:val="24"/>
          <w:szCs w:val="24"/>
          <w:lang w:eastAsia="sk-SK"/>
        </w:rPr>
        <w:t>v</w:t>
      </w:r>
      <w:r w:rsidRPr="005476A0">
        <w:rPr>
          <w:rFonts w:ascii="Calibri" w:eastAsia="Times New Roman" w:hAnsi="Calibri" w:cs="Calibri"/>
          <w:sz w:val="24"/>
          <w:szCs w:val="24"/>
          <w:lang w:eastAsia="sk-SK"/>
        </w:rPr>
        <w:t>ysporiadania (</w:t>
      </w:r>
      <w:r w:rsidRPr="005476A0">
        <w:rPr>
          <w:rFonts w:ascii="Calibri" w:eastAsia="Times New Roman" w:hAnsi="Calibri" w:cs="Calibri"/>
          <w:b/>
          <w:bCs/>
          <w:sz w:val="24"/>
          <w:szCs w:val="24"/>
          <w:lang w:eastAsia="sk-SK"/>
        </w:rPr>
        <w:t>v roku 202</w:t>
      </w:r>
      <w:r>
        <w:rPr>
          <w:rFonts w:ascii="Calibri" w:eastAsia="Times New Roman" w:hAnsi="Calibri" w:cs="Calibri"/>
          <w:b/>
          <w:bCs/>
          <w:sz w:val="24"/>
          <w:szCs w:val="24"/>
          <w:lang w:eastAsia="sk-SK"/>
        </w:rPr>
        <w:t>5</w:t>
      </w:r>
      <w:r w:rsidRPr="005476A0">
        <w:rPr>
          <w:rFonts w:ascii="Calibri" w:eastAsia="Times New Roman" w:hAnsi="Calibri" w:cs="Calibri"/>
          <w:b/>
          <w:bCs/>
          <w:sz w:val="24"/>
          <w:szCs w:val="24"/>
          <w:lang w:eastAsia="sk-SK"/>
        </w:rPr>
        <w:t xml:space="preserve"> rozpočtované v Podprograme 3.</w:t>
      </w:r>
      <w:r>
        <w:rPr>
          <w:rFonts w:ascii="Calibri" w:eastAsia="Times New Roman" w:hAnsi="Calibri" w:cs="Calibri"/>
          <w:b/>
          <w:bCs/>
          <w:sz w:val="24"/>
          <w:szCs w:val="24"/>
          <w:lang w:eastAsia="sk-SK"/>
        </w:rPr>
        <w:t>1 – Správa majetku</w:t>
      </w:r>
      <w:r w:rsidRPr="005476A0">
        <w:rPr>
          <w:rFonts w:ascii="Calibri" w:eastAsia="Times New Roman" w:hAnsi="Calibri" w:cs="Calibri"/>
          <w:sz w:val="24"/>
          <w:szCs w:val="24"/>
          <w:lang w:eastAsia="sk-SK"/>
        </w:rPr>
        <w:t xml:space="preserve"> vo výške </w:t>
      </w:r>
      <w:r w:rsidRPr="00F62273">
        <w:rPr>
          <w:rFonts w:ascii="Calibri" w:eastAsia="Times New Roman" w:hAnsi="Calibri" w:cs="Calibri"/>
          <w:sz w:val="24"/>
          <w:szCs w:val="24"/>
          <w:lang w:eastAsia="sk-SK"/>
        </w:rPr>
        <w:t>992 983 EUR</w:t>
      </w:r>
      <w:r w:rsidRPr="005476A0">
        <w:rPr>
          <w:rFonts w:ascii="Calibri" w:eastAsia="Times New Roman" w:hAnsi="Calibri" w:cs="Calibri"/>
          <w:sz w:val="24"/>
          <w:szCs w:val="24"/>
          <w:lang w:eastAsia="sk-SK"/>
        </w:rPr>
        <w:t xml:space="preserve"> a získania potrebných stanovísk, povolení, územného rozhodnutia a stavebného povolenia.</w:t>
      </w:r>
    </w:p>
    <w:p w14:paraId="18C991C5" w14:textId="77777777" w:rsidR="008457A3" w:rsidRDefault="008457A3" w:rsidP="008457A3">
      <w:pPr>
        <w:spacing w:after="0" w:line="240" w:lineRule="auto"/>
        <w:jc w:val="both"/>
        <w:textAlignment w:val="baseline"/>
        <w:rPr>
          <w:rFonts w:ascii="Calibri" w:eastAsia="Times New Roman" w:hAnsi="Calibri" w:cs="Calibri"/>
          <w:sz w:val="24"/>
          <w:szCs w:val="24"/>
          <w:lang w:eastAsia="sk-SK"/>
        </w:rPr>
      </w:pPr>
    </w:p>
    <w:p w14:paraId="07E9EE23" w14:textId="77777777" w:rsidR="008457A3" w:rsidRDefault="008457A3" w:rsidP="008457A3">
      <w:pPr>
        <w:spacing w:after="0" w:line="240" w:lineRule="auto"/>
        <w:jc w:val="both"/>
        <w:textAlignment w:val="baseline"/>
        <w:rPr>
          <w:rFonts w:ascii="Calibri" w:eastAsia="Times New Roman" w:hAnsi="Calibri" w:cs="Calibri"/>
          <w:sz w:val="24"/>
          <w:szCs w:val="24"/>
          <w:lang w:eastAsia="sk-SK"/>
        </w:rPr>
      </w:pPr>
    </w:p>
    <w:tbl>
      <w:tblPr>
        <w:tblW w:w="10211" w:type="dxa"/>
        <w:tblInd w:w="-10" w:type="dxa"/>
        <w:tblCellMar>
          <w:left w:w="70" w:type="dxa"/>
          <w:right w:w="70" w:type="dxa"/>
        </w:tblCellMar>
        <w:tblLook w:val="04A0" w:firstRow="1" w:lastRow="0" w:firstColumn="1" w:lastColumn="0" w:noHBand="0" w:noVBand="1"/>
      </w:tblPr>
      <w:tblGrid>
        <w:gridCol w:w="3407"/>
        <w:gridCol w:w="2694"/>
        <w:gridCol w:w="1417"/>
        <w:gridCol w:w="1418"/>
        <w:gridCol w:w="1275"/>
      </w:tblGrid>
      <w:tr w:rsidR="008457A3" w:rsidRPr="000D432B" w14:paraId="1A39F6B4" w14:textId="77777777" w:rsidTr="00411EFE">
        <w:trPr>
          <w:trHeight w:val="298"/>
        </w:trPr>
        <w:tc>
          <w:tcPr>
            <w:tcW w:w="10211" w:type="dxa"/>
            <w:gridSpan w:val="5"/>
            <w:tcBorders>
              <w:top w:val="single" w:sz="4" w:space="0" w:color="auto"/>
              <w:left w:val="single" w:sz="4" w:space="0" w:color="auto"/>
              <w:bottom w:val="nil"/>
              <w:right w:val="single" w:sz="4" w:space="0" w:color="auto"/>
            </w:tcBorders>
            <w:shd w:val="clear" w:color="auto" w:fill="auto"/>
            <w:noWrap/>
            <w:vAlign w:val="bottom"/>
            <w:hideMark/>
          </w:tcPr>
          <w:p w14:paraId="346177B4" w14:textId="77777777" w:rsidR="008457A3" w:rsidRPr="000D432B" w:rsidRDefault="008457A3" w:rsidP="00411EFE">
            <w:pPr>
              <w:spacing w:after="0" w:line="240" w:lineRule="auto"/>
              <w:jc w:val="center"/>
              <w:rPr>
                <w:rFonts w:ascii="Calibri" w:eastAsia="Times New Roman" w:hAnsi="Calibri" w:cs="Calibri"/>
                <w:b/>
                <w:bCs/>
                <w:color w:val="000000"/>
                <w:lang w:eastAsia="sk-SK"/>
              </w:rPr>
            </w:pPr>
            <w:r w:rsidRPr="000D432B">
              <w:rPr>
                <w:rFonts w:ascii="Calibri" w:eastAsia="Times New Roman" w:hAnsi="Calibri" w:cs="Calibri"/>
                <w:b/>
                <w:bCs/>
                <w:color w:val="000000"/>
                <w:lang w:eastAsia="sk-SK"/>
              </w:rPr>
              <w:t xml:space="preserve">Investičný plán odbor dopravy </w:t>
            </w:r>
          </w:p>
        </w:tc>
      </w:tr>
      <w:tr w:rsidR="008457A3" w:rsidRPr="000D432B" w14:paraId="4C926688" w14:textId="77777777" w:rsidTr="00411EFE">
        <w:trPr>
          <w:trHeight w:val="80"/>
        </w:trPr>
        <w:tc>
          <w:tcPr>
            <w:tcW w:w="10211" w:type="dxa"/>
            <w:gridSpan w:val="5"/>
            <w:tcBorders>
              <w:top w:val="nil"/>
              <w:left w:val="single" w:sz="4" w:space="0" w:color="auto"/>
              <w:bottom w:val="single" w:sz="4" w:space="0" w:color="auto"/>
              <w:right w:val="single" w:sz="4" w:space="0" w:color="auto"/>
            </w:tcBorders>
            <w:shd w:val="clear" w:color="auto" w:fill="auto"/>
            <w:noWrap/>
            <w:vAlign w:val="bottom"/>
            <w:hideMark/>
          </w:tcPr>
          <w:p w14:paraId="3CBA27B7" w14:textId="77777777" w:rsidR="008457A3" w:rsidRPr="000D432B" w:rsidRDefault="008457A3" w:rsidP="00411EFE">
            <w:pPr>
              <w:spacing w:after="0" w:line="240" w:lineRule="auto"/>
              <w:jc w:val="center"/>
              <w:rPr>
                <w:rFonts w:ascii="Calibri" w:eastAsia="Times New Roman" w:hAnsi="Calibri" w:cs="Calibri"/>
                <w:b/>
                <w:bCs/>
                <w:color w:val="000000"/>
                <w:lang w:eastAsia="sk-SK"/>
              </w:rPr>
            </w:pPr>
            <w:r w:rsidRPr="000D432B">
              <w:rPr>
                <w:rFonts w:ascii="Calibri" w:eastAsia="Times New Roman" w:hAnsi="Calibri" w:cs="Calibri"/>
                <w:b/>
                <w:bCs/>
                <w:color w:val="000000"/>
                <w:lang w:eastAsia="sk-SK"/>
              </w:rPr>
              <w:t>Strategické projekty</w:t>
            </w:r>
          </w:p>
        </w:tc>
      </w:tr>
      <w:tr w:rsidR="008457A3" w:rsidRPr="000D432B" w14:paraId="1E20A304" w14:textId="77777777" w:rsidTr="00411EFE">
        <w:trPr>
          <w:trHeight w:val="313"/>
        </w:trPr>
        <w:tc>
          <w:tcPr>
            <w:tcW w:w="340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7743B16" w14:textId="77777777" w:rsidR="008457A3" w:rsidRPr="000D432B" w:rsidRDefault="008457A3" w:rsidP="00411EFE">
            <w:pPr>
              <w:spacing w:after="0" w:line="240" w:lineRule="auto"/>
              <w:jc w:val="center"/>
              <w:rPr>
                <w:rFonts w:ascii="Calibri" w:eastAsia="Times New Roman" w:hAnsi="Calibri" w:cs="Calibri"/>
                <w:color w:val="000000"/>
                <w:lang w:eastAsia="sk-SK"/>
              </w:rPr>
            </w:pPr>
            <w:r w:rsidRPr="000D432B">
              <w:rPr>
                <w:rFonts w:ascii="Calibri" w:eastAsia="Times New Roman" w:hAnsi="Calibri" w:cs="Calibri"/>
                <w:color w:val="000000"/>
                <w:lang w:eastAsia="sk-SK"/>
              </w:rPr>
              <w:t>stavba</w:t>
            </w:r>
          </w:p>
        </w:tc>
        <w:tc>
          <w:tcPr>
            <w:tcW w:w="2694" w:type="dxa"/>
            <w:tcBorders>
              <w:top w:val="single" w:sz="4" w:space="0" w:color="auto"/>
              <w:left w:val="nil"/>
              <w:bottom w:val="single" w:sz="8" w:space="0" w:color="auto"/>
              <w:right w:val="single" w:sz="4" w:space="0" w:color="auto"/>
            </w:tcBorders>
            <w:shd w:val="clear" w:color="auto" w:fill="auto"/>
            <w:noWrap/>
            <w:vAlign w:val="bottom"/>
            <w:hideMark/>
          </w:tcPr>
          <w:p w14:paraId="310B8001" w14:textId="77777777" w:rsidR="008457A3" w:rsidRPr="000D432B" w:rsidRDefault="008457A3" w:rsidP="00411EFE">
            <w:pPr>
              <w:spacing w:after="0" w:line="240" w:lineRule="auto"/>
              <w:jc w:val="center"/>
              <w:rPr>
                <w:rFonts w:ascii="Calibri" w:eastAsia="Times New Roman" w:hAnsi="Calibri" w:cs="Calibri"/>
                <w:color w:val="000000"/>
                <w:lang w:eastAsia="sk-SK"/>
              </w:rPr>
            </w:pPr>
            <w:r w:rsidRPr="000D432B">
              <w:rPr>
                <w:rFonts w:ascii="Calibri" w:eastAsia="Times New Roman" w:hAnsi="Calibri" w:cs="Calibri"/>
                <w:color w:val="000000"/>
                <w:lang w:eastAsia="sk-SK"/>
              </w:rPr>
              <w:t>stupeň prípravy</w:t>
            </w:r>
          </w:p>
        </w:tc>
        <w:tc>
          <w:tcPr>
            <w:tcW w:w="1417" w:type="dxa"/>
            <w:tcBorders>
              <w:top w:val="single" w:sz="4" w:space="0" w:color="auto"/>
              <w:left w:val="nil"/>
              <w:bottom w:val="single" w:sz="8" w:space="0" w:color="auto"/>
              <w:right w:val="single" w:sz="4" w:space="0" w:color="auto"/>
            </w:tcBorders>
            <w:shd w:val="clear" w:color="auto" w:fill="auto"/>
            <w:noWrap/>
            <w:vAlign w:val="bottom"/>
            <w:hideMark/>
          </w:tcPr>
          <w:p w14:paraId="213A6501" w14:textId="77777777" w:rsidR="008457A3" w:rsidRPr="000D432B" w:rsidRDefault="008457A3" w:rsidP="00411EFE">
            <w:pPr>
              <w:spacing w:after="0" w:line="240" w:lineRule="auto"/>
              <w:jc w:val="center"/>
              <w:rPr>
                <w:rFonts w:ascii="Calibri" w:eastAsia="Times New Roman" w:hAnsi="Calibri" w:cs="Calibri"/>
                <w:b/>
                <w:bCs/>
                <w:color w:val="000000"/>
                <w:lang w:eastAsia="sk-SK"/>
              </w:rPr>
            </w:pPr>
            <w:r w:rsidRPr="000D432B">
              <w:rPr>
                <w:rFonts w:ascii="Calibri" w:eastAsia="Times New Roman" w:hAnsi="Calibri" w:cs="Calibri"/>
                <w:b/>
                <w:bCs/>
                <w:color w:val="000000"/>
                <w:lang w:eastAsia="sk-SK"/>
              </w:rPr>
              <w:t>r.202</w:t>
            </w:r>
            <w:r>
              <w:rPr>
                <w:rFonts w:ascii="Calibri" w:eastAsia="Times New Roman" w:hAnsi="Calibri" w:cs="Calibri"/>
                <w:b/>
                <w:bCs/>
                <w:color w:val="000000"/>
                <w:lang w:eastAsia="sk-SK"/>
              </w:rPr>
              <w:t>5</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5841AB82" w14:textId="77777777" w:rsidR="008457A3" w:rsidRPr="000D432B" w:rsidRDefault="008457A3" w:rsidP="00411EFE">
            <w:pPr>
              <w:spacing w:after="0" w:line="240" w:lineRule="auto"/>
              <w:jc w:val="center"/>
              <w:rPr>
                <w:rFonts w:ascii="Calibri" w:eastAsia="Times New Roman" w:hAnsi="Calibri" w:cs="Calibri"/>
                <w:b/>
                <w:bCs/>
                <w:color w:val="000000"/>
                <w:lang w:eastAsia="sk-SK"/>
              </w:rPr>
            </w:pPr>
            <w:r w:rsidRPr="000D432B">
              <w:rPr>
                <w:rFonts w:ascii="Calibri" w:eastAsia="Times New Roman" w:hAnsi="Calibri" w:cs="Calibri"/>
                <w:b/>
                <w:bCs/>
                <w:color w:val="000000"/>
                <w:lang w:eastAsia="sk-SK"/>
              </w:rPr>
              <w:t>r.202</w:t>
            </w:r>
            <w:r>
              <w:rPr>
                <w:rFonts w:ascii="Calibri" w:eastAsia="Times New Roman" w:hAnsi="Calibri" w:cs="Calibri"/>
                <w:b/>
                <w:bCs/>
                <w:color w:val="000000"/>
                <w:lang w:eastAsia="sk-SK"/>
              </w:rPr>
              <w:t>6</w:t>
            </w:r>
          </w:p>
        </w:tc>
        <w:tc>
          <w:tcPr>
            <w:tcW w:w="1275" w:type="dxa"/>
            <w:tcBorders>
              <w:top w:val="single" w:sz="4" w:space="0" w:color="auto"/>
              <w:left w:val="nil"/>
              <w:bottom w:val="single" w:sz="8" w:space="0" w:color="auto"/>
              <w:right w:val="single" w:sz="4" w:space="0" w:color="auto"/>
            </w:tcBorders>
            <w:shd w:val="clear" w:color="auto" w:fill="auto"/>
            <w:noWrap/>
            <w:vAlign w:val="bottom"/>
            <w:hideMark/>
          </w:tcPr>
          <w:p w14:paraId="6A5D7364" w14:textId="77777777" w:rsidR="008457A3" w:rsidRPr="000D432B" w:rsidRDefault="008457A3" w:rsidP="00411EFE">
            <w:pPr>
              <w:spacing w:after="0" w:line="240" w:lineRule="auto"/>
              <w:jc w:val="center"/>
              <w:rPr>
                <w:rFonts w:ascii="Calibri" w:eastAsia="Times New Roman" w:hAnsi="Calibri" w:cs="Calibri"/>
                <w:b/>
                <w:bCs/>
                <w:color w:val="000000"/>
                <w:lang w:eastAsia="sk-SK"/>
              </w:rPr>
            </w:pPr>
            <w:r w:rsidRPr="000D432B">
              <w:rPr>
                <w:rFonts w:ascii="Calibri" w:eastAsia="Times New Roman" w:hAnsi="Calibri" w:cs="Calibri"/>
                <w:b/>
                <w:bCs/>
                <w:color w:val="000000"/>
                <w:lang w:eastAsia="sk-SK"/>
              </w:rPr>
              <w:t>r.202</w:t>
            </w:r>
            <w:r>
              <w:rPr>
                <w:rFonts w:ascii="Calibri" w:eastAsia="Times New Roman" w:hAnsi="Calibri" w:cs="Calibri"/>
                <w:b/>
                <w:bCs/>
                <w:color w:val="000000"/>
                <w:lang w:eastAsia="sk-SK"/>
              </w:rPr>
              <w:t>7</w:t>
            </w:r>
          </w:p>
        </w:tc>
      </w:tr>
      <w:tr w:rsidR="008457A3" w:rsidRPr="000D432B" w14:paraId="0861BD5E" w14:textId="77777777" w:rsidTr="00411EFE">
        <w:trPr>
          <w:trHeight w:val="298"/>
        </w:trPr>
        <w:tc>
          <w:tcPr>
            <w:tcW w:w="3407" w:type="dxa"/>
            <w:vMerge w:val="restart"/>
            <w:tcBorders>
              <w:top w:val="nil"/>
              <w:left w:val="single" w:sz="8" w:space="0" w:color="auto"/>
              <w:bottom w:val="single" w:sz="8" w:space="0" w:color="000000"/>
              <w:right w:val="single" w:sz="4" w:space="0" w:color="auto"/>
            </w:tcBorders>
            <w:shd w:val="clear" w:color="auto" w:fill="auto"/>
            <w:vAlign w:val="center"/>
            <w:hideMark/>
          </w:tcPr>
          <w:p w14:paraId="651A8234"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II/503 križovatka s III/1062 v Senci</w:t>
            </w:r>
          </w:p>
        </w:tc>
        <w:tc>
          <w:tcPr>
            <w:tcW w:w="2694" w:type="dxa"/>
            <w:tcBorders>
              <w:top w:val="nil"/>
              <w:left w:val="nil"/>
              <w:bottom w:val="single" w:sz="4" w:space="0" w:color="auto"/>
              <w:right w:val="single" w:sz="4" w:space="0" w:color="auto"/>
            </w:tcBorders>
            <w:shd w:val="clear" w:color="auto" w:fill="auto"/>
            <w:noWrap/>
            <w:vAlign w:val="bottom"/>
            <w:hideMark/>
          </w:tcPr>
          <w:p w14:paraId="4501F61B" w14:textId="77777777" w:rsidR="008457A3" w:rsidRPr="000D432B" w:rsidRDefault="008457A3" w:rsidP="00411EFE">
            <w:pPr>
              <w:spacing w:after="0" w:line="240" w:lineRule="auto"/>
              <w:rPr>
                <w:rFonts w:ascii="Calibri" w:eastAsia="Times New Roman" w:hAnsi="Calibri" w:cs="Calibri"/>
                <w:color w:val="000000"/>
                <w:lang w:eastAsia="sk-SK"/>
              </w:rPr>
            </w:pPr>
            <w:proofErr w:type="spellStart"/>
            <w:r>
              <w:rPr>
                <w:rFonts w:ascii="Calibri" w:eastAsia="Times New Roman" w:hAnsi="Calibri" w:cs="Calibri"/>
                <w:color w:val="000000"/>
                <w:lang w:eastAsia="sk-SK"/>
              </w:rPr>
              <w:t>Do</w:t>
            </w:r>
            <w:r w:rsidRPr="000D432B">
              <w:rPr>
                <w:rFonts w:ascii="Calibri" w:eastAsia="Times New Roman" w:hAnsi="Calibri" w:cs="Calibri"/>
                <w:color w:val="000000"/>
                <w:lang w:eastAsia="sk-SK"/>
              </w:rPr>
              <w:t>vysporiadanie</w:t>
            </w:r>
            <w:proofErr w:type="spellEnd"/>
            <w:r w:rsidRPr="000D432B">
              <w:rPr>
                <w:rFonts w:ascii="Calibri" w:eastAsia="Times New Roman" w:hAnsi="Calibri" w:cs="Calibri"/>
                <w:color w:val="000000"/>
                <w:lang w:eastAsia="sk-SK"/>
              </w:rPr>
              <w:t xml:space="preserve"> pozemkov</w:t>
            </w:r>
          </w:p>
        </w:tc>
        <w:tc>
          <w:tcPr>
            <w:tcW w:w="1417" w:type="dxa"/>
            <w:tcBorders>
              <w:top w:val="nil"/>
              <w:left w:val="nil"/>
              <w:bottom w:val="single" w:sz="4" w:space="0" w:color="auto"/>
              <w:right w:val="single" w:sz="4" w:space="0" w:color="auto"/>
            </w:tcBorders>
            <w:shd w:val="clear" w:color="auto" w:fill="auto"/>
            <w:noWrap/>
            <w:vAlign w:val="bottom"/>
            <w:hideMark/>
          </w:tcPr>
          <w:p w14:paraId="774B5541" w14:textId="77777777" w:rsidR="008457A3" w:rsidRPr="000D432B" w:rsidRDefault="008457A3" w:rsidP="00411EFE">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293 600</w:t>
            </w:r>
          </w:p>
        </w:tc>
        <w:tc>
          <w:tcPr>
            <w:tcW w:w="1418" w:type="dxa"/>
            <w:tcBorders>
              <w:top w:val="nil"/>
              <w:left w:val="nil"/>
              <w:bottom w:val="single" w:sz="4" w:space="0" w:color="auto"/>
              <w:right w:val="single" w:sz="4" w:space="0" w:color="auto"/>
            </w:tcBorders>
            <w:shd w:val="clear" w:color="auto" w:fill="auto"/>
            <w:noWrap/>
            <w:vAlign w:val="bottom"/>
            <w:hideMark/>
          </w:tcPr>
          <w:p w14:paraId="20128A96"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25B6C98"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 </w:t>
            </w:r>
          </w:p>
        </w:tc>
      </w:tr>
      <w:tr w:rsidR="008457A3" w:rsidRPr="000D432B" w14:paraId="50F872B2" w14:textId="77777777" w:rsidTr="00411EFE">
        <w:trPr>
          <w:trHeight w:val="298"/>
        </w:trPr>
        <w:tc>
          <w:tcPr>
            <w:tcW w:w="3407" w:type="dxa"/>
            <w:vMerge/>
            <w:tcBorders>
              <w:top w:val="nil"/>
              <w:left w:val="single" w:sz="8" w:space="0" w:color="auto"/>
              <w:bottom w:val="single" w:sz="8" w:space="0" w:color="000000"/>
              <w:right w:val="single" w:sz="4" w:space="0" w:color="auto"/>
            </w:tcBorders>
            <w:vAlign w:val="center"/>
            <w:hideMark/>
          </w:tcPr>
          <w:p w14:paraId="28AA70D4" w14:textId="77777777" w:rsidR="008457A3" w:rsidRPr="000D432B" w:rsidRDefault="008457A3" w:rsidP="00411EFE">
            <w:pPr>
              <w:spacing w:after="0" w:line="240" w:lineRule="auto"/>
              <w:rPr>
                <w:rFonts w:ascii="Calibri" w:eastAsia="Times New Roman" w:hAnsi="Calibri" w:cs="Calibri"/>
                <w:color w:val="000000"/>
                <w:lang w:eastAsia="sk-SK"/>
              </w:rPr>
            </w:pPr>
          </w:p>
        </w:tc>
        <w:tc>
          <w:tcPr>
            <w:tcW w:w="2694" w:type="dxa"/>
            <w:tcBorders>
              <w:top w:val="nil"/>
              <w:left w:val="nil"/>
              <w:bottom w:val="single" w:sz="4" w:space="0" w:color="auto"/>
              <w:right w:val="single" w:sz="4" w:space="0" w:color="auto"/>
            </w:tcBorders>
            <w:shd w:val="clear" w:color="auto" w:fill="auto"/>
            <w:noWrap/>
            <w:vAlign w:val="bottom"/>
            <w:hideMark/>
          </w:tcPr>
          <w:p w14:paraId="2DB74FE5"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DRS</w:t>
            </w:r>
            <w:r>
              <w:rPr>
                <w:rFonts w:ascii="Calibri" w:eastAsia="Times New Roman" w:hAnsi="Calibri" w:cs="Calibri"/>
                <w:color w:val="000000"/>
                <w:lang w:eastAsia="sk-SK"/>
              </w:rPr>
              <w:t xml:space="preserve"> + AD</w:t>
            </w:r>
          </w:p>
        </w:tc>
        <w:tc>
          <w:tcPr>
            <w:tcW w:w="1417" w:type="dxa"/>
            <w:tcBorders>
              <w:top w:val="nil"/>
              <w:left w:val="nil"/>
              <w:bottom w:val="single" w:sz="4" w:space="0" w:color="auto"/>
              <w:right w:val="single" w:sz="4" w:space="0" w:color="auto"/>
            </w:tcBorders>
            <w:shd w:val="clear" w:color="auto" w:fill="auto"/>
            <w:noWrap/>
            <w:vAlign w:val="bottom"/>
            <w:hideMark/>
          </w:tcPr>
          <w:p w14:paraId="6C80DB71"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119 000</w:t>
            </w:r>
          </w:p>
        </w:tc>
        <w:tc>
          <w:tcPr>
            <w:tcW w:w="1418" w:type="dxa"/>
            <w:tcBorders>
              <w:top w:val="nil"/>
              <w:left w:val="nil"/>
              <w:bottom w:val="single" w:sz="4" w:space="0" w:color="auto"/>
              <w:right w:val="single" w:sz="4" w:space="0" w:color="auto"/>
            </w:tcBorders>
            <w:shd w:val="clear" w:color="auto" w:fill="auto"/>
            <w:noWrap/>
            <w:vAlign w:val="bottom"/>
            <w:hideMark/>
          </w:tcPr>
          <w:p w14:paraId="266F7F0B"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 9 150</w:t>
            </w:r>
          </w:p>
        </w:tc>
        <w:tc>
          <w:tcPr>
            <w:tcW w:w="1275" w:type="dxa"/>
            <w:tcBorders>
              <w:top w:val="nil"/>
              <w:left w:val="nil"/>
              <w:bottom w:val="single" w:sz="4" w:space="0" w:color="auto"/>
              <w:right w:val="single" w:sz="4" w:space="0" w:color="auto"/>
            </w:tcBorders>
            <w:shd w:val="clear" w:color="auto" w:fill="auto"/>
            <w:noWrap/>
            <w:vAlign w:val="bottom"/>
            <w:hideMark/>
          </w:tcPr>
          <w:p w14:paraId="1E6983F8"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 </w:t>
            </w:r>
          </w:p>
        </w:tc>
      </w:tr>
      <w:tr w:rsidR="008457A3" w:rsidRPr="000D432B" w14:paraId="55A046A4" w14:textId="77777777" w:rsidTr="00411EFE">
        <w:trPr>
          <w:trHeight w:val="298"/>
        </w:trPr>
        <w:tc>
          <w:tcPr>
            <w:tcW w:w="3407" w:type="dxa"/>
            <w:vMerge/>
            <w:tcBorders>
              <w:top w:val="nil"/>
              <w:left w:val="single" w:sz="8" w:space="0" w:color="auto"/>
              <w:bottom w:val="single" w:sz="8" w:space="0" w:color="000000"/>
              <w:right w:val="single" w:sz="4" w:space="0" w:color="auto"/>
            </w:tcBorders>
            <w:vAlign w:val="center"/>
            <w:hideMark/>
          </w:tcPr>
          <w:p w14:paraId="6654F9F1" w14:textId="77777777" w:rsidR="008457A3" w:rsidRPr="000D432B" w:rsidRDefault="008457A3" w:rsidP="00411EFE">
            <w:pPr>
              <w:spacing w:after="0" w:line="240" w:lineRule="auto"/>
              <w:rPr>
                <w:rFonts w:ascii="Calibri" w:eastAsia="Times New Roman" w:hAnsi="Calibri" w:cs="Calibri"/>
                <w:color w:val="000000"/>
                <w:lang w:eastAsia="sk-SK"/>
              </w:rPr>
            </w:pPr>
          </w:p>
        </w:tc>
        <w:tc>
          <w:tcPr>
            <w:tcW w:w="2694" w:type="dxa"/>
            <w:tcBorders>
              <w:top w:val="nil"/>
              <w:left w:val="nil"/>
              <w:bottom w:val="single" w:sz="4" w:space="0" w:color="auto"/>
              <w:right w:val="single" w:sz="4" w:space="0" w:color="auto"/>
            </w:tcBorders>
            <w:shd w:val="clear" w:color="auto" w:fill="auto"/>
            <w:noWrap/>
            <w:vAlign w:val="bottom"/>
            <w:hideMark/>
          </w:tcPr>
          <w:p w14:paraId="6505863D"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Realizácia</w:t>
            </w:r>
          </w:p>
        </w:tc>
        <w:tc>
          <w:tcPr>
            <w:tcW w:w="1417" w:type="dxa"/>
            <w:tcBorders>
              <w:top w:val="nil"/>
              <w:left w:val="nil"/>
              <w:bottom w:val="single" w:sz="4" w:space="0" w:color="auto"/>
              <w:right w:val="single" w:sz="4" w:space="0" w:color="auto"/>
            </w:tcBorders>
            <w:shd w:val="clear" w:color="auto" w:fill="auto"/>
            <w:noWrap/>
            <w:vAlign w:val="bottom"/>
            <w:hideMark/>
          </w:tcPr>
          <w:p w14:paraId="1FFBBD63"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9D2FAC"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4 5</w:t>
            </w:r>
            <w:r>
              <w:rPr>
                <w:rFonts w:ascii="Calibri" w:eastAsia="Times New Roman" w:hAnsi="Calibri" w:cs="Calibri"/>
                <w:color w:val="000000"/>
                <w:lang w:eastAsia="sk-SK"/>
              </w:rPr>
              <w:t>4</w:t>
            </w:r>
            <w:r w:rsidRPr="000D432B">
              <w:rPr>
                <w:rFonts w:ascii="Calibri" w:eastAsia="Times New Roman" w:hAnsi="Calibri" w:cs="Calibri"/>
                <w:color w:val="000000"/>
                <w:lang w:eastAsia="sk-SK"/>
              </w:rPr>
              <w:t>0 000</w:t>
            </w:r>
          </w:p>
        </w:tc>
        <w:tc>
          <w:tcPr>
            <w:tcW w:w="1275" w:type="dxa"/>
            <w:tcBorders>
              <w:top w:val="nil"/>
              <w:left w:val="nil"/>
              <w:bottom w:val="single" w:sz="4" w:space="0" w:color="auto"/>
              <w:right w:val="single" w:sz="4" w:space="0" w:color="auto"/>
            </w:tcBorders>
            <w:shd w:val="clear" w:color="auto" w:fill="auto"/>
            <w:noWrap/>
            <w:vAlign w:val="bottom"/>
            <w:hideMark/>
          </w:tcPr>
          <w:p w14:paraId="043A8F83" w14:textId="77777777" w:rsidR="008457A3" w:rsidRPr="000D432B" w:rsidRDefault="008457A3" w:rsidP="00411EFE">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4 000</w:t>
            </w:r>
            <w:r w:rsidRPr="000D432B">
              <w:rPr>
                <w:rFonts w:ascii="Calibri" w:eastAsia="Times New Roman" w:hAnsi="Calibri" w:cs="Calibri"/>
                <w:color w:val="000000"/>
                <w:lang w:eastAsia="sk-SK"/>
              </w:rPr>
              <w:t xml:space="preserve"> 000</w:t>
            </w:r>
          </w:p>
        </w:tc>
      </w:tr>
      <w:tr w:rsidR="008457A3" w:rsidRPr="000D432B" w14:paraId="0567E83F" w14:textId="77777777" w:rsidTr="00411EFE">
        <w:trPr>
          <w:trHeight w:val="313"/>
        </w:trPr>
        <w:tc>
          <w:tcPr>
            <w:tcW w:w="3407" w:type="dxa"/>
            <w:vMerge/>
            <w:tcBorders>
              <w:top w:val="nil"/>
              <w:left w:val="single" w:sz="8" w:space="0" w:color="auto"/>
              <w:bottom w:val="single" w:sz="8" w:space="0" w:color="000000"/>
              <w:right w:val="single" w:sz="4" w:space="0" w:color="auto"/>
            </w:tcBorders>
            <w:vAlign w:val="center"/>
            <w:hideMark/>
          </w:tcPr>
          <w:p w14:paraId="00C2E84F" w14:textId="77777777" w:rsidR="008457A3" w:rsidRPr="000D432B" w:rsidRDefault="008457A3" w:rsidP="00411EFE">
            <w:pPr>
              <w:spacing w:after="0" w:line="240" w:lineRule="auto"/>
              <w:rPr>
                <w:rFonts w:ascii="Calibri" w:eastAsia="Times New Roman" w:hAnsi="Calibri" w:cs="Calibri"/>
                <w:color w:val="000000"/>
                <w:lang w:eastAsia="sk-SK"/>
              </w:rPr>
            </w:pPr>
          </w:p>
        </w:tc>
        <w:tc>
          <w:tcPr>
            <w:tcW w:w="2694" w:type="dxa"/>
            <w:tcBorders>
              <w:top w:val="nil"/>
              <w:left w:val="nil"/>
              <w:bottom w:val="single" w:sz="8" w:space="0" w:color="auto"/>
              <w:right w:val="single" w:sz="4" w:space="0" w:color="auto"/>
            </w:tcBorders>
            <w:shd w:val="clear" w:color="auto" w:fill="auto"/>
            <w:noWrap/>
            <w:vAlign w:val="bottom"/>
            <w:hideMark/>
          </w:tcPr>
          <w:p w14:paraId="5056D34C" w14:textId="77777777" w:rsidR="008457A3" w:rsidRPr="000D432B" w:rsidRDefault="008457A3" w:rsidP="00411EFE">
            <w:pPr>
              <w:spacing w:after="0" w:line="240" w:lineRule="auto"/>
              <w:rPr>
                <w:rFonts w:ascii="Calibri" w:eastAsia="Times New Roman" w:hAnsi="Calibri" w:cs="Calibri"/>
                <w:b/>
                <w:bCs/>
                <w:color w:val="000000"/>
                <w:lang w:eastAsia="sk-SK"/>
              </w:rPr>
            </w:pPr>
            <w:r w:rsidRPr="000D432B">
              <w:rPr>
                <w:rFonts w:ascii="Calibri" w:eastAsia="Times New Roman" w:hAnsi="Calibri" w:cs="Calibri"/>
                <w:b/>
                <w:bCs/>
                <w:color w:val="000000"/>
                <w:lang w:eastAsia="sk-SK"/>
              </w:rPr>
              <w:t>Spolu</w:t>
            </w:r>
          </w:p>
        </w:tc>
        <w:tc>
          <w:tcPr>
            <w:tcW w:w="1417" w:type="dxa"/>
            <w:tcBorders>
              <w:top w:val="nil"/>
              <w:left w:val="nil"/>
              <w:bottom w:val="single" w:sz="8" w:space="0" w:color="auto"/>
              <w:right w:val="single" w:sz="4" w:space="0" w:color="auto"/>
            </w:tcBorders>
            <w:shd w:val="clear" w:color="auto" w:fill="auto"/>
            <w:noWrap/>
            <w:vAlign w:val="bottom"/>
            <w:hideMark/>
          </w:tcPr>
          <w:p w14:paraId="2DF4F815" w14:textId="77777777" w:rsidR="008457A3" w:rsidRPr="000D432B" w:rsidRDefault="008457A3" w:rsidP="00411EFE">
            <w:pPr>
              <w:spacing w:after="0" w:line="240" w:lineRule="auto"/>
              <w:jc w:val="right"/>
              <w:rPr>
                <w:rFonts w:ascii="Calibri" w:eastAsia="Times New Roman" w:hAnsi="Calibri" w:cs="Calibri"/>
                <w:b/>
                <w:bCs/>
                <w:color w:val="000000"/>
                <w:lang w:eastAsia="sk-SK"/>
              </w:rPr>
            </w:pPr>
            <w:r>
              <w:rPr>
                <w:rFonts w:ascii="Calibri" w:eastAsia="Times New Roman" w:hAnsi="Calibri" w:cs="Calibri"/>
                <w:b/>
                <w:bCs/>
                <w:color w:val="000000"/>
                <w:lang w:eastAsia="sk-SK"/>
              </w:rPr>
              <w:t>412 600</w:t>
            </w:r>
          </w:p>
        </w:tc>
        <w:tc>
          <w:tcPr>
            <w:tcW w:w="1418" w:type="dxa"/>
            <w:tcBorders>
              <w:top w:val="nil"/>
              <w:left w:val="nil"/>
              <w:bottom w:val="single" w:sz="8" w:space="0" w:color="auto"/>
              <w:right w:val="single" w:sz="4" w:space="0" w:color="auto"/>
            </w:tcBorders>
            <w:shd w:val="clear" w:color="auto" w:fill="auto"/>
            <w:noWrap/>
            <w:vAlign w:val="bottom"/>
            <w:hideMark/>
          </w:tcPr>
          <w:p w14:paraId="29DE0B08" w14:textId="77777777" w:rsidR="008457A3" w:rsidRPr="000D432B" w:rsidRDefault="008457A3" w:rsidP="00411EFE">
            <w:pPr>
              <w:spacing w:after="0" w:line="240" w:lineRule="auto"/>
              <w:jc w:val="right"/>
              <w:rPr>
                <w:rFonts w:ascii="Calibri" w:eastAsia="Times New Roman" w:hAnsi="Calibri" w:cs="Calibri"/>
                <w:b/>
                <w:bCs/>
                <w:color w:val="000000"/>
                <w:lang w:eastAsia="sk-SK"/>
              </w:rPr>
            </w:pPr>
            <w:r w:rsidRPr="000D432B">
              <w:rPr>
                <w:rFonts w:ascii="Calibri" w:eastAsia="Times New Roman" w:hAnsi="Calibri" w:cs="Calibri"/>
                <w:b/>
                <w:bCs/>
                <w:color w:val="000000"/>
                <w:lang w:eastAsia="sk-SK"/>
              </w:rPr>
              <w:t>4 5</w:t>
            </w:r>
            <w:r>
              <w:rPr>
                <w:rFonts w:ascii="Calibri" w:eastAsia="Times New Roman" w:hAnsi="Calibri" w:cs="Calibri"/>
                <w:b/>
                <w:bCs/>
                <w:color w:val="000000"/>
                <w:lang w:eastAsia="sk-SK"/>
              </w:rPr>
              <w:t>49</w:t>
            </w:r>
            <w:r w:rsidRPr="000D432B">
              <w:rPr>
                <w:rFonts w:ascii="Calibri" w:eastAsia="Times New Roman" w:hAnsi="Calibri" w:cs="Calibri"/>
                <w:b/>
                <w:bCs/>
                <w:color w:val="000000"/>
                <w:lang w:eastAsia="sk-SK"/>
              </w:rPr>
              <w:t xml:space="preserve"> </w:t>
            </w:r>
            <w:r>
              <w:rPr>
                <w:rFonts w:ascii="Calibri" w:eastAsia="Times New Roman" w:hAnsi="Calibri" w:cs="Calibri"/>
                <w:b/>
                <w:bCs/>
                <w:color w:val="000000"/>
                <w:lang w:eastAsia="sk-SK"/>
              </w:rPr>
              <w:t>15</w:t>
            </w:r>
            <w:r w:rsidRPr="000D432B">
              <w:rPr>
                <w:rFonts w:ascii="Calibri" w:eastAsia="Times New Roman" w:hAnsi="Calibri" w:cs="Calibri"/>
                <w:b/>
                <w:bCs/>
                <w:color w:val="000000"/>
                <w:lang w:eastAsia="sk-SK"/>
              </w:rPr>
              <w:t>0</w:t>
            </w:r>
          </w:p>
        </w:tc>
        <w:tc>
          <w:tcPr>
            <w:tcW w:w="1275" w:type="dxa"/>
            <w:tcBorders>
              <w:top w:val="nil"/>
              <w:left w:val="nil"/>
              <w:bottom w:val="single" w:sz="8" w:space="0" w:color="auto"/>
              <w:right w:val="single" w:sz="4" w:space="0" w:color="auto"/>
            </w:tcBorders>
            <w:shd w:val="clear" w:color="auto" w:fill="auto"/>
            <w:noWrap/>
            <w:vAlign w:val="bottom"/>
            <w:hideMark/>
          </w:tcPr>
          <w:p w14:paraId="4659FDBC" w14:textId="77777777" w:rsidR="008457A3" w:rsidRPr="000D432B" w:rsidRDefault="008457A3" w:rsidP="00411EFE">
            <w:pPr>
              <w:spacing w:after="0" w:line="240" w:lineRule="auto"/>
              <w:jc w:val="right"/>
              <w:rPr>
                <w:rFonts w:ascii="Calibri" w:eastAsia="Times New Roman" w:hAnsi="Calibri" w:cs="Calibri"/>
                <w:b/>
                <w:bCs/>
                <w:color w:val="000000"/>
                <w:lang w:eastAsia="sk-SK"/>
              </w:rPr>
            </w:pPr>
            <w:r>
              <w:rPr>
                <w:rFonts w:ascii="Calibri" w:eastAsia="Times New Roman" w:hAnsi="Calibri" w:cs="Calibri"/>
                <w:b/>
                <w:bCs/>
                <w:color w:val="000000"/>
                <w:lang w:eastAsia="sk-SK"/>
              </w:rPr>
              <w:t>4 000</w:t>
            </w:r>
            <w:r w:rsidRPr="000D432B">
              <w:rPr>
                <w:rFonts w:ascii="Calibri" w:eastAsia="Times New Roman" w:hAnsi="Calibri" w:cs="Calibri"/>
                <w:b/>
                <w:bCs/>
                <w:color w:val="000000"/>
                <w:lang w:eastAsia="sk-SK"/>
              </w:rPr>
              <w:t xml:space="preserve"> 000</w:t>
            </w:r>
          </w:p>
        </w:tc>
      </w:tr>
      <w:tr w:rsidR="008457A3" w:rsidRPr="000D432B" w14:paraId="0E4C14A9" w14:textId="77777777" w:rsidTr="00411EFE">
        <w:trPr>
          <w:trHeight w:val="298"/>
        </w:trPr>
        <w:tc>
          <w:tcPr>
            <w:tcW w:w="3407" w:type="dxa"/>
            <w:vMerge w:val="restart"/>
            <w:tcBorders>
              <w:top w:val="nil"/>
              <w:left w:val="single" w:sz="8" w:space="0" w:color="auto"/>
              <w:bottom w:val="single" w:sz="8" w:space="0" w:color="000000"/>
              <w:right w:val="single" w:sz="4" w:space="0" w:color="auto"/>
            </w:tcBorders>
            <w:shd w:val="clear" w:color="auto" w:fill="auto"/>
            <w:vAlign w:val="center"/>
            <w:hideMark/>
          </w:tcPr>
          <w:p w14:paraId="7E456F48"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lastRenderedPageBreak/>
              <w:t xml:space="preserve">II/503 D1 - Senec, rekonštrukcia a </w:t>
            </w:r>
            <w:proofErr w:type="spellStart"/>
            <w:r w:rsidRPr="000D432B">
              <w:rPr>
                <w:rFonts w:ascii="Calibri" w:eastAsia="Times New Roman" w:hAnsi="Calibri" w:cs="Calibri"/>
                <w:color w:val="000000"/>
                <w:lang w:eastAsia="sk-SK"/>
              </w:rPr>
              <w:t>skapacitnenie</w:t>
            </w:r>
            <w:proofErr w:type="spellEnd"/>
            <w:r w:rsidRPr="000D432B">
              <w:rPr>
                <w:rFonts w:ascii="Calibri" w:eastAsia="Times New Roman" w:hAnsi="Calibri" w:cs="Calibri"/>
                <w:color w:val="000000"/>
                <w:lang w:eastAsia="sk-SK"/>
              </w:rPr>
              <w:t xml:space="preserve"> (2 km)</w:t>
            </w:r>
          </w:p>
        </w:tc>
        <w:tc>
          <w:tcPr>
            <w:tcW w:w="2694" w:type="dxa"/>
            <w:tcBorders>
              <w:top w:val="nil"/>
              <w:left w:val="nil"/>
              <w:bottom w:val="single" w:sz="4" w:space="0" w:color="auto"/>
              <w:right w:val="single" w:sz="4" w:space="0" w:color="auto"/>
            </w:tcBorders>
            <w:shd w:val="clear" w:color="auto" w:fill="auto"/>
            <w:vAlign w:val="bottom"/>
            <w:hideMark/>
          </w:tcPr>
          <w:p w14:paraId="48CB186A"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DUR + UR</w:t>
            </w:r>
          </w:p>
        </w:tc>
        <w:tc>
          <w:tcPr>
            <w:tcW w:w="1417" w:type="dxa"/>
            <w:tcBorders>
              <w:top w:val="nil"/>
              <w:left w:val="nil"/>
              <w:bottom w:val="single" w:sz="4" w:space="0" w:color="auto"/>
              <w:right w:val="single" w:sz="4" w:space="0" w:color="auto"/>
            </w:tcBorders>
            <w:shd w:val="clear" w:color="auto" w:fill="auto"/>
            <w:noWrap/>
            <w:vAlign w:val="bottom"/>
            <w:hideMark/>
          </w:tcPr>
          <w:p w14:paraId="32746CB5"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21 800</w:t>
            </w:r>
          </w:p>
        </w:tc>
        <w:tc>
          <w:tcPr>
            <w:tcW w:w="1418" w:type="dxa"/>
            <w:tcBorders>
              <w:top w:val="nil"/>
              <w:left w:val="nil"/>
              <w:bottom w:val="single" w:sz="4" w:space="0" w:color="auto"/>
              <w:right w:val="single" w:sz="4" w:space="0" w:color="auto"/>
            </w:tcBorders>
            <w:shd w:val="clear" w:color="auto" w:fill="auto"/>
            <w:noWrap/>
            <w:vAlign w:val="bottom"/>
            <w:hideMark/>
          </w:tcPr>
          <w:p w14:paraId="377B1932"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8826AE9"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 </w:t>
            </w:r>
          </w:p>
        </w:tc>
      </w:tr>
      <w:tr w:rsidR="008457A3" w:rsidRPr="000D432B" w14:paraId="2E55EDAF" w14:textId="77777777" w:rsidTr="00411EFE">
        <w:trPr>
          <w:trHeight w:val="298"/>
        </w:trPr>
        <w:tc>
          <w:tcPr>
            <w:tcW w:w="3407" w:type="dxa"/>
            <w:vMerge/>
            <w:tcBorders>
              <w:top w:val="nil"/>
              <w:left w:val="single" w:sz="8" w:space="0" w:color="auto"/>
              <w:bottom w:val="single" w:sz="8" w:space="0" w:color="000000"/>
              <w:right w:val="single" w:sz="4" w:space="0" w:color="auto"/>
            </w:tcBorders>
            <w:vAlign w:val="center"/>
            <w:hideMark/>
          </w:tcPr>
          <w:p w14:paraId="17C14AB9" w14:textId="77777777" w:rsidR="008457A3" w:rsidRPr="000D432B" w:rsidRDefault="008457A3" w:rsidP="00411EFE">
            <w:pPr>
              <w:spacing w:after="0" w:line="240" w:lineRule="auto"/>
              <w:rPr>
                <w:rFonts w:ascii="Calibri" w:eastAsia="Times New Roman" w:hAnsi="Calibri" w:cs="Calibri"/>
                <w:color w:val="000000"/>
                <w:lang w:eastAsia="sk-SK"/>
              </w:rPr>
            </w:pPr>
          </w:p>
        </w:tc>
        <w:tc>
          <w:tcPr>
            <w:tcW w:w="2694" w:type="dxa"/>
            <w:tcBorders>
              <w:top w:val="nil"/>
              <w:left w:val="nil"/>
              <w:bottom w:val="single" w:sz="4" w:space="0" w:color="auto"/>
              <w:right w:val="single" w:sz="4" w:space="0" w:color="auto"/>
            </w:tcBorders>
            <w:shd w:val="clear" w:color="auto" w:fill="auto"/>
            <w:noWrap/>
            <w:vAlign w:val="bottom"/>
            <w:hideMark/>
          </w:tcPr>
          <w:p w14:paraId="6D5C5EF1"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Vysporiadanie pozemkov</w:t>
            </w:r>
          </w:p>
        </w:tc>
        <w:tc>
          <w:tcPr>
            <w:tcW w:w="1417" w:type="dxa"/>
            <w:tcBorders>
              <w:top w:val="nil"/>
              <w:left w:val="nil"/>
              <w:bottom w:val="single" w:sz="4" w:space="0" w:color="auto"/>
              <w:right w:val="single" w:sz="4" w:space="0" w:color="auto"/>
            </w:tcBorders>
            <w:shd w:val="clear" w:color="auto" w:fill="auto"/>
            <w:noWrap/>
            <w:vAlign w:val="bottom"/>
            <w:hideMark/>
          </w:tcPr>
          <w:p w14:paraId="0BB32530" w14:textId="77777777" w:rsidR="008457A3" w:rsidRPr="00002323" w:rsidRDefault="008457A3" w:rsidP="00411EFE">
            <w:pPr>
              <w:spacing w:after="0" w:line="240" w:lineRule="auto"/>
              <w:jc w:val="right"/>
              <w:rPr>
                <w:rFonts w:ascii="Calibri" w:eastAsia="Times New Roman" w:hAnsi="Calibri" w:cs="Calibri"/>
                <w:lang w:eastAsia="sk-SK"/>
              </w:rPr>
            </w:pPr>
          </w:p>
        </w:tc>
        <w:tc>
          <w:tcPr>
            <w:tcW w:w="1418" w:type="dxa"/>
            <w:tcBorders>
              <w:top w:val="nil"/>
              <w:left w:val="nil"/>
              <w:bottom w:val="single" w:sz="4" w:space="0" w:color="auto"/>
              <w:right w:val="single" w:sz="4" w:space="0" w:color="auto"/>
            </w:tcBorders>
            <w:shd w:val="clear" w:color="auto" w:fill="auto"/>
            <w:noWrap/>
            <w:vAlign w:val="bottom"/>
            <w:hideMark/>
          </w:tcPr>
          <w:p w14:paraId="72A6499F"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1 500 000</w:t>
            </w:r>
          </w:p>
        </w:tc>
        <w:tc>
          <w:tcPr>
            <w:tcW w:w="1275" w:type="dxa"/>
            <w:tcBorders>
              <w:top w:val="nil"/>
              <w:left w:val="nil"/>
              <w:bottom w:val="single" w:sz="4" w:space="0" w:color="auto"/>
              <w:right w:val="single" w:sz="4" w:space="0" w:color="auto"/>
            </w:tcBorders>
            <w:shd w:val="clear" w:color="auto" w:fill="auto"/>
            <w:noWrap/>
            <w:vAlign w:val="bottom"/>
            <w:hideMark/>
          </w:tcPr>
          <w:p w14:paraId="706358E3"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 </w:t>
            </w:r>
          </w:p>
        </w:tc>
      </w:tr>
      <w:tr w:rsidR="008457A3" w:rsidRPr="000D432B" w14:paraId="388AC8F6" w14:textId="77777777" w:rsidTr="00411EFE">
        <w:trPr>
          <w:trHeight w:val="298"/>
        </w:trPr>
        <w:tc>
          <w:tcPr>
            <w:tcW w:w="3407" w:type="dxa"/>
            <w:vMerge/>
            <w:tcBorders>
              <w:top w:val="nil"/>
              <w:left w:val="single" w:sz="8" w:space="0" w:color="auto"/>
              <w:bottom w:val="single" w:sz="8" w:space="0" w:color="000000"/>
              <w:right w:val="single" w:sz="4" w:space="0" w:color="auto"/>
            </w:tcBorders>
            <w:vAlign w:val="center"/>
            <w:hideMark/>
          </w:tcPr>
          <w:p w14:paraId="318C17BC" w14:textId="77777777" w:rsidR="008457A3" w:rsidRPr="000D432B" w:rsidRDefault="008457A3" w:rsidP="00411EFE">
            <w:pPr>
              <w:spacing w:after="0" w:line="240" w:lineRule="auto"/>
              <w:rPr>
                <w:rFonts w:ascii="Calibri" w:eastAsia="Times New Roman" w:hAnsi="Calibri" w:cs="Calibri"/>
                <w:color w:val="000000"/>
                <w:lang w:eastAsia="sk-SK"/>
              </w:rPr>
            </w:pPr>
          </w:p>
        </w:tc>
        <w:tc>
          <w:tcPr>
            <w:tcW w:w="2694" w:type="dxa"/>
            <w:tcBorders>
              <w:top w:val="nil"/>
              <w:left w:val="nil"/>
              <w:bottom w:val="single" w:sz="4" w:space="0" w:color="auto"/>
              <w:right w:val="single" w:sz="4" w:space="0" w:color="auto"/>
            </w:tcBorders>
            <w:shd w:val="clear" w:color="auto" w:fill="auto"/>
            <w:noWrap/>
            <w:vAlign w:val="bottom"/>
            <w:hideMark/>
          </w:tcPr>
          <w:p w14:paraId="667753DF"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DSP + SP</w:t>
            </w:r>
            <w:r>
              <w:rPr>
                <w:rFonts w:ascii="Calibri" w:eastAsia="Times New Roman" w:hAnsi="Calibri" w:cs="Calibri"/>
                <w:color w:val="000000"/>
                <w:lang w:eastAsia="sk-SK"/>
              </w:rPr>
              <w:t xml:space="preserve"> + DRS + AD</w:t>
            </w:r>
          </w:p>
        </w:tc>
        <w:tc>
          <w:tcPr>
            <w:tcW w:w="1417" w:type="dxa"/>
            <w:tcBorders>
              <w:top w:val="nil"/>
              <w:left w:val="nil"/>
              <w:bottom w:val="single" w:sz="4" w:space="0" w:color="auto"/>
              <w:right w:val="single" w:sz="4" w:space="0" w:color="auto"/>
            </w:tcBorders>
            <w:shd w:val="clear" w:color="auto" w:fill="auto"/>
            <w:noWrap/>
            <w:vAlign w:val="bottom"/>
            <w:hideMark/>
          </w:tcPr>
          <w:p w14:paraId="0AD98448"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98 760</w:t>
            </w:r>
          </w:p>
        </w:tc>
        <w:tc>
          <w:tcPr>
            <w:tcW w:w="1418" w:type="dxa"/>
            <w:tcBorders>
              <w:top w:val="nil"/>
              <w:left w:val="nil"/>
              <w:bottom w:val="single" w:sz="4" w:space="0" w:color="auto"/>
              <w:right w:val="single" w:sz="4" w:space="0" w:color="auto"/>
            </w:tcBorders>
            <w:shd w:val="clear" w:color="auto" w:fill="auto"/>
            <w:noWrap/>
            <w:vAlign w:val="bottom"/>
            <w:hideMark/>
          </w:tcPr>
          <w:p w14:paraId="55B471B5"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10 200</w:t>
            </w:r>
          </w:p>
        </w:tc>
        <w:tc>
          <w:tcPr>
            <w:tcW w:w="1275" w:type="dxa"/>
            <w:tcBorders>
              <w:top w:val="nil"/>
              <w:left w:val="nil"/>
              <w:bottom w:val="single" w:sz="4" w:space="0" w:color="auto"/>
              <w:right w:val="single" w:sz="4" w:space="0" w:color="auto"/>
            </w:tcBorders>
            <w:shd w:val="clear" w:color="auto" w:fill="auto"/>
            <w:noWrap/>
            <w:vAlign w:val="bottom"/>
            <w:hideMark/>
          </w:tcPr>
          <w:p w14:paraId="067B0566" w14:textId="77777777" w:rsidR="008457A3" w:rsidRPr="000D432B" w:rsidRDefault="008457A3" w:rsidP="00411EFE">
            <w:pPr>
              <w:spacing w:after="0" w:line="240" w:lineRule="auto"/>
              <w:jc w:val="right"/>
              <w:rPr>
                <w:rFonts w:ascii="Calibri" w:eastAsia="Times New Roman" w:hAnsi="Calibri" w:cs="Calibri"/>
                <w:color w:val="000000"/>
                <w:lang w:eastAsia="sk-SK"/>
              </w:rPr>
            </w:pPr>
          </w:p>
        </w:tc>
      </w:tr>
      <w:tr w:rsidR="008457A3" w:rsidRPr="000D432B" w14:paraId="3A5C3AFF" w14:textId="77777777" w:rsidTr="00411EFE">
        <w:trPr>
          <w:trHeight w:val="298"/>
        </w:trPr>
        <w:tc>
          <w:tcPr>
            <w:tcW w:w="3407" w:type="dxa"/>
            <w:vMerge/>
            <w:tcBorders>
              <w:top w:val="nil"/>
              <w:left w:val="single" w:sz="8" w:space="0" w:color="auto"/>
              <w:bottom w:val="single" w:sz="8" w:space="0" w:color="000000"/>
              <w:right w:val="single" w:sz="4" w:space="0" w:color="auto"/>
            </w:tcBorders>
            <w:vAlign w:val="center"/>
            <w:hideMark/>
          </w:tcPr>
          <w:p w14:paraId="3F4C53F8" w14:textId="77777777" w:rsidR="008457A3" w:rsidRPr="000D432B" w:rsidRDefault="008457A3" w:rsidP="00411EFE">
            <w:pPr>
              <w:spacing w:after="0" w:line="240" w:lineRule="auto"/>
              <w:rPr>
                <w:rFonts w:ascii="Calibri" w:eastAsia="Times New Roman" w:hAnsi="Calibri" w:cs="Calibri"/>
                <w:color w:val="000000"/>
                <w:lang w:eastAsia="sk-SK"/>
              </w:rPr>
            </w:pPr>
          </w:p>
        </w:tc>
        <w:tc>
          <w:tcPr>
            <w:tcW w:w="2694" w:type="dxa"/>
            <w:tcBorders>
              <w:top w:val="nil"/>
              <w:left w:val="nil"/>
              <w:bottom w:val="single" w:sz="4" w:space="0" w:color="auto"/>
              <w:right w:val="single" w:sz="4" w:space="0" w:color="auto"/>
            </w:tcBorders>
            <w:shd w:val="clear" w:color="auto" w:fill="auto"/>
            <w:noWrap/>
            <w:vAlign w:val="bottom"/>
            <w:hideMark/>
          </w:tcPr>
          <w:p w14:paraId="6E3E1952"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Realizácia</w:t>
            </w:r>
          </w:p>
        </w:tc>
        <w:tc>
          <w:tcPr>
            <w:tcW w:w="1417" w:type="dxa"/>
            <w:tcBorders>
              <w:top w:val="nil"/>
              <w:left w:val="nil"/>
              <w:bottom w:val="single" w:sz="4" w:space="0" w:color="auto"/>
              <w:right w:val="single" w:sz="4" w:space="0" w:color="auto"/>
            </w:tcBorders>
            <w:shd w:val="clear" w:color="auto" w:fill="auto"/>
            <w:noWrap/>
            <w:vAlign w:val="bottom"/>
            <w:hideMark/>
          </w:tcPr>
          <w:p w14:paraId="5F5E62E3"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 </w:t>
            </w:r>
          </w:p>
        </w:tc>
        <w:tc>
          <w:tcPr>
            <w:tcW w:w="1418" w:type="dxa"/>
            <w:tcBorders>
              <w:top w:val="nil"/>
              <w:left w:val="nil"/>
              <w:bottom w:val="single" w:sz="4" w:space="0" w:color="auto"/>
              <w:right w:val="single" w:sz="4" w:space="0" w:color="auto"/>
            </w:tcBorders>
            <w:shd w:val="clear" w:color="auto" w:fill="auto"/>
            <w:noWrap/>
            <w:vAlign w:val="bottom"/>
            <w:hideMark/>
          </w:tcPr>
          <w:p w14:paraId="4304814C"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EE10A7E" w14:textId="77777777" w:rsidR="008457A3" w:rsidRPr="000D432B" w:rsidRDefault="008457A3" w:rsidP="00411EFE">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7 078 000</w:t>
            </w:r>
          </w:p>
        </w:tc>
      </w:tr>
      <w:tr w:rsidR="008457A3" w:rsidRPr="000D432B" w14:paraId="0D52456D" w14:textId="77777777" w:rsidTr="00411EFE">
        <w:trPr>
          <w:trHeight w:val="313"/>
        </w:trPr>
        <w:tc>
          <w:tcPr>
            <w:tcW w:w="3407" w:type="dxa"/>
            <w:vMerge/>
            <w:tcBorders>
              <w:top w:val="nil"/>
              <w:left w:val="single" w:sz="8" w:space="0" w:color="auto"/>
              <w:bottom w:val="single" w:sz="8" w:space="0" w:color="000000"/>
              <w:right w:val="single" w:sz="4" w:space="0" w:color="auto"/>
            </w:tcBorders>
            <w:vAlign w:val="center"/>
            <w:hideMark/>
          </w:tcPr>
          <w:p w14:paraId="7F501D74" w14:textId="77777777" w:rsidR="008457A3" w:rsidRPr="000D432B" w:rsidRDefault="008457A3" w:rsidP="00411EFE">
            <w:pPr>
              <w:spacing w:after="0" w:line="240" w:lineRule="auto"/>
              <w:rPr>
                <w:rFonts w:ascii="Calibri" w:eastAsia="Times New Roman" w:hAnsi="Calibri" w:cs="Calibri"/>
                <w:color w:val="000000"/>
                <w:lang w:eastAsia="sk-SK"/>
              </w:rPr>
            </w:pPr>
          </w:p>
        </w:tc>
        <w:tc>
          <w:tcPr>
            <w:tcW w:w="2694" w:type="dxa"/>
            <w:tcBorders>
              <w:top w:val="nil"/>
              <w:left w:val="nil"/>
              <w:bottom w:val="single" w:sz="8" w:space="0" w:color="auto"/>
              <w:right w:val="single" w:sz="4" w:space="0" w:color="auto"/>
            </w:tcBorders>
            <w:shd w:val="clear" w:color="auto" w:fill="auto"/>
            <w:noWrap/>
            <w:vAlign w:val="bottom"/>
            <w:hideMark/>
          </w:tcPr>
          <w:p w14:paraId="3F86DCA8" w14:textId="77777777" w:rsidR="008457A3" w:rsidRPr="000D432B" w:rsidRDefault="008457A3" w:rsidP="00411EFE">
            <w:pPr>
              <w:spacing w:after="0" w:line="240" w:lineRule="auto"/>
              <w:rPr>
                <w:rFonts w:ascii="Calibri" w:eastAsia="Times New Roman" w:hAnsi="Calibri" w:cs="Calibri"/>
                <w:b/>
                <w:bCs/>
                <w:color w:val="000000"/>
                <w:lang w:eastAsia="sk-SK"/>
              </w:rPr>
            </w:pPr>
            <w:r w:rsidRPr="000D432B">
              <w:rPr>
                <w:rFonts w:ascii="Calibri" w:eastAsia="Times New Roman" w:hAnsi="Calibri" w:cs="Calibri"/>
                <w:b/>
                <w:bCs/>
                <w:color w:val="000000"/>
                <w:lang w:eastAsia="sk-SK"/>
              </w:rPr>
              <w:t>Spolu</w:t>
            </w:r>
          </w:p>
        </w:tc>
        <w:tc>
          <w:tcPr>
            <w:tcW w:w="1417" w:type="dxa"/>
            <w:tcBorders>
              <w:top w:val="nil"/>
              <w:left w:val="nil"/>
              <w:bottom w:val="single" w:sz="8" w:space="0" w:color="auto"/>
              <w:right w:val="single" w:sz="8" w:space="0" w:color="auto"/>
            </w:tcBorders>
            <w:shd w:val="clear" w:color="auto" w:fill="auto"/>
            <w:noWrap/>
            <w:vAlign w:val="bottom"/>
            <w:hideMark/>
          </w:tcPr>
          <w:p w14:paraId="33CBFA11" w14:textId="77777777" w:rsidR="008457A3" w:rsidRPr="00002323" w:rsidRDefault="008457A3" w:rsidP="00411EFE">
            <w:pPr>
              <w:spacing w:after="0" w:line="240" w:lineRule="auto"/>
              <w:jc w:val="right"/>
              <w:rPr>
                <w:rFonts w:ascii="Calibri" w:eastAsia="Times New Roman" w:hAnsi="Calibri" w:cs="Calibri"/>
                <w:b/>
                <w:bCs/>
                <w:lang w:eastAsia="sk-SK"/>
              </w:rPr>
            </w:pPr>
            <w:r w:rsidRPr="00002323">
              <w:rPr>
                <w:rFonts w:ascii="Calibri" w:eastAsia="Times New Roman" w:hAnsi="Calibri" w:cs="Calibri"/>
                <w:b/>
                <w:bCs/>
                <w:lang w:eastAsia="sk-SK"/>
              </w:rPr>
              <w:t>120 560</w:t>
            </w:r>
          </w:p>
        </w:tc>
        <w:tc>
          <w:tcPr>
            <w:tcW w:w="1418" w:type="dxa"/>
            <w:tcBorders>
              <w:top w:val="nil"/>
              <w:left w:val="single" w:sz="4" w:space="0" w:color="auto"/>
              <w:bottom w:val="single" w:sz="8" w:space="0" w:color="auto"/>
              <w:right w:val="single" w:sz="4" w:space="0" w:color="auto"/>
            </w:tcBorders>
            <w:shd w:val="clear" w:color="auto" w:fill="auto"/>
            <w:noWrap/>
            <w:vAlign w:val="bottom"/>
            <w:hideMark/>
          </w:tcPr>
          <w:p w14:paraId="33451A45" w14:textId="77777777" w:rsidR="008457A3" w:rsidRPr="00002323" w:rsidRDefault="008457A3" w:rsidP="00411EFE">
            <w:pPr>
              <w:spacing w:after="0" w:line="240" w:lineRule="auto"/>
              <w:jc w:val="right"/>
              <w:rPr>
                <w:rFonts w:ascii="Calibri" w:eastAsia="Times New Roman" w:hAnsi="Calibri" w:cs="Calibri"/>
                <w:b/>
                <w:bCs/>
                <w:lang w:eastAsia="sk-SK"/>
              </w:rPr>
            </w:pPr>
            <w:r w:rsidRPr="00002323">
              <w:rPr>
                <w:rFonts w:ascii="Calibri" w:eastAsia="Times New Roman" w:hAnsi="Calibri" w:cs="Calibri"/>
                <w:b/>
                <w:bCs/>
                <w:lang w:eastAsia="sk-SK"/>
              </w:rPr>
              <w:t>1 510 200</w:t>
            </w:r>
          </w:p>
        </w:tc>
        <w:tc>
          <w:tcPr>
            <w:tcW w:w="1275" w:type="dxa"/>
            <w:tcBorders>
              <w:top w:val="nil"/>
              <w:left w:val="nil"/>
              <w:bottom w:val="single" w:sz="8" w:space="0" w:color="auto"/>
              <w:right w:val="single" w:sz="4" w:space="0" w:color="auto"/>
            </w:tcBorders>
            <w:shd w:val="clear" w:color="auto" w:fill="auto"/>
            <w:noWrap/>
            <w:vAlign w:val="bottom"/>
            <w:hideMark/>
          </w:tcPr>
          <w:p w14:paraId="7D0D9677" w14:textId="77777777" w:rsidR="008457A3" w:rsidRPr="000D432B" w:rsidRDefault="008457A3" w:rsidP="00411EFE">
            <w:pPr>
              <w:spacing w:after="0" w:line="240" w:lineRule="auto"/>
              <w:jc w:val="right"/>
              <w:rPr>
                <w:rFonts w:ascii="Calibri" w:eastAsia="Times New Roman" w:hAnsi="Calibri" w:cs="Calibri"/>
                <w:b/>
                <w:bCs/>
                <w:color w:val="000000"/>
                <w:lang w:eastAsia="sk-SK"/>
              </w:rPr>
            </w:pPr>
            <w:r>
              <w:rPr>
                <w:rFonts w:ascii="Calibri" w:eastAsia="Times New Roman" w:hAnsi="Calibri" w:cs="Calibri"/>
                <w:b/>
                <w:bCs/>
                <w:color w:val="000000"/>
                <w:lang w:eastAsia="sk-SK"/>
              </w:rPr>
              <w:t>7 078</w:t>
            </w:r>
            <w:r w:rsidRPr="000D432B">
              <w:rPr>
                <w:rFonts w:ascii="Calibri" w:eastAsia="Times New Roman" w:hAnsi="Calibri" w:cs="Calibri"/>
                <w:b/>
                <w:bCs/>
                <w:color w:val="000000"/>
                <w:lang w:eastAsia="sk-SK"/>
              </w:rPr>
              <w:t xml:space="preserve"> 000</w:t>
            </w:r>
          </w:p>
        </w:tc>
      </w:tr>
      <w:tr w:rsidR="008457A3" w:rsidRPr="000D432B" w14:paraId="2F734AF7" w14:textId="77777777" w:rsidTr="00411EFE">
        <w:trPr>
          <w:trHeight w:val="298"/>
        </w:trPr>
        <w:tc>
          <w:tcPr>
            <w:tcW w:w="3407" w:type="dxa"/>
            <w:vMerge w:val="restart"/>
            <w:tcBorders>
              <w:top w:val="nil"/>
              <w:left w:val="single" w:sz="8" w:space="0" w:color="auto"/>
              <w:bottom w:val="single" w:sz="8" w:space="0" w:color="000000"/>
              <w:right w:val="single" w:sz="4" w:space="0" w:color="auto"/>
            </w:tcBorders>
            <w:shd w:val="clear" w:color="auto" w:fill="auto"/>
            <w:vAlign w:val="center"/>
            <w:hideMark/>
          </w:tcPr>
          <w:p w14:paraId="283E132F"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II/590 severný obchvat Malaciek, preložka</w:t>
            </w:r>
          </w:p>
        </w:tc>
        <w:tc>
          <w:tcPr>
            <w:tcW w:w="2694" w:type="dxa"/>
            <w:tcBorders>
              <w:top w:val="nil"/>
              <w:left w:val="nil"/>
              <w:bottom w:val="single" w:sz="4" w:space="0" w:color="auto"/>
              <w:right w:val="single" w:sz="4" w:space="0" w:color="auto"/>
            </w:tcBorders>
            <w:shd w:val="clear" w:color="auto" w:fill="auto"/>
            <w:noWrap/>
            <w:vAlign w:val="bottom"/>
            <w:hideMark/>
          </w:tcPr>
          <w:p w14:paraId="7072A878"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DUR + UR</w:t>
            </w:r>
          </w:p>
        </w:tc>
        <w:tc>
          <w:tcPr>
            <w:tcW w:w="1417" w:type="dxa"/>
            <w:tcBorders>
              <w:top w:val="nil"/>
              <w:left w:val="nil"/>
              <w:bottom w:val="single" w:sz="4" w:space="0" w:color="auto"/>
              <w:right w:val="single" w:sz="4" w:space="0" w:color="auto"/>
            </w:tcBorders>
            <w:shd w:val="clear" w:color="auto" w:fill="auto"/>
            <w:noWrap/>
            <w:vAlign w:val="bottom"/>
            <w:hideMark/>
          </w:tcPr>
          <w:p w14:paraId="79B5FED9"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10 740</w:t>
            </w:r>
          </w:p>
        </w:tc>
        <w:tc>
          <w:tcPr>
            <w:tcW w:w="1418" w:type="dxa"/>
            <w:tcBorders>
              <w:top w:val="nil"/>
              <w:left w:val="nil"/>
              <w:bottom w:val="single" w:sz="4" w:space="0" w:color="auto"/>
              <w:right w:val="single" w:sz="4" w:space="0" w:color="auto"/>
            </w:tcBorders>
            <w:shd w:val="clear" w:color="auto" w:fill="auto"/>
            <w:noWrap/>
            <w:vAlign w:val="bottom"/>
            <w:hideMark/>
          </w:tcPr>
          <w:p w14:paraId="55FEC364"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99AB736"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 </w:t>
            </w:r>
          </w:p>
        </w:tc>
      </w:tr>
      <w:tr w:rsidR="008457A3" w:rsidRPr="000D432B" w14:paraId="36A43513" w14:textId="77777777" w:rsidTr="00411EFE">
        <w:trPr>
          <w:trHeight w:val="298"/>
        </w:trPr>
        <w:tc>
          <w:tcPr>
            <w:tcW w:w="3407" w:type="dxa"/>
            <w:vMerge/>
            <w:tcBorders>
              <w:top w:val="nil"/>
              <w:left w:val="single" w:sz="8" w:space="0" w:color="auto"/>
              <w:bottom w:val="single" w:sz="8" w:space="0" w:color="000000"/>
              <w:right w:val="single" w:sz="4" w:space="0" w:color="auto"/>
            </w:tcBorders>
            <w:vAlign w:val="center"/>
            <w:hideMark/>
          </w:tcPr>
          <w:p w14:paraId="750FAFFB" w14:textId="77777777" w:rsidR="008457A3" w:rsidRPr="000D432B" w:rsidRDefault="008457A3" w:rsidP="00411EFE">
            <w:pPr>
              <w:spacing w:after="0" w:line="240" w:lineRule="auto"/>
              <w:rPr>
                <w:rFonts w:ascii="Calibri" w:eastAsia="Times New Roman" w:hAnsi="Calibri" w:cs="Calibri"/>
                <w:color w:val="000000"/>
                <w:lang w:eastAsia="sk-SK"/>
              </w:rPr>
            </w:pPr>
          </w:p>
        </w:tc>
        <w:tc>
          <w:tcPr>
            <w:tcW w:w="2694" w:type="dxa"/>
            <w:tcBorders>
              <w:top w:val="nil"/>
              <w:left w:val="nil"/>
              <w:bottom w:val="single" w:sz="4" w:space="0" w:color="auto"/>
              <w:right w:val="single" w:sz="4" w:space="0" w:color="auto"/>
            </w:tcBorders>
            <w:shd w:val="clear" w:color="auto" w:fill="auto"/>
            <w:noWrap/>
            <w:vAlign w:val="bottom"/>
            <w:hideMark/>
          </w:tcPr>
          <w:p w14:paraId="75DF309C"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Vysporiadanie pozemkov</w:t>
            </w:r>
          </w:p>
        </w:tc>
        <w:tc>
          <w:tcPr>
            <w:tcW w:w="1417" w:type="dxa"/>
            <w:tcBorders>
              <w:top w:val="nil"/>
              <w:left w:val="nil"/>
              <w:bottom w:val="single" w:sz="4" w:space="0" w:color="auto"/>
              <w:right w:val="single" w:sz="4" w:space="0" w:color="auto"/>
            </w:tcBorders>
            <w:shd w:val="clear" w:color="auto" w:fill="auto"/>
            <w:noWrap/>
            <w:vAlign w:val="bottom"/>
            <w:hideMark/>
          </w:tcPr>
          <w:p w14:paraId="0E58B767" w14:textId="77777777" w:rsidR="008457A3" w:rsidRPr="00002323" w:rsidRDefault="008457A3" w:rsidP="00411EFE">
            <w:pPr>
              <w:spacing w:after="0" w:line="240" w:lineRule="auto"/>
              <w:jc w:val="right"/>
              <w:rPr>
                <w:rFonts w:ascii="Calibri" w:eastAsia="Times New Roman" w:hAnsi="Calibri" w:cs="Calibri"/>
                <w:lang w:eastAsia="sk-SK"/>
              </w:rPr>
            </w:pPr>
          </w:p>
        </w:tc>
        <w:tc>
          <w:tcPr>
            <w:tcW w:w="1418" w:type="dxa"/>
            <w:tcBorders>
              <w:top w:val="nil"/>
              <w:left w:val="nil"/>
              <w:bottom w:val="single" w:sz="4" w:space="0" w:color="auto"/>
              <w:right w:val="single" w:sz="4" w:space="0" w:color="auto"/>
            </w:tcBorders>
            <w:shd w:val="clear" w:color="auto" w:fill="auto"/>
            <w:noWrap/>
            <w:vAlign w:val="bottom"/>
            <w:hideMark/>
          </w:tcPr>
          <w:p w14:paraId="7C809F17"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1 090 000</w:t>
            </w:r>
          </w:p>
        </w:tc>
        <w:tc>
          <w:tcPr>
            <w:tcW w:w="1275" w:type="dxa"/>
            <w:tcBorders>
              <w:top w:val="nil"/>
              <w:left w:val="nil"/>
              <w:bottom w:val="single" w:sz="4" w:space="0" w:color="auto"/>
              <w:right w:val="single" w:sz="4" w:space="0" w:color="auto"/>
            </w:tcBorders>
            <w:shd w:val="clear" w:color="auto" w:fill="auto"/>
            <w:noWrap/>
            <w:vAlign w:val="bottom"/>
            <w:hideMark/>
          </w:tcPr>
          <w:p w14:paraId="6D6429CB"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 </w:t>
            </w:r>
          </w:p>
        </w:tc>
      </w:tr>
      <w:tr w:rsidR="008457A3" w:rsidRPr="000D432B" w14:paraId="1268D351" w14:textId="77777777" w:rsidTr="00411EFE">
        <w:trPr>
          <w:trHeight w:val="298"/>
        </w:trPr>
        <w:tc>
          <w:tcPr>
            <w:tcW w:w="3407" w:type="dxa"/>
            <w:vMerge/>
            <w:tcBorders>
              <w:top w:val="nil"/>
              <w:left w:val="single" w:sz="8" w:space="0" w:color="auto"/>
              <w:bottom w:val="single" w:sz="8" w:space="0" w:color="000000"/>
              <w:right w:val="single" w:sz="4" w:space="0" w:color="auto"/>
            </w:tcBorders>
            <w:vAlign w:val="center"/>
            <w:hideMark/>
          </w:tcPr>
          <w:p w14:paraId="5494FC22" w14:textId="77777777" w:rsidR="008457A3" w:rsidRPr="000D432B" w:rsidRDefault="008457A3" w:rsidP="00411EFE">
            <w:pPr>
              <w:spacing w:after="0" w:line="240" w:lineRule="auto"/>
              <w:rPr>
                <w:rFonts w:ascii="Calibri" w:eastAsia="Times New Roman" w:hAnsi="Calibri" w:cs="Calibri"/>
                <w:color w:val="000000"/>
                <w:lang w:eastAsia="sk-SK"/>
              </w:rPr>
            </w:pPr>
          </w:p>
        </w:tc>
        <w:tc>
          <w:tcPr>
            <w:tcW w:w="2694" w:type="dxa"/>
            <w:tcBorders>
              <w:top w:val="nil"/>
              <w:left w:val="nil"/>
              <w:bottom w:val="single" w:sz="4" w:space="0" w:color="auto"/>
              <w:right w:val="single" w:sz="4" w:space="0" w:color="auto"/>
            </w:tcBorders>
            <w:shd w:val="clear" w:color="auto" w:fill="auto"/>
            <w:noWrap/>
            <w:vAlign w:val="bottom"/>
            <w:hideMark/>
          </w:tcPr>
          <w:p w14:paraId="72998335"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DSP + SP</w:t>
            </w:r>
            <w:r>
              <w:rPr>
                <w:rFonts w:ascii="Calibri" w:eastAsia="Times New Roman" w:hAnsi="Calibri" w:cs="Calibri"/>
                <w:color w:val="000000"/>
                <w:lang w:eastAsia="sk-SK"/>
              </w:rPr>
              <w:t xml:space="preserve"> + DRS + AD</w:t>
            </w:r>
          </w:p>
        </w:tc>
        <w:tc>
          <w:tcPr>
            <w:tcW w:w="1417" w:type="dxa"/>
            <w:tcBorders>
              <w:top w:val="nil"/>
              <w:left w:val="nil"/>
              <w:bottom w:val="single" w:sz="4" w:space="0" w:color="auto"/>
              <w:right w:val="single" w:sz="4" w:space="0" w:color="auto"/>
            </w:tcBorders>
            <w:shd w:val="clear" w:color="auto" w:fill="auto"/>
            <w:noWrap/>
            <w:vAlign w:val="bottom"/>
            <w:hideMark/>
          </w:tcPr>
          <w:p w14:paraId="064B86D0"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417 583</w:t>
            </w:r>
          </w:p>
        </w:tc>
        <w:tc>
          <w:tcPr>
            <w:tcW w:w="1418" w:type="dxa"/>
            <w:tcBorders>
              <w:top w:val="nil"/>
              <w:left w:val="nil"/>
              <w:bottom w:val="single" w:sz="4" w:space="0" w:color="auto"/>
              <w:right w:val="single" w:sz="4" w:space="0" w:color="auto"/>
            </w:tcBorders>
            <w:shd w:val="clear" w:color="auto" w:fill="auto"/>
            <w:noWrap/>
            <w:vAlign w:val="bottom"/>
            <w:hideMark/>
          </w:tcPr>
          <w:p w14:paraId="1A7F8519" w14:textId="77777777" w:rsidR="008457A3" w:rsidRPr="00002323" w:rsidRDefault="008457A3" w:rsidP="00411EFE">
            <w:pPr>
              <w:spacing w:after="0" w:line="240" w:lineRule="auto"/>
              <w:jc w:val="right"/>
              <w:rPr>
                <w:rFonts w:ascii="Calibri" w:eastAsia="Times New Roman" w:hAnsi="Calibri" w:cs="Calibri"/>
                <w:lang w:eastAsia="sk-SK"/>
              </w:rPr>
            </w:pPr>
            <w:r w:rsidRPr="00002323">
              <w:rPr>
                <w:rFonts w:ascii="Calibri" w:eastAsia="Times New Roman" w:hAnsi="Calibri" w:cs="Calibri"/>
                <w:lang w:eastAsia="sk-SK"/>
              </w:rPr>
              <w:t>24 240</w:t>
            </w:r>
          </w:p>
        </w:tc>
        <w:tc>
          <w:tcPr>
            <w:tcW w:w="1275" w:type="dxa"/>
            <w:tcBorders>
              <w:top w:val="nil"/>
              <w:left w:val="nil"/>
              <w:bottom w:val="single" w:sz="4" w:space="0" w:color="auto"/>
              <w:right w:val="single" w:sz="4" w:space="0" w:color="auto"/>
            </w:tcBorders>
            <w:shd w:val="clear" w:color="auto" w:fill="auto"/>
            <w:noWrap/>
            <w:vAlign w:val="bottom"/>
            <w:hideMark/>
          </w:tcPr>
          <w:p w14:paraId="2921D804" w14:textId="77777777" w:rsidR="008457A3" w:rsidRPr="000D432B" w:rsidRDefault="008457A3" w:rsidP="00411EFE">
            <w:pPr>
              <w:spacing w:after="0" w:line="240" w:lineRule="auto"/>
              <w:jc w:val="right"/>
              <w:rPr>
                <w:rFonts w:ascii="Calibri" w:eastAsia="Times New Roman" w:hAnsi="Calibri" w:cs="Calibri"/>
                <w:color w:val="000000"/>
                <w:lang w:eastAsia="sk-SK"/>
              </w:rPr>
            </w:pPr>
          </w:p>
        </w:tc>
      </w:tr>
      <w:tr w:rsidR="008457A3" w:rsidRPr="000D432B" w14:paraId="5F48A103" w14:textId="77777777" w:rsidTr="00411EFE">
        <w:trPr>
          <w:trHeight w:val="298"/>
        </w:trPr>
        <w:tc>
          <w:tcPr>
            <w:tcW w:w="3407" w:type="dxa"/>
            <w:vMerge/>
            <w:tcBorders>
              <w:top w:val="nil"/>
              <w:left w:val="single" w:sz="8" w:space="0" w:color="auto"/>
              <w:bottom w:val="single" w:sz="8" w:space="0" w:color="000000"/>
              <w:right w:val="single" w:sz="4" w:space="0" w:color="auto"/>
            </w:tcBorders>
            <w:vAlign w:val="center"/>
            <w:hideMark/>
          </w:tcPr>
          <w:p w14:paraId="5A7F974D" w14:textId="77777777" w:rsidR="008457A3" w:rsidRPr="000D432B" w:rsidRDefault="008457A3" w:rsidP="00411EFE">
            <w:pPr>
              <w:spacing w:after="0" w:line="240" w:lineRule="auto"/>
              <w:rPr>
                <w:rFonts w:ascii="Calibri" w:eastAsia="Times New Roman" w:hAnsi="Calibri" w:cs="Calibri"/>
                <w:color w:val="000000"/>
                <w:lang w:eastAsia="sk-SK"/>
              </w:rPr>
            </w:pPr>
          </w:p>
        </w:tc>
        <w:tc>
          <w:tcPr>
            <w:tcW w:w="2694" w:type="dxa"/>
            <w:tcBorders>
              <w:top w:val="nil"/>
              <w:left w:val="nil"/>
              <w:bottom w:val="nil"/>
              <w:right w:val="single" w:sz="4" w:space="0" w:color="auto"/>
            </w:tcBorders>
            <w:shd w:val="clear" w:color="auto" w:fill="auto"/>
            <w:noWrap/>
            <w:vAlign w:val="bottom"/>
            <w:hideMark/>
          </w:tcPr>
          <w:p w14:paraId="6BDC4CBF"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Realizácia</w:t>
            </w:r>
          </w:p>
        </w:tc>
        <w:tc>
          <w:tcPr>
            <w:tcW w:w="1417" w:type="dxa"/>
            <w:tcBorders>
              <w:top w:val="nil"/>
              <w:left w:val="nil"/>
              <w:bottom w:val="nil"/>
              <w:right w:val="single" w:sz="4" w:space="0" w:color="auto"/>
            </w:tcBorders>
            <w:shd w:val="clear" w:color="auto" w:fill="auto"/>
            <w:noWrap/>
            <w:vAlign w:val="bottom"/>
            <w:hideMark/>
          </w:tcPr>
          <w:p w14:paraId="7D792B2D"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 </w:t>
            </w:r>
          </w:p>
        </w:tc>
        <w:tc>
          <w:tcPr>
            <w:tcW w:w="1418" w:type="dxa"/>
            <w:tcBorders>
              <w:top w:val="nil"/>
              <w:left w:val="nil"/>
              <w:bottom w:val="nil"/>
              <w:right w:val="single" w:sz="4" w:space="0" w:color="auto"/>
            </w:tcBorders>
            <w:shd w:val="clear" w:color="auto" w:fill="auto"/>
            <w:noWrap/>
            <w:vAlign w:val="bottom"/>
            <w:hideMark/>
          </w:tcPr>
          <w:p w14:paraId="2C7A5DDA"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 </w:t>
            </w:r>
          </w:p>
        </w:tc>
        <w:tc>
          <w:tcPr>
            <w:tcW w:w="1275" w:type="dxa"/>
            <w:tcBorders>
              <w:top w:val="nil"/>
              <w:left w:val="nil"/>
              <w:bottom w:val="nil"/>
              <w:right w:val="single" w:sz="4" w:space="0" w:color="auto"/>
            </w:tcBorders>
            <w:shd w:val="clear" w:color="auto" w:fill="auto"/>
            <w:noWrap/>
            <w:vAlign w:val="bottom"/>
            <w:hideMark/>
          </w:tcPr>
          <w:p w14:paraId="6D6F3B73" w14:textId="77777777" w:rsidR="008457A3" w:rsidRPr="000D432B" w:rsidRDefault="008457A3" w:rsidP="00411EFE">
            <w:pPr>
              <w:spacing w:after="0" w:line="240" w:lineRule="auto"/>
              <w:jc w:val="right"/>
              <w:rPr>
                <w:rFonts w:ascii="Calibri" w:eastAsia="Times New Roman" w:hAnsi="Calibri" w:cs="Calibri"/>
                <w:color w:val="000000"/>
                <w:lang w:eastAsia="sk-SK"/>
              </w:rPr>
            </w:pPr>
            <w:r w:rsidRPr="000D432B">
              <w:rPr>
                <w:rFonts w:ascii="Calibri" w:eastAsia="Times New Roman" w:hAnsi="Calibri" w:cs="Calibri"/>
                <w:color w:val="000000"/>
                <w:lang w:eastAsia="sk-SK"/>
              </w:rPr>
              <w:t> </w:t>
            </w:r>
            <w:r>
              <w:rPr>
                <w:rFonts w:ascii="Calibri" w:eastAsia="Times New Roman" w:hAnsi="Calibri" w:cs="Calibri"/>
                <w:color w:val="000000"/>
                <w:lang w:eastAsia="sk-SK"/>
              </w:rPr>
              <w:t>4 100 000</w:t>
            </w:r>
          </w:p>
        </w:tc>
      </w:tr>
      <w:tr w:rsidR="008457A3" w:rsidRPr="000D432B" w14:paraId="1F5930ED" w14:textId="77777777" w:rsidTr="00411EFE">
        <w:trPr>
          <w:trHeight w:val="298"/>
        </w:trPr>
        <w:tc>
          <w:tcPr>
            <w:tcW w:w="3407" w:type="dxa"/>
            <w:vMerge/>
            <w:tcBorders>
              <w:top w:val="nil"/>
              <w:left w:val="single" w:sz="8" w:space="0" w:color="auto"/>
              <w:bottom w:val="single" w:sz="8" w:space="0" w:color="000000"/>
              <w:right w:val="single" w:sz="4" w:space="0" w:color="auto"/>
            </w:tcBorders>
            <w:vAlign w:val="center"/>
            <w:hideMark/>
          </w:tcPr>
          <w:p w14:paraId="0055E236" w14:textId="77777777" w:rsidR="008457A3" w:rsidRPr="000D432B" w:rsidRDefault="008457A3" w:rsidP="00411EFE">
            <w:pPr>
              <w:spacing w:after="0" w:line="240" w:lineRule="auto"/>
              <w:rPr>
                <w:rFonts w:ascii="Calibri" w:eastAsia="Times New Roman" w:hAnsi="Calibri" w:cs="Calibri"/>
                <w:color w:val="000000"/>
                <w:lang w:eastAsia="sk-SK"/>
              </w:rPr>
            </w:pPr>
          </w:p>
        </w:tc>
        <w:tc>
          <w:tcPr>
            <w:tcW w:w="2694" w:type="dxa"/>
            <w:tcBorders>
              <w:top w:val="single" w:sz="4" w:space="0" w:color="auto"/>
              <w:left w:val="nil"/>
              <w:bottom w:val="single" w:sz="8" w:space="0" w:color="auto"/>
              <w:right w:val="single" w:sz="4" w:space="0" w:color="auto"/>
            </w:tcBorders>
            <w:shd w:val="clear" w:color="auto" w:fill="auto"/>
            <w:noWrap/>
            <w:vAlign w:val="bottom"/>
            <w:hideMark/>
          </w:tcPr>
          <w:p w14:paraId="79D3D73A" w14:textId="77777777" w:rsidR="008457A3" w:rsidRPr="000D432B" w:rsidRDefault="008457A3" w:rsidP="00411EFE">
            <w:pPr>
              <w:spacing w:after="0" w:line="240" w:lineRule="auto"/>
              <w:rPr>
                <w:rFonts w:ascii="Calibri" w:eastAsia="Times New Roman" w:hAnsi="Calibri" w:cs="Calibri"/>
                <w:b/>
                <w:bCs/>
                <w:color w:val="000000"/>
                <w:lang w:eastAsia="sk-SK"/>
              </w:rPr>
            </w:pPr>
            <w:r w:rsidRPr="000D432B">
              <w:rPr>
                <w:rFonts w:ascii="Calibri" w:eastAsia="Times New Roman" w:hAnsi="Calibri" w:cs="Calibri"/>
                <w:b/>
                <w:bCs/>
                <w:color w:val="000000"/>
                <w:lang w:eastAsia="sk-SK"/>
              </w:rPr>
              <w:t>Spolu</w:t>
            </w:r>
          </w:p>
        </w:tc>
        <w:tc>
          <w:tcPr>
            <w:tcW w:w="1417" w:type="dxa"/>
            <w:tcBorders>
              <w:top w:val="single" w:sz="4" w:space="0" w:color="auto"/>
              <w:left w:val="nil"/>
              <w:bottom w:val="single" w:sz="8" w:space="0" w:color="auto"/>
              <w:right w:val="single" w:sz="4" w:space="0" w:color="auto"/>
            </w:tcBorders>
            <w:shd w:val="clear" w:color="auto" w:fill="auto"/>
            <w:noWrap/>
            <w:vAlign w:val="bottom"/>
            <w:hideMark/>
          </w:tcPr>
          <w:p w14:paraId="4EF4D351" w14:textId="77777777" w:rsidR="008457A3" w:rsidRPr="000D432B" w:rsidRDefault="008457A3" w:rsidP="00411EFE">
            <w:pPr>
              <w:spacing w:after="0" w:line="240" w:lineRule="auto"/>
              <w:jc w:val="right"/>
              <w:rPr>
                <w:rFonts w:ascii="Calibri" w:eastAsia="Times New Roman" w:hAnsi="Calibri" w:cs="Calibri"/>
                <w:b/>
                <w:bCs/>
                <w:color w:val="000000"/>
                <w:lang w:eastAsia="sk-SK"/>
              </w:rPr>
            </w:pPr>
            <w:r>
              <w:rPr>
                <w:rFonts w:ascii="Calibri" w:eastAsia="Times New Roman" w:hAnsi="Calibri" w:cs="Calibri"/>
                <w:b/>
                <w:bCs/>
                <w:color w:val="000000"/>
                <w:lang w:eastAsia="sk-SK"/>
              </w:rPr>
              <w:t>428</w:t>
            </w:r>
            <w:r w:rsidRPr="000D432B">
              <w:rPr>
                <w:rFonts w:ascii="Calibri" w:eastAsia="Times New Roman" w:hAnsi="Calibri" w:cs="Calibri"/>
                <w:b/>
                <w:bCs/>
                <w:color w:val="000000"/>
                <w:lang w:eastAsia="sk-SK"/>
              </w:rPr>
              <w:t xml:space="preserve"> </w:t>
            </w:r>
            <w:r>
              <w:rPr>
                <w:rFonts w:ascii="Calibri" w:eastAsia="Times New Roman" w:hAnsi="Calibri" w:cs="Calibri"/>
                <w:b/>
                <w:bCs/>
                <w:color w:val="000000"/>
                <w:lang w:eastAsia="sk-SK"/>
              </w:rPr>
              <w:t>323</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215BAD69" w14:textId="77777777" w:rsidR="008457A3" w:rsidRPr="000D432B" w:rsidRDefault="008457A3" w:rsidP="00411EFE">
            <w:pPr>
              <w:spacing w:after="0" w:line="240" w:lineRule="auto"/>
              <w:jc w:val="right"/>
              <w:rPr>
                <w:rFonts w:ascii="Calibri" w:eastAsia="Times New Roman" w:hAnsi="Calibri" w:cs="Calibri"/>
                <w:b/>
                <w:bCs/>
                <w:color w:val="000000"/>
                <w:lang w:eastAsia="sk-SK"/>
              </w:rPr>
            </w:pPr>
            <w:r>
              <w:rPr>
                <w:rFonts w:ascii="Calibri" w:eastAsia="Times New Roman" w:hAnsi="Calibri" w:cs="Calibri"/>
                <w:b/>
                <w:bCs/>
                <w:color w:val="000000"/>
                <w:lang w:eastAsia="sk-SK"/>
              </w:rPr>
              <w:t>1 114</w:t>
            </w:r>
            <w:r w:rsidRPr="000D432B">
              <w:rPr>
                <w:rFonts w:ascii="Calibri" w:eastAsia="Times New Roman" w:hAnsi="Calibri" w:cs="Calibri"/>
                <w:b/>
                <w:bCs/>
                <w:color w:val="000000"/>
                <w:lang w:eastAsia="sk-SK"/>
              </w:rPr>
              <w:t xml:space="preserve"> </w:t>
            </w:r>
            <w:r>
              <w:rPr>
                <w:rFonts w:ascii="Calibri" w:eastAsia="Times New Roman" w:hAnsi="Calibri" w:cs="Calibri"/>
                <w:b/>
                <w:bCs/>
                <w:color w:val="000000"/>
                <w:lang w:eastAsia="sk-SK"/>
              </w:rPr>
              <w:t>24</w:t>
            </w:r>
            <w:r w:rsidRPr="000D432B">
              <w:rPr>
                <w:rFonts w:ascii="Calibri" w:eastAsia="Times New Roman" w:hAnsi="Calibri" w:cs="Calibri"/>
                <w:b/>
                <w:bCs/>
                <w:color w:val="000000"/>
                <w:lang w:eastAsia="sk-SK"/>
              </w:rPr>
              <w:t>0</w:t>
            </w:r>
          </w:p>
        </w:tc>
        <w:tc>
          <w:tcPr>
            <w:tcW w:w="1275" w:type="dxa"/>
            <w:tcBorders>
              <w:top w:val="single" w:sz="4" w:space="0" w:color="auto"/>
              <w:left w:val="nil"/>
              <w:bottom w:val="single" w:sz="8" w:space="0" w:color="auto"/>
              <w:right w:val="single" w:sz="4" w:space="0" w:color="auto"/>
            </w:tcBorders>
            <w:shd w:val="clear" w:color="auto" w:fill="auto"/>
            <w:noWrap/>
            <w:vAlign w:val="bottom"/>
            <w:hideMark/>
          </w:tcPr>
          <w:p w14:paraId="55184699" w14:textId="77777777" w:rsidR="008457A3" w:rsidRPr="000D432B" w:rsidRDefault="008457A3" w:rsidP="00411EFE">
            <w:pPr>
              <w:spacing w:after="0" w:line="240" w:lineRule="auto"/>
              <w:jc w:val="right"/>
              <w:rPr>
                <w:rFonts w:ascii="Calibri" w:eastAsia="Times New Roman" w:hAnsi="Calibri" w:cs="Calibri"/>
                <w:b/>
                <w:bCs/>
                <w:color w:val="000000"/>
                <w:lang w:eastAsia="sk-SK"/>
              </w:rPr>
            </w:pPr>
            <w:r>
              <w:rPr>
                <w:rFonts w:ascii="Calibri" w:eastAsia="Times New Roman" w:hAnsi="Calibri" w:cs="Calibri"/>
                <w:b/>
                <w:bCs/>
                <w:color w:val="000000"/>
                <w:lang w:eastAsia="sk-SK"/>
              </w:rPr>
              <w:t>4 10</w:t>
            </w:r>
            <w:r w:rsidRPr="000D432B">
              <w:rPr>
                <w:rFonts w:ascii="Calibri" w:eastAsia="Times New Roman" w:hAnsi="Calibri" w:cs="Calibri"/>
                <w:b/>
                <w:bCs/>
                <w:color w:val="000000"/>
                <w:lang w:eastAsia="sk-SK"/>
              </w:rPr>
              <w:t>0 000</w:t>
            </w:r>
          </w:p>
        </w:tc>
      </w:tr>
      <w:tr w:rsidR="008457A3" w:rsidRPr="000D432B" w14:paraId="2F32D666" w14:textId="77777777" w:rsidTr="00411EFE">
        <w:trPr>
          <w:trHeight w:val="105"/>
        </w:trPr>
        <w:tc>
          <w:tcPr>
            <w:tcW w:w="3407" w:type="dxa"/>
            <w:vMerge w:val="restart"/>
            <w:tcBorders>
              <w:top w:val="single" w:sz="4" w:space="0" w:color="auto"/>
              <w:left w:val="single" w:sz="4" w:space="0" w:color="auto"/>
              <w:right w:val="single" w:sz="4" w:space="0" w:color="auto"/>
            </w:tcBorders>
            <w:shd w:val="clear" w:color="auto" w:fill="auto"/>
            <w:noWrap/>
            <w:vAlign w:val="center"/>
          </w:tcPr>
          <w:p w14:paraId="3BB6C9AB" w14:textId="77777777" w:rsidR="008457A3" w:rsidRPr="000D432B" w:rsidRDefault="008457A3" w:rsidP="00411EFE">
            <w:pPr>
              <w:spacing w:after="0" w:line="240" w:lineRule="auto"/>
              <w:rPr>
                <w:rFonts w:ascii="Calibri" w:eastAsia="Times New Roman" w:hAnsi="Calibri" w:cs="Calibri"/>
                <w:color w:val="000000"/>
                <w:lang w:eastAsia="sk-SK"/>
              </w:rPr>
            </w:pPr>
            <w:proofErr w:type="spellStart"/>
            <w:r>
              <w:rPr>
                <w:rFonts w:ascii="Calibri" w:eastAsia="Times New Roman" w:hAnsi="Calibri" w:cs="Calibri"/>
                <w:color w:val="000000"/>
                <w:lang w:eastAsia="sk-SK"/>
              </w:rPr>
              <w:t>Cyklolávky</w:t>
            </w:r>
            <w:proofErr w:type="spellEnd"/>
          </w:p>
        </w:tc>
        <w:tc>
          <w:tcPr>
            <w:tcW w:w="2694" w:type="dxa"/>
            <w:tcBorders>
              <w:top w:val="single" w:sz="4" w:space="0" w:color="auto"/>
              <w:left w:val="nil"/>
              <w:bottom w:val="nil"/>
              <w:right w:val="single" w:sz="4" w:space="0" w:color="auto"/>
            </w:tcBorders>
            <w:shd w:val="clear" w:color="auto" w:fill="auto"/>
            <w:noWrap/>
            <w:vAlign w:val="bottom"/>
          </w:tcPr>
          <w:p w14:paraId="6E63693A" w14:textId="77777777" w:rsidR="008457A3" w:rsidRPr="000D432B" w:rsidRDefault="008457A3" w:rsidP="00411EFE">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V</w:t>
            </w:r>
            <w:r w:rsidRPr="000D432B">
              <w:rPr>
                <w:rFonts w:ascii="Calibri" w:eastAsia="Times New Roman" w:hAnsi="Calibri" w:cs="Calibri"/>
                <w:color w:val="000000"/>
                <w:lang w:eastAsia="sk-SK"/>
              </w:rPr>
              <w:t>ysporiadanie pozemkov</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6C8DA8A" w14:textId="77777777" w:rsidR="008457A3" w:rsidRPr="000D432B" w:rsidRDefault="008457A3" w:rsidP="00411EFE">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31 500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274E5BC" w14:textId="77777777" w:rsidR="008457A3" w:rsidRPr="000D432B" w:rsidRDefault="008457A3" w:rsidP="00411EFE">
            <w:pPr>
              <w:spacing w:after="0" w:line="240" w:lineRule="auto"/>
              <w:jc w:val="right"/>
              <w:rPr>
                <w:rFonts w:ascii="Calibri" w:eastAsia="Times New Roman" w:hAnsi="Calibri" w:cs="Calibri"/>
                <w:color w:val="000000"/>
                <w:lang w:eastAsia="sk-SK"/>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99E0BAE" w14:textId="77777777" w:rsidR="008457A3" w:rsidRPr="000D432B" w:rsidRDefault="008457A3" w:rsidP="00411EFE">
            <w:pPr>
              <w:spacing w:after="0" w:line="240" w:lineRule="auto"/>
              <w:jc w:val="right"/>
              <w:rPr>
                <w:rFonts w:ascii="Calibri" w:eastAsia="Times New Roman" w:hAnsi="Calibri" w:cs="Calibri"/>
                <w:color w:val="000000"/>
                <w:lang w:eastAsia="sk-SK"/>
              </w:rPr>
            </w:pPr>
          </w:p>
        </w:tc>
      </w:tr>
      <w:tr w:rsidR="008457A3" w:rsidRPr="000D432B" w14:paraId="33F0789F" w14:textId="77777777" w:rsidTr="00411EFE">
        <w:trPr>
          <w:trHeight w:val="105"/>
        </w:trPr>
        <w:tc>
          <w:tcPr>
            <w:tcW w:w="3407" w:type="dxa"/>
            <w:vMerge/>
            <w:tcBorders>
              <w:left w:val="single" w:sz="4" w:space="0" w:color="auto"/>
              <w:right w:val="single" w:sz="4" w:space="0" w:color="auto"/>
            </w:tcBorders>
            <w:shd w:val="clear" w:color="auto" w:fill="auto"/>
            <w:noWrap/>
            <w:vAlign w:val="bottom"/>
          </w:tcPr>
          <w:p w14:paraId="4C57C5C5" w14:textId="77777777" w:rsidR="008457A3" w:rsidRDefault="008457A3" w:rsidP="00411EFE">
            <w:pPr>
              <w:spacing w:after="0" w:line="240" w:lineRule="auto"/>
              <w:rPr>
                <w:rFonts w:ascii="Calibri" w:eastAsia="Times New Roman" w:hAnsi="Calibri" w:cs="Calibri"/>
                <w:color w:val="000000"/>
                <w:lang w:eastAsia="sk-SK"/>
              </w:rPr>
            </w:pPr>
          </w:p>
        </w:tc>
        <w:tc>
          <w:tcPr>
            <w:tcW w:w="2694" w:type="dxa"/>
            <w:tcBorders>
              <w:top w:val="single" w:sz="4" w:space="0" w:color="auto"/>
              <w:left w:val="nil"/>
              <w:bottom w:val="nil"/>
              <w:right w:val="single" w:sz="4" w:space="0" w:color="auto"/>
            </w:tcBorders>
            <w:shd w:val="clear" w:color="auto" w:fill="auto"/>
            <w:noWrap/>
            <w:vAlign w:val="bottom"/>
          </w:tcPr>
          <w:p w14:paraId="5E4AF1AD"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color w:val="000000"/>
                <w:lang w:eastAsia="sk-SK"/>
              </w:rPr>
              <w:t>Realizácia (IROP)</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C267540" w14:textId="77777777" w:rsidR="008457A3" w:rsidRPr="000D432B" w:rsidRDefault="008457A3" w:rsidP="00411EFE">
            <w:pPr>
              <w:spacing w:after="0" w:line="240" w:lineRule="auto"/>
              <w:jc w:val="right"/>
              <w:rPr>
                <w:rFonts w:ascii="Calibri" w:eastAsia="Times New Roman" w:hAnsi="Calibri" w:cs="Calibri"/>
                <w:color w:val="000000"/>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A6D1EAB" w14:textId="77777777" w:rsidR="008457A3" w:rsidRPr="000D432B" w:rsidRDefault="008457A3" w:rsidP="00411EFE">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IROP</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73E813A" w14:textId="77777777" w:rsidR="008457A3" w:rsidRPr="000D432B" w:rsidRDefault="008457A3" w:rsidP="00411EFE">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IROP</w:t>
            </w:r>
          </w:p>
        </w:tc>
      </w:tr>
      <w:tr w:rsidR="008457A3" w:rsidRPr="000D432B" w14:paraId="02A76643" w14:textId="77777777" w:rsidTr="00411EFE">
        <w:trPr>
          <w:trHeight w:val="105"/>
        </w:trPr>
        <w:tc>
          <w:tcPr>
            <w:tcW w:w="3407" w:type="dxa"/>
            <w:vMerge/>
            <w:tcBorders>
              <w:left w:val="single" w:sz="4" w:space="0" w:color="auto"/>
              <w:bottom w:val="nil"/>
              <w:right w:val="single" w:sz="4" w:space="0" w:color="auto"/>
            </w:tcBorders>
            <w:shd w:val="clear" w:color="auto" w:fill="auto"/>
            <w:noWrap/>
            <w:vAlign w:val="bottom"/>
          </w:tcPr>
          <w:p w14:paraId="2B502AA1" w14:textId="77777777" w:rsidR="008457A3" w:rsidRDefault="008457A3" w:rsidP="00411EFE">
            <w:pPr>
              <w:spacing w:after="0" w:line="240" w:lineRule="auto"/>
              <w:rPr>
                <w:rFonts w:ascii="Calibri" w:eastAsia="Times New Roman" w:hAnsi="Calibri" w:cs="Calibri"/>
                <w:color w:val="000000"/>
                <w:lang w:eastAsia="sk-SK"/>
              </w:rPr>
            </w:pPr>
          </w:p>
        </w:tc>
        <w:tc>
          <w:tcPr>
            <w:tcW w:w="2694" w:type="dxa"/>
            <w:tcBorders>
              <w:top w:val="single" w:sz="4" w:space="0" w:color="auto"/>
              <w:left w:val="nil"/>
              <w:bottom w:val="nil"/>
              <w:right w:val="single" w:sz="4" w:space="0" w:color="auto"/>
            </w:tcBorders>
            <w:shd w:val="clear" w:color="auto" w:fill="auto"/>
            <w:noWrap/>
            <w:vAlign w:val="bottom"/>
          </w:tcPr>
          <w:p w14:paraId="3D80252D" w14:textId="77777777" w:rsidR="008457A3" w:rsidRPr="000D432B" w:rsidRDefault="008457A3" w:rsidP="00411EFE">
            <w:pPr>
              <w:spacing w:after="0" w:line="240" w:lineRule="auto"/>
              <w:rPr>
                <w:rFonts w:ascii="Calibri" w:eastAsia="Times New Roman" w:hAnsi="Calibri" w:cs="Calibri"/>
                <w:color w:val="000000"/>
                <w:lang w:eastAsia="sk-SK"/>
              </w:rPr>
            </w:pPr>
            <w:r w:rsidRPr="000D432B">
              <w:rPr>
                <w:rFonts w:ascii="Calibri" w:eastAsia="Times New Roman" w:hAnsi="Calibri" w:cs="Calibri"/>
                <w:b/>
                <w:bCs/>
                <w:color w:val="000000"/>
                <w:lang w:eastAsia="sk-SK"/>
              </w:rPr>
              <w:t>Spolu</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81EFC25" w14:textId="77777777" w:rsidR="008457A3" w:rsidRPr="0020281E" w:rsidRDefault="008457A3" w:rsidP="00411EFE">
            <w:pPr>
              <w:spacing w:after="0" w:line="240" w:lineRule="auto"/>
              <w:jc w:val="right"/>
              <w:rPr>
                <w:rFonts w:ascii="Calibri" w:eastAsia="Times New Roman" w:hAnsi="Calibri" w:cs="Calibri"/>
                <w:b/>
                <w:bCs/>
                <w:color w:val="000000"/>
                <w:lang w:eastAsia="sk-SK"/>
              </w:rPr>
            </w:pPr>
            <w:r w:rsidRPr="0020281E">
              <w:rPr>
                <w:rFonts w:ascii="Calibri" w:eastAsia="Times New Roman" w:hAnsi="Calibri" w:cs="Calibri"/>
                <w:b/>
                <w:bCs/>
                <w:color w:val="000000"/>
                <w:lang w:eastAsia="sk-SK"/>
              </w:rPr>
              <w:t>31 500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7BC1E9C" w14:textId="77777777" w:rsidR="008457A3" w:rsidRPr="00BF5FB0" w:rsidRDefault="008457A3" w:rsidP="00411EFE">
            <w:pPr>
              <w:spacing w:after="0" w:line="240" w:lineRule="auto"/>
              <w:jc w:val="right"/>
              <w:rPr>
                <w:rFonts w:ascii="Calibri" w:eastAsia="Times New Roman" w:hAnsi="Calibri" w:cs="Calibri"/>
                <w:b/>
                <w:bCs/>
                <w:color w:val="000000"/>
                <w:lang w:eastAsia="sk-SK"/>
              </w:rPr>
            </w:pPr>
            <w:r w:rsidRPr="00BF5FB0">
              <w:rPr>
                <w:rFonts w:ascii="Calibri" w:eastAsia="Times New Roman" w:hAnsi="Calibri" w:cs="Calibri"/>
                <w:b/>
                <w:bCs/>
                <w:color w:val="000000"/>
                <w:lang w:eastAsia="sk-SK"/>
              </w:rPr>
              <w:t>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6EF3A95" w14:textId="77777777" w:rsidR="008457A3" w:rsidRPr="00BF5FB0" w:rsidRDefault="008457A3" w:rsidP="00411EFE">
            <w:pPr>
              <w:spacing w:after="0" w:line="240" w:lineRule="auto"/>
              <w:jc w:val="right"/>
              <w:rPr>
                <w:rFonts w:ascii="Calibri" w:eastAsia="Times New Roman" w:hAnsi="Calibri" w:cs="Calibri"/>
                <w:b/>
                <w:bCs/>
                <w:color w:val="000000"/>
                <w:lang w:eastAsia="sk-SK"/>
              </w:rPr>
            </w:pPr>
            <w:r w:rsidRPr="00BF5FB0">
              <w:rPr>
                <w:rFonts w:ascii="Calibri" w:eastAsia="Times New Roman" w:hAnsi="Calibri" w:cs="Calibri"/>
                <w:b/>
                <w:bCs/>
                <w:color w:val="000000"/>
                <w:lang w:eastAsia="sk-SK"/>
              </w:rPr>
              <w:t>0</w:t>
            </w:r>
          </w:p>
        </w:tc>
      </w:tr>
      <w:tr w:rsidR="008457A3" w:rsidRPr="000D432B" w14:paraId="543B9496" w14:textId="77777777" w:rsidTr="00411EFE">
        <w:trPr>
          <w:trHeight w:val="313"/>
        </w:trPr>
        <w:tc>
          <w:tcPr>
            <w:tcW w:w="340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B0ABCAE" w14:textId="77777777" w:rsidR="008457A3" w:rsidRPr="000D432B" w:rsidRDefault="008457A3" w:rsidP="00411EFE">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Celkom</w:t>
            </w:r>
            <w:r w:rsidRPr="000D432B">
              <w:rPr>
                <w:rFonts w:ascii="Calibri" w:eastAsia="Times New Roman" w:hAnsi="Calibri" w:cs="Calibri"/>
                <w:b/>
                <w:bCs/>
                <w:color w:val="000000"/>
                <w:lang w:eastAsia="sk-SK"/>
              </w:rPr>
              <w:t xml:space="preserve"> za projekty</w:t>
            </w:r>
            <w:r>
              <w:rPr>
                <w:rFonts w:ascii="Calibri" w:eastAsia="Times New Roman" w:hAnsi="Calibri" w:cs="Calibri"/>
                <w:b/>
                <w:bCs/>
                <w:color w:val="000000"/>
                <w:lang w:eastAsia="sk-SK"/>
              </w:rPr>
              <w:t>, výkupy</w:t>
            </w:r>
            <w:r w:rsidRPr="000D432B">
              <w:rPr>
                <w:rFonts w:ascii="Calibri" w:eastAsia="Times New Roman" w:hAnsi="Calibri" w:cs="Calibri"/>
                <w:b/>
                <w:bCs/>
                <w:color w:val="000000"/>
                <w:lang w:eastAsia="sk-SK"/>
              </w:rPr>
              <w:t xml:space="preserve"> a realizácie</w:t>
            </w:r>
          </w:p>
        </w:tc>
        <w:tc>
          <w:tcPr>
            <w:tcW w:w="2694" w:type="dxa"/>
            <w:tcBorders>
              <w:top w:val="single" w:sz="8" w:space="0" w:color="auto"/>
              <w:left w:val="nil"/>
              <w:bottom w:val="single" w:sz="8" w:space="0" w:color="auto"/>
              <w:right w:val="single" w:sz="4" w:space="0" w:color="auto"/>
            </w:tcBorders>
            <w:shd w:val="clear" w:color="auto" w:fill="auto"/>
            <w:noWrap/>
            <w:vAlign w:val="bottom"/>
            <w:hideMark/>
          </w:tcPr>
          <w:p w14:paraId="15F53CBA" w14:textId="77777777" w:rsidR="008457A3" w:rsidRPr="000D432B" w:rsidRDefault="008457A3" w:rsidP="00411EFE">
            <w:pPr>
              <w:spacing w:after="0" w:line="240" w:lineRule="auto"/>
              <w:rPr>
                <w:rFonts w:ascii="Calibri" w:eastAsia="Times New Roman" w:hAnsi="Calibri" w:cs="Calibri"/>
                <w:b/>
                <w:bCs/>
                <w:color w:val="000000"/>
                <w:lang w:eastAsia="sk-SK"/>
              </w:rPr>
            </w:pPr>
            <w:r w:rsidRPr="000D432B">
              <w:rPr>
                <w:rFonts w:ascii="Calibri" w:eastAsia="Times New Roman" w:hAnsi="Calibri" w:cs="Calibri"/>
                <w:b/>
                <w:bCs/>
                <w:color w:val="000000"/>
                <w:lang w:eastAsia="sk-SK"/>
              </w:rPr>
              <w:t> </w:t>
            </w:r>
          </w:p>
        </w:tc>
        <w:tc>
          <w:tcPr>
            <w:tcW w:w="1417" w:type="dxa"/>
            <w:tcBorders>
              <w:top w:val="single" w:sz="4" w:space="0" w:color="auto"/>
              <w:left w:val="nil"/>
              <w:bottom w:val="single" w:sz="8" w:space="0" w:color="auto"/>
              <w:right w:val="single" w:sz="4" w:space="0" w:color="auto"/>
            </w:tcBorders>
            <w:shd w:val="clear" w:color="auto" w:fill="auto"/>
            <w:noWrap/>
            <w:vAlign w:val="bottom"/>
            <w:hideMark/>
          </w:tcPr>
          <w:p w14:paraId="7C276A22" w14:textId="77777777" w:rsidR="008457A3" w:rsidRPr="000D432B" w:rsidRDefault="008457A3" w:rsidP="00411EFE">
            <w:pPr>
              <w:spacing w:after="0" w:line="240" w:lineRule="auto"/>
              <w:jc w:val="right"/>
              <w:rPr>
                <w:rFonts w:ascii="Calibri" w:eastAsia="Times New Roman" w:hAnsi="Calibri" w:cs="Calibri"/>
                <w:b/>
                <w:bCs/>
                <w:color w:val="000000"/>
                <w:lang w:eastAsia="sk-SK"/>
              </w:rPr>
            </w:pPr>
            <w:r>
              <w:rPr>
                <w:rFonts w:ascii="Calibri" w:eastAsia="Times New Roman" w:hAnsi="Calibri" w:cs="Calibri"/>
                <w:b/>
                <w:bCs/>
                <w:color w:val="000000"/>
                <w:lang w:eastAsia="sk-SK"/>
              </w:rPr>
              <w:t>992</w:t>
            </w:r>
            <w:r w:rsidRPr="000D432B">
              <w:rPr>
                <w:rFonts w:ascii="Calibri" w:eastAsia="Times New Roman" w:hAnsi="Calibri" w:cs="Calibri"/>
                <w:b/>
                <w:bCs/>
                <w:color w:val="000000"/>
                <w:lang w:eastAsia="sk-SK"/>
              </w:rPr>
              <w:t xml:space="preserve"> </w:t>
            </w:r>
            <w:r>
              <w:rPr>
                <w:rFonts w:ascii="Calibri" w:eastAsia="Times New Roman" w:hAnsi="Calibri" w:cs="Calibri"/>
                <w:b/>
                <w:bCs/>
                <w:color w:val="000000"/>
                <w:lang w:eastAsia="sk-SK"/>
              </w:rPr>
              <w:t>983</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0F1F8DE5" w14:textId="77777777" w:rsidR="008457A3" w:rsidRPr="000D432B" w:rsidRDefault="008457A3" w:rsidP="00411EFE">
            <w:pPr>
              <w:spacing w:after="0" w:line="240" w:lineRule="auto"/>
              <w:jc w:val="right"/>
              <w:rPr>
                <w:rFonts w:ascii="Calibri" w:eastAsia="Times New Roman" w:hAnsi="Calibri" w:cs="Calibri"/>
                <w:b/>
                <w:bCs/>
                <w:color w:val="000000"/>
                <w:lang w:eastAsia="sk-SK"/>
              </w:rPr>
            </w:pPr>
            <w:r>
              <w:rPr>
                <w:rFonts w:ascii="Calibri" w:eastAsia="Times New Roman" w:hAnsi="Calibri" w:cs="Calibri"/>
                <w:b/>
                <w:bCs/>
                <w:color w:val="000000"/>
                <w:lang w:eastAsia="sk-SK"/>
              </w:rPr>
              <w:t>7</w:t>
            </w:r>
            <w:r w:rsidRPr="000D432B">
              <w:rPr>
                <w:rFonts w:ascii="Calibri" w:eastAsia="Times New Roman" w:hAnsi="Calibri" w:cs="Calibri"/>
                <w:b/>
                <w:bCs/>
                <w:color w:val="000000"/>
                <w:lang w:eastAsia="sk-SK"/>
              </w:rPr>
              <w:t xml:space="preserve"> </w:t>
            </w:r>
            <w:r>
              <w:rPr>
                <w:rFonts w:ascii="Calibri" w:eastAsia="Times New Roman" w:hAnsi="Calibri" w:cs="Calibri"/>
                <w:b/>
                <w:bCs/>
                <w:color w:val="000000"/>
                <w:lang w:eastAsia="sk-SK"/>
              </w:rPr>
              <w:t>173</w:t>
            </w:r>
            <w:r w:rsidRPr="000D432B">
              <w:rPr>
                <w:rFonts w:ascii="Calibri" w:eastAsia="Times New Roman" w:hAnsi="Calibri" w:cs="Calibri"/>
                <w:b/>
                <w:bCs/>
                <w:color w:val="000000"/>
                <w:lang w:eastAsia="sk-SK"/>
              </w:rPr>
              <w:t xml:space="preserve"> </w:t>
            </w:r>
            <w:r>
              <w:rPr>
                <w:rFonts w:ascii="Calibri" w:eastAsia="Times New Roman" w:hAnsi="Calibri" w:cs="Calibri"/>
                <w:b/>
                <w:bCs/>
                <w:color w:val="000000"/>
                <w:lang w:eastAsia="sk-SK"/>
              </w:rPr>
              <w:t>59</w:t>
            </w:r>
            <w:r w:rsidRPr="000D432B">
              <w:rPr>
                <w:rFonts w:ascii="Calibri" w:eastAsia="Times New Roman" w:hAnsi="Calibri" w:cs="Calibri"/>
                <w:b/>
                <w:bCs/>
                <w:color w:val="000000"/>
                <w:lang w:eastAsia="sk-SK"/>
              </w:rPr>
              <w:t>0</w:t>
            </w:r>
          </w:p>
        </w:tc>
        <w:tc>
          <w:tcPr>
            <w:tcW w:w="1275" w:type="dxa"/>
            <w:tcBorders>
              <w:top w:val="single" w:sz="4" w:space="0" w:color="auto"/>
              <w:left w:val="nil"/>
              <w:bottom w:val="single" w:sz="8" w:space="0" w:color="auto"/>
              <w:right w:val="single" w:sz="4" w:space="0" w:color="auto"/>
            </w:tcBorders>
            <w:shd w:val="clear" w:color="auto" w:fill="auto"/>
            <w:noWrap/>
            <w:vAlign w:val="bottom"/>
            <w:hideMark/>
          </w:tcPr>
          <w:p w14:paraId="48934143" w14:textId="77777777" w:rsidR="008457A3" w:rsidRPr="000D432B" w:rsidRDefault="008457A3" w:rsidP="00411EFE">
            <w:pPr>
              <w:spacing w:after="0" w:line="240" w:lineRule="auto"/>
              <w:jc w:val="right"/>
              <w:rPr>
                <w:rFonts w:ascii="Calibri" w:eastAsia="Times New Roman" w:hAnsi="Calibri" w:cs="Calibri"/>
                <w:b/>
                <w:bCs/>
                <w:color w:val="000000"/>
                <w:lang w:eastAsia="sk-SK"/>
              </w:rPr>
            </w:pPr>
            <w:r>
              <w:rPr>
                <w:rFonts w:ascii="Calibri" w:eastAsia="Times New Roman" w:hAnsi="Calibri" w:cs="Calibri"/>
                <w:b/>
                <w:bCs/>
                <w:color w:val="000000"/>
                <w:lang w:eastAsia="sk-SK"/>
              </w:rPr>
              <w:t>15</w:t>
            </w:r>
            <w:r w:rsidRPr="000D432B">
              <w:rPr>
                <w:rFonts w:ascii="Calibri" w:eastAsia="Times New Roman" w:hAnsi="Calibri" w:cs="Calibri"/>
                <w:b/>
                <w:bCs/>
                <w:color w:val="000000"/>
                <w:lang w:eastAsia="sk-SK"/>
              </w:rPr>
              <w:t xml:space="preserve"> </w:t>
            </w:r>
            <w:r>
              <w:rPr>
                <w:rFonts w:ascii="Calibri" w:eastAsia="Times New Roman" w:hAnsi="Calibri" w:cs="Calibri"/>
                <w:b/>
                <w:bCs/>
                <w:color w:val="000000"/>
                <w:lang w:eastAsia="sk-SK"/>
              </w:rPr>
              <w:t>178</w:t>
            </w:r>
            <w:r w:rsidRPr="000D432B">
              <w:rPr>
                <w:rFonts w:ascii="Calibri" w:eastAsia="Times New Roman" w:hAnsi="Calibri" w:cs="Calibri"/>
                <w:b/>
                <w:bCs/>
                <w:color w:val="000000"/>
                <w:lang w:eastAsia="sk-SK"/>
              </w:rPr>
              <w:t xml:space="preserve"> 000</w:t>
            </w:r>
          </w:p>
        </w:tc>
      </w:tr>
    </w:tbl>
    <w:p w14:paraId="3F7B11AC" w14:textId="77777777" w:rsidR="008457A3" w:rsidRPr="008457A3" w:rsidRDefault="008457A3" w:rsidP="008457A3">
      <w:pPr>
        <w:spacing w:after="0" w:line="240" w:lineRule="auto"/>
        <w:jc w:val="both"/>
        <w:textAlignment w:val="baseline"/>
        <w:rPr>
          <w:rFonts w:ascii="Segoe UI" w:eastAsia="Times New Roman" w:hAnsi="Segoe UI" w:cs="Segoe UI"/>
          <w:sz w:val="12"/>
          <w:szCs w:val="12"/>
          <w:lang w:eastAsia="sk-SK"/>
        </w:rPr>
      </w:pPr>
      <w:r w:rsidRPr="008457A3">
        <w:rPr>
          <w:rFonts w:ascii="Calibri" w:eastAsia="Times New Roman" w:hAnsi="Calibri" w:cs="Calibri"/>
          <w:sz w:val="18"/>
          <w:szCs w:val="18"/>
          <w:lang w:eastAsia="sk-SK"/>
        </w:rPr>
        <w:t>TŠ – technická štúdia, EIA, DÚR – dokumentácia pre územné rozhodnutie, MPV – majetkovoprávne vysporiadanie, DSZ – dokumentácia pre stavebný zámer, DSP – dokumentácia pre stavebné povolenie, DRS – dokumentácia realizácie stavby, AD – autorský dozor.</w:t>
      </w:r>
    </w:p>
    <w:p w14:paraId="6F61D603" w14:textId="77777777" w:rsidR="008457A3" w:rsidRPr="005476A0" w:rsidRDefault="008457A3" w:rsidP="008457A3">
      <w:pPr>
        <w:spacing w:after="0" w:line="240" w:lineRule="auto"/>
        <w:jc w:val="both"/>
        <w:textAlignment w:val="baseline"/>
        <w:rPr>
          <w:rFonts w:ascii="Segoe UI" w:eastAsia="Times New Roman" w:hAnsi="Segoe UI" w:cs="Segoe UI"/>
          <w:sz w:val="18"/>
          <w:szCs w:val="18"/>
          <w:lang w:eastAsia="sk-SK"/>
        </w:rPr>
      </w:pPr>
      <w:r w:rsidRPr="005476A0">
        <w:rPr>
          <w:rFonts w:ascii="Calibri" w:eastAsia="Times New Roman" w:hAnsi="Calibri" w:cs="Calibri"/>
          <w:sz w:val="24"/>
          <w:szCs w:val="24"/>
          <w:lang w:eastAsia="sk-SK"/>
        </w:rPr>
        <w:t> </w:t>
      </w:r>
    </w:p>
    <w:p w14:paraId="175C2BD3" w14:textId="77777777" w:rsidR="008457A3" w:rsidRPr="005476A0" w:rsidRDefault="008457A3" w:rsidP="008457A3">
      <w:pPr>
        <w:spacing w:after="0" w:line="240" w:lineRule="auto"/>
        <w:textAlignment w:val="baseline"/>
        <w:rPr>
          <w:rFonts w:ascii="Segoe UI" w:eastAsia="Times New Roman" w:hAnsi="Segoe UI" w:cs="Segoe UI"/>
          <w:sz w:val="18"/>
          <w:szCs w:val="18"/>
          <w:lang w:eastAsia="sk-SK"/>
        </w:rPr>
      </w:pPr>
      <w:r w:rsidRPr="005476A0">
        <w:rPr>
          <w:rFonts w:ascii="Calibri" w:eastAsia="Times New Roman" w:hAnsi="Calibri" w:cs="Calibri"/>
          <w:b/>
          <w:bCs/>
          <w:sz w:val="24"/>
          <w:szCs w:val="24"/>
          <w:lang w:eastAsia="sk-SK"/>
        </w:rPr>
        <w:t>Sumár rozpočtovaných výdavkov súvisiacich s cestami II. a III. triedy</w:t>
      </w:r>
      <w:r w:rsidRPr="005476A0">
        <w:rPr>
          <w:rFonts w:ascii="Calibri" w:eastAsia="Times New Roman" w:hAnsi="Calibri" w:cs="Calibri"/>
          <w:sz w:val="24"/>
          <w:szCs w:val="24"/>
          <w:lang w:eastAsia="sk-SK"/>
        </w:rPr>
        <w:t> </w:t>
      </w:r>
    </w:p>
    <w:p w14:paraId="460A0582" w14:textId="686BEAEF" w:rsidR="008457A3" w:rsidRPr="008457A3" w:rsidRDefault="008457A3" w:rsidP="008457A3">
      <w:pPr>
        <w:spacing w:after="0" w:line="240" w:lineRule="auto"/>
        <w:textAlignment w:val="baseline"/>
        <w:rPr>
          <w:rFonts w:ascii="Segoe UI" w:eastAsia="Times New Roman" w:hAnsi="Segoe UI" w:cs="Segoe UI"/>
          <w:sz w:val="18"/>
          <w:szCs w:val="18"/>
          <w:lang w:eastAsia="sk-SK"/>
        </w:rPr>
      </w:pPr>
      <w:r w:rsidRPr="008457A3">
        <w:rPr>
          <w:rFonts w:ascii="Calibri" w:eastAsia="Times New Roman" w:hAnsi="Calibri" w:cs="Calibri"/>
          <w:sz w:val="24"/>
          <w:szCs w:val="24"/>
          <w:lang w:eastAsia="sk-SK"/>
        </w:rPr>
        <w:t xml:space="preserve">Program 6: Komunikácie (bežné a kapitálové výdavky do ciest II. a III. triedy):        </w:t>
      </w:r>
      <w:r w:rsidR="009342BF" w:rsidRPr="009342BF">
        <w:rPr>
          <w:rFonts w:ascii="Calibri" w:eastAsia="Times New Roman" w:hAnsi="Calibri" w:cs="Calibri"/>
          <w:sz w:val="24"/>
          <w:szCs w:val="24"/>
          <w:lang w:eastAsia="sk-SK"/>
        </w:rPr>
        <w:t xml:space="preserve">33 283 301 </w:t>
      </w:r>
      <w:r w:rsidRPr="008457A3">
        <w:rPr>
          <w:rFonts w:ascii="Calibri" w:eastAsia="Times New Roman" w:hAnsi="Calibri" w:cs="Calibri"/>
          <w:sz w:val="24"/>
          <w:szCs w:val="24"/>
          <w:lang w:eastAsia="sk-SK"/>
        </w:rPr>
        <w:t>EUR </w:t>
      </w:r>
    </w:p>
    <w:p w14:paraId="09822D7D" w14:textId="77777777" w:rsidR="008457A3" w:rsidRPr="008457A3" w:rsidRDefault="008457A3" w:rsidP="008457A3">
      <w:pPr>
        <w:spacing w:after="0" w:line="240" w:lineRule="auto"/>
        <w:textAlignment w:val="baseline"/>
        <w:rPr>
          <w:rFonts w:ascii="Segoe UI" w:eastAsia="Times New Roman" w:hAnsi="Segoe UI" w:cs="Segoe UI"/>
          <w:sz w:val="18"/>
          <w:szCs w:val="18"/>
          <w:lang w:eastAsia="sk-SK"/>
        </w:rPr>
      </w:pPr>
      <w:r w:rsidRPr="008457A3">
        <w:rPr>
          <w:rFonts w:ascii="Calibri" w:eastAsia="Times New Roman" w:hAnsi="Calibri" w:cs="Calibri"/>
          <w:sz w:val="24"/>
          <w:szCs w:val="24"/>
          <w:lang w:eastAsia="sk-SK"/>
        </w:rPr>
        <w:t xml:space="preserve">Podprogram 3.3: Správa majetku (strategické projekty): </w:t>
      </w:r>
      <w:r w:rsidRPr="008457A3">
        <w:rPr>
          <w:rFonts w:ascii="Calibri" w:eastAsia="Times New Roman" w:hAnsi="Calibri" w:cs="Calibri"/>
          <w:sz w:val="24"/>
          <w:szCs w:val="24"/>
          <w:lang w:eastAsia="sk-SK"/>
        </w:rPr>
        <w:tab/>
      </w:r>
      <w:r w:rsidRPr="008457A3">
        <w:rPr>
          <w:rFonts w:ascii="Calibri" w:eastAsia="Times New Roman" w:hAnsi="Calibri" w:cs="Calibri"/>
          <w:lang w:eastAsia="sk-SK"/>
        </w:rPr>
        <w:tab/>
        <w:t xml:space="preserve">        </w:t>
      </w:r>
      <w:r w:rsidRPr="008457A3">
        <w:rPr>
          <w:rFonts w:ascii="Calibri" w:eastAsia="Times New Roman" w:hAnsi="Calibri" w:cs="Calibri"/>
          <w:sz w:val="24"/>
          <w:szCs w:val="24"/>
          <w:lang w:eastAsia="sk-SK"/>
        </w:rPr>
        <w:t xml:space="preserve">          </w:t>
      </w:r>
      <w:r w:rsidRPr="008457A3">
        <w:rPr>
          <w:rFonts w:ascii="Calibri" w:eastAsia="Times New Roman" w:hAnsi="Calibri" w:cs="Calibri"/>
          <w:sz w:val="24"/>
          <w:szCs w:val="24"/>
          <w:lang w:eastAsia="sk-SK"/>
        </w:rPr>
        <w:tab/>
        <w:t xml:space="preserve">       992 983 EUR</w:t>
      </w:r>
    </w:p>
    <w:p w14:paraId="6217BF0B" w14:textId="4795496A" w:rsidR="008457A3" w:rsidRPr="005476A0" w:rsidRDefault="008457A3" w:rsidP="008457A3">
      <w:pPr>
        <w:spacing w:after="0" w:line="240" w:lineRule="auto"/>
        <w:textAlignment w:val="baseline"/>
        <w:rPr>
          <w:rFonts w:ascii="Segoe UI" w:eastAsia="Times New Roman" w:hAnsi="Segoe UI" w:cs="Segoe UI"/>
          <w:sz w:val="18"/>
          <w:szCs w:val="18"/>
          <w:lang w:eastAsia="sk-SK"/>
        </w:rPr>
      </w:pPr>
      <w:r w:rsidRPr="008457A3">
        <w:rPr>
          <w:rFonts w:ascii="Calibri" w:eastAsia="Times New Roman" w:hAnsi="Calibri" w:cs="Calibri"/>
          <w:sz w:val="24"/>
          <w:szCs w:val="24"/>
          <w:lang w:eastAsia="sk-SK"/>
        </w:rPr>
        <w:t>SPOLU</w:t>
      </w:r>
      <w:r w:rsidRPr="008457A3">
        <w:rPr>
          <w:rFonts w:ascii="Calibri" w:eastAsia="Times New Roman" w:hAnsi="Calibri" w:cs="Calibri"/>
          <w:sz w:val="24"/>
          <w:szCs w:val="24"/>
          <w:lang w:eastAsia="sk-SK"/>
        </w:rPr>
        <w:tab/>
      </w:r>
      <w:r w:rsidRPr="008457A3">
        <w:rPr>
          <w:rFonts w:ascii="Calibri" w:eastAsia="Times New Roman" w:hAnsi="Calibri" w:cs="Calibri"/>
          <w:lang w:eastAsia="sk-SK"/>
        </w:rPr>
        <w:tab/>
      </w:r>
      <w:r w:rsidRPr="008457A3">
        <w:rPr>
          <w:rFonts w:ascii="Calibri" w:eastAsia="Times New Roman" w:hAnsi="Calibri" w:cs="Calibri"/>
          <w:lang w:eastAsia="sk-SK"/>
        </w:rPr>
        <w:tab/>
      </w:r>
      <w:r w:rsidRPr="008457A3">
        <w:rPr>
          <w:rFonts w:ascii="Calibri" w:eastAsia="Times New Roman" w:hAnsi="Calibri" w:cs="Calibri"/>
          <w:lang w:eastAsia="sk-SK"/>
        </w:rPr>
        <w:tab/>
      </w:r>
      <w:r w:rsidRPr="008457A3">
        <w:rPr>
          <w:rFonts w:ascii="Calibri" w:eastAsia="Times New Roman" w:hAnsi="Calibri" w:cs="Calibri"/>
          <w:lang w:eastAsia="sk-SK"/>
        </w:rPr>
        <w:tab/>
      </w:r>
      <w:r w:rsidRPr="008457A3">
        <w:rPr>
          <w:rFonts w:ascii="Calibri" w:eastAsia="Times New Roman" w:hAnsi="Calibri" w:cs="Calibri"/>
          <w:lang w:eastAsia="sk-SK"/>
        </w:rPr>
        <w:tab/>
      </w:r>
      <w:r w:rsidRPr="008457A3">
        <w:rPr>
          <w:rFonts w:ascii="Calibri" w:eastAsia="Times New Roman" w:hAnsi="Calibri" w:cs="Calibri"/>
          <w:lang w:eastAsia="sk-SK"/>
        </w:rPr>
        <w:tab/>
      </w:r>
      <w:r w:rsidRPr="008457A3">
        <w:rPr>
          <w:rFonts w:ascii="Calibri" w:eastAsia="Times New Roman" w:hAnsi="Calibri" w:cs="Calibri"/>
          <w:lang w:eastAsia="sk-SK"/>
        </w:rPr>
        <w:tab/>
      </w:r>
      <w:r w:rsidRPr="008457A3">
        <w:rPr>
          <w:rFonts w:ascii="Calibri" w:eastAsia="Times New Roman" w:hAnsi="Calibri" w:cs="Calibri"/>
          <w:lang w:eastAsia="sk-SK"/>
        </w:rPr>
        <w:tab/>
      </w:r>
      <w:r w:rsidRPr="008457A3">
        <w:rPr>
          <w:rFonts w:ascii="Calibri" w:eastAsia="Times New Roman" w:hAnsi="Calibri" w:cs="Calibri"/>
          <w:lang w:eastAsia="sk-SK"/>
        </w:rPr>
        <w:tab/>
      </w:r>
      <w:r w:rsidRPr="008457A3">
        <w:rPr>
          <w:rFonts w:ascii="Calibri" w:eastAsia="Times New Roman" w:hAnsi="Calibri" w:cs="Calibri"/>
          <w:lang w:eastAsia="sk-SK"/>
        </w:rPr>
        <w:tab/>
        <w:t xml:space="preserve">  </w:t>
      </w:r>
      <w:r w:rsidR="00EA4FFE">
        <w:rPr>
          <w:rFonts w:ascii="Calibri" w:eastAsia="Times New Roman" w:hAnsi="Calibri" w:cs="Calibri"/>
          <w:b/>
          <w:bCs/>
          <w:sz w:val="24"/>
          <w:szCs w:val="24"/>
          <w:lang w:eastAsia="sk-SK"/>
        </w:rPr>
        <w:t>34 276 284</w:t>
      </w:r>
      <w:r w:rsidRPr="008457A3">
        <w:rPr>
          <w:rFonts w:ascii="Calibri" w:eastAsia="Times New Roman" w:hAnsi="Calibri" w:cs="Calibri"/>
          <w:b/>
          <w:bCs/>
          <w:sz w:val="24"/>
          <w:szCs w:val="24"/>
          <w:lang w:eastAsia="sk-SK"/>
        </w:rPr>
        <w:t xml:space="preserve"> EUR</w:t>
      </w:r>
      <w:r w:rsidRPr="005476A0">
        <w:rPr>
          <w:rFonts w:ascii="Calibri" w:eastAsia="Times New Roman" w:hAnsi="Calibri" w:cs="Calibri"/>
          <w:sz w:val="24"/>
          <w:szCs w:val="24"/>
          <w:lang w:eastAsia="sk-SK"/>
        </w:rPr>
        <w:t> </w:t>
      </w:r>
    </w:p>
    <w:p w14:paraId="643E694D" w14:textId="77777777" w:rsidR="008457A3" w:rsidRPr="00BD3C26" w:rsidRDefault="008457A3" w:rsidP="00BD3C26">
      <w:pPr>
        <w:spacing w:before="100" w:beforeAutospacing="1" w:after="100" w:afterAutospacing="1" w:line="240" w:lineRule="auto"/>
        <w:jc w:val="both"/>
        <w:outlineLvl w:val="1"/>
        <w:rPr>
          <w:rFonts w:eastAsiaTheme="minorEastAsia" w:cstheme="minorHAnsi"/>
          <w:sz w:val="24"/>
          <w:szCs w:val="24"/>
          <w:lang w:eastAsia="sk-SK"/>
        </w:rPr>
      </w:pPr>
    </w:p>
    <w:p w14:paraId="4C883947" w14:textId="77777777" w:rsidR="002A4198" w:rsidRPr="007F31C9" w:rsidRDefault="002A4198" w:rsidP="002A4198">
      <w:pPr>
        <w:pStyle w:val="Nadpis2"/>
        <w:rPr>
          <w:rFonts w:asciiTheme="minorHAnsi" w:hAnsiTheme="minorHAnsi" w:cstheme="minorHAnsi"/>
        </w:rPr>
      </w:pPr>
      <w:r w:rsidRPr="007F31C9">
        <w:rPr>
          <w:rFonts w:asciiTheme="minorHAnsi" w:hAnsiTheme="minorHAnsi" w:cstheme="minorHAnsi"/>
          <w:color w:val="000080"/>
        </w:rPr>
        <w:t>Program 7: Doprava</w:t>
      </w:r>
      <w:r w:rsidRPr="007F31C9">
        <w:rPr>
          <w:rFonts w:asciiTheme="minorHAnsi" w:hAnsiTheme="minorHAnsi" w:cstheme="minorHAnsi"/>
        </w:rPr>
        <w:t xml:space="preserve"> </w:t>
      </w:r>
    </w:p>
    <w:p w14:paraId="210A3D93" w14:textId="77777777" w:rsidR="002A4198" w:rsidRPr="007F31C9" w:rsidRDefault="002A4198" w:rsidP="002A4198">
      <w:pPr>
        <w:pStyle w:val="Normlnywebov"/>
        <w:rPr>
          <w:rFonts w:asciiTheme="minorHAnsi" w:eastAsiaTheme="minorEastAsia" w:hAnsiTheme="minorHAnsi" w:cstheme="minorHAnsi"/>
        </w:rPr>
      </w:pPr>
      <w:r w:rsidRPr="007F31C9">
        <w:rPr>
          <w:rFonts w:asciiTheme="minorHAnsi" w:hAnsiTheme="minorHAnsi" w:cstheme="minorHAnsi"/>
          <w:b/>
          <w:bCs/>
        </w:rPr>
        <w:t xml:space="preserve">Zámer: </w:t>
      </w:r>
      <w:r w:rsidRPr="007F31C9">
        <w:rPr>
          <w:rFonts w:asciiTheme="minorHAnsi" w:hAnsiTheme="minorHAnsi" w:cstheme="minorHAnsi"/>
        </w:rPr>
        <w:t>Atraktívna a konkurencieschopná verejná doprava</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50"/>
        <w:gridCol w:w="2214"/>
        <w:gridCol w:w="1456"/>
        <w:gridCol w:w="1456"/>
        <w:gridCol w:w="649"/>
        <w:gridCol w:w="1456"/>
        <w:gridCol w:w="649"/>
        <w:gridCol w:w="1456"/>
        <w:gridCol w:w="664"/>
      </w:tblGrid>
      <w:tr w:rsidR="002A4198" w:rsidRPr="007F31C9" w14:paraId="233E4C1C" w14:textId="77777777" w:rsidTr="00411DC9">
        <w:trPr>
          <w:trHeight w:hRule="exact" w:val="284"/>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0E8EFA5" w14:textId="77777777" w:rsidR="002A4198" w:rsidRPr="007F31C9" w:rsidRDefault="002A4198" w:rsidP="00411DC9">
            <w:pPr>
              <w:jc w:val="center"/>
              <w:rPr>
                <w:rFonts w:eastAsia="Times New Roman" w:cstheme="minorHAnsi"/>
              </w:rPr>
            </w:pPr>
            <w:r w:rsidRPr="007F31C9">
              <w:rPr>
                <w:rFonts w:eastAsia="Times New Roman" w:cstheme="minorHAnsi"/>
                <w:b/>
                <w:bCs/>
                <w:i/>
                <w:iCs/>
              </w:rPr>
              <w:t>Rozpočet v EUR</w:t>
            </w:r>
          </w:p>
        </w:tc>
      </w:tr>
      <w:tr w:rsidR="002A4198" w:rsidRPr="007F31C9" w14:paraId="082384AF"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7FA865F" w14:textId="77777777" w:rsidR="002A4198" w:rsidRPr="007F31C9" w:rsidRDefault="002A4198" w:rsidP="00411DC9">
            <w:pPr>
              <w:rPr>
                <w:rFonts w:eastAsia="Times New Roman" w:cstheme="minorHAnsi"/>
              </w:rPr>
            </w:pPr>
            <w:r w:rsidRPr="007F31C9">
              <w:rPr>
                <w:rFonts w:eastAsia="Times New Roman" w:cstheme="minorHAnsi"/>
                <w:b/>
                <w:bCs/>
                <w:sz w:val="20"/>
                <w:szCs w:val="20"/>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01A6D4" w14:textId="77777777" w:rsidR="002A4198" w:rsidRPr="007F31C9" w:rsidRDefault="002A4198" w:rsidP="00411DC9">
            <w:pPr>
              <w:rPr>
                <w:rFonts w:eastAsia="Times New Roman" w:cstheme="minorHAnsi"/>
              </w:rPr>
            </w:pPr>
            <w:r w:rsidRPr="007F31C9">
              <w:rPr>
                <w:rFonts w:eastAsia="Times New Roman" w:cstheme="minorHAnsi"/>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69F552" w14:textId="77777777" w:rsidR="002A4198" w:rsidRPr="007F31C9" w:rsidRDefault="002A4198"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6F5309E" w14:textId="77777777" w:rsidR="002A4198" w:rsidRPr="007F31C9" w:rsidRDefault="002A4198"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56F178" w14:textId="77777777" w:rsidR="002A4198" w:rsidRPr="007F31C9" w:rsidRDefault="002A4198" w:rsidP="00411DC9">
            <w:pPr>
              <w:jc w:val="center"/>
              <w:rPr>
                <w:rFonts w:eastAsia="Times New Roman" w:cstheme="minorHAnsi"/>
              </w:rPr>
            </w:pPr>
            <w:r w:rsidRPr="007F31C9">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D7A5ACA" w14:textId="77777777" w:rsidR="002A4198" w:rsidRPr="007F31C9" w:rsidRDefault="002A4198"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F9DB31" w14:textId="77777777" w:rsidR="002A4198" w:rsidRPr="007F31C9" w:rsidRDefault="002A4198" w:rsidP="00411DC9">
            <w:pPr>
              <w:jc w:val="center"/>
              <w:rPr>
                <w:rFonts w:eastAsia="Times New Roman" w:cstheme="minorHAnsi"/>
              </w:rPr>
            </w:pPr>
            <w:r w:rsidRPr="007F31C9">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5A982E" w14:textId="77777777" w:rsidR="002A4198" w:rsidRPr="007F31C9" w:rsidRDefault="002A4198"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8CEB17" w14:textId="77777777" w:rsidR="002A4198" w:rsidRPr="007F31C9" w:rsidRDefault="002A4198" w:rsidP="00411DC9">
            <w:pPr>
              <w:jc w:val="center"/>
              <w:rPr>
                <w:rFonts w:eastAsia="Times New Roman" w:cstheme="minorHAnsi"/>
              </w:rPr>
            </w:pPr>
            <w:r w:rsidRPr="007F31C9">
              <w:rPr>
                <w:rFonts w:eastAsia="Times New Roman" w:cstheme="minorHAnsi"/>
                <w:b/>
                <w:bCs/>
                <w:sz w:val="20"/>
                <w:szCs w:val="20"/>
              </w:rPr>
              <w:t>%</w:t>
            </w:r>
          </w:p>
        </w:tc>
      </w:tr>
      <w:tr w:rsidR="002A4198" w:rsidRPr="007F31C9" w14:paraId="037736AA"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A5F14F" w14:textId="77777777" w:rsidR="002A4198" w:rsidRPr="007F31C9" w:rsidRDefault="002A4198" w:rsidP="00411DC9">
            <w:pPr>
              <w:jc w:val="center"/>
              <w:rPr>
                <w:rFonts w:eastAsia="Times New Roman" w:cstheme="minorHAnsi"/>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274554" w14:textId="77777777" w:rsidR="002A4198" w:rsidRPr="007F31C9" w:rsidRDefault="002A4198" w:rsidP="00411DC9">
            <w:pPr>
              <w:rPr>
                <w:rFonts w:eastAsia="Times New Roman" w:cstheme="minorHAnsi"/>
                <w:sz w:val="24"/>
                <w:szCs w:val="24"/>
              </w:rPr>
            </w:pPr>
            <w:r w:rsidRPr="007F31C9">
              <w:rPr>
                <w:rFonts w:eastAsia="Times New Roman" w:cstheme="minorHAnsi"/>
                <w:b/>
                <w:bCs/>
                <w:sz w:val="20"/>
                <w:szCs w:val="20"/>
              </w:rPr>
              <w:t>Výdavky celkom</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9B9B5B" w14:textId="77777777" w:rsidR="002A4198" w:rsidRPr="00D90874" w:rsidRDefault="002A4198" w:rsidP="00411DC9">
            <w:pPr>
              <w:jc w:val="right"/>
              <w:rPr>
                <w:rFonts w:eastAsia="Times New Roman" w:cstheme="minorHAnsi"/>
                <w:b/>
                <w:bCs/>
                <w:sz w:val="20"/>
                <w:szCs w:val="20"/>
              </w:rPr>
            </w:pPr>
            <w:r w:rsidRPr="00937BFB">
              <w:rPr>
                <w:rFonts w:eastAsia="Times New Roman" w:cstheme="minorHAnsi"/>
                <w:b/>
                <w:bCs/>
                <w:sz w:val="20"/>
                <w:szCs w:val="20"/>
              </w:rPr>
              <w:t>26</w:t>
            </w:r>
            <w:r>
              <w:rPr>
                <w:rFonts w:eastAsia="Times New Roman" w:cstheme="minorHAnsi"/>
                <w:b/>
                <w:bCs/>
                <w:sz w:val="20"/>
                <w:szCs w:val="20"/>
              </w:rPr>
              <w:t> </w:t>
            </w:r>
            <w:r w:rsidRPr="00937BFB">
              <w:rPr>
                <w:rFonts w:eastAsia="Times New Roman" w:cstheme="minorHAnsi"/>
                <w:b/>
                <w:bCs/>
                <w:sz w:val="20"/>
                <w:szCs w:val="20"/>
              </w:rPr>
              <w:t>422</w:t>
            </w:r>
            <w:r>
              <w:rPr>
                <w:rFonts w:eastAsia="Times New Roman" w:cstheme="minorHAnsi"/>
                <w:b/>
                <w:bCs/>
                <w:sz w:val="20"/>
                <w:szCs w:val="20"/>
              </w:rPr>
              <w:t xml:space="preserve"> </w:t>
            </w:r>
            <w:r w:rsidRPr="00937BFB">
              <w:rPr>
                <w:rFonts w:eastAsia="Times New Roman" w:cstheme="minorHAnsi"/>
                <w:b/>
                <w:bCs/>
                <w:sz w:val="20"/>
                <w:szCs w:val="20"/>
              </w:rPr>
              <w:t>089,6</w:t>
            </w:r>
            <w:r>
              <w:rPr>
                <w:rFonts w:eastAsia="Times New Roman" w:cstheme="minorHAnsi"/>
                <w:b/>
                <w:bCs/>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FA3C4DA"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26 467 507,00</w:t>
            </w:r>
          </w:p>
          <w:p w14:paraId="48C3D462"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1BB790BD" w14:textId="77777777" w:rsidR="002A4198" w:rsidRPr="00D90874" w:rsidRDefault="002A4198" w:rsidP="00411DC9">
            <w:pPr>
              <w:jc w:val="right"/>
              <w:rPr>
                <w:rFonts w:eastAsia="Times New Roman" w:cstheme="minorHAnsi"/>
                <w:b/>
                <w:bCs/>
                <w:sz w:val="20"/>
                <w:szCs w:val="20"/>
              </w:rPr>
            </w:pPr>
            <w:r>
              <w:rPr>
                <w:rFonts w:eastAsia="Times New Roman" w:cstheme="minorHAnsi"/>
                <w:b/>
                <w:bCs/>
                <w:sz w:val="20"/>
                <w:szCs w:val="20"/>
              </w:rPr>
              <w:t>100,17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387408"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27 366 344,00</w:t>
            </w:r>
          </w:p>
          <w:p w14:paraId="4CC83AC9"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38840FCE" w14:textId="77777777" w:rsidR="002A4198" w:rsidRPr="00D90874" w:rsidRDefault="002A4198" w:rsidP="00411DC9">
            <w:pPr>
              <w:jc w:val="right"/>
              <w:rPr>
                <w:rFonts w:eastAsia="Times New Roman" w:cstheme="minorHAnsi"/>
                <w:b/>
                <w:bCs/>
                <w:sz w:val="20"/>
                <w:szCs w:val="20"/>
              </w:rPr>
            </w:pPr>
            <w:r>
              <w:rPr>
                <w:rFonts w:eastAsia="Times New Roman" w:cstheme="minorHAnsi"/>
                <w:b/>
                <w:bCs/>
                <w:sz w:val="20"/>
                <w:szCs w:val="20"/>
              </w:rPr>
              <w:t>103,40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5F230F"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 xml:space="preserve">28 </w:t>
            </w:r>
            <w:r>
              <w:rPr>
                <w:rFonts w:eastAsia="Times New Roman" w:cstheme="minorHAnsi"/>
                <w:b/>
                <w:bCs/>
                <w:sz w:val="20"/>
                <w:szCs w:val="20"/>
              </w:rPr>
              <w:t>5</w:t>
            </w:r>
            <w:r w:rsidRPr="00D90874">
              <w:rPr>
                <w:rFonts w:eastAsia="Times New Roman" w:cstheme="minorHAnsi"/>
                <w:b/>
                <w:bCs/>
                <w:sz w:val="20"/>
                <w:szCs w:val="20"/>
              </w:rPr>
              <w:t>19 029,00</w:t>
            </w:r>
          </w:p>
          <w:p w14:paraId="05D0CC65"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363DFF48" w14:textId="77777777" w:rsidR="002A4198" w:rsidRPr="00755BB5" w:rsidRDefault="002A4198" w:rsidP="00411DC9">
            <w:pPr>
              <w:jc w:val="right"/>
              <w:rPr>
                <w:rFonts w:eastAsia="Times New Roman" w:cstheme="minorHAnsi"/>
                <w:b/>
                <w:bCs/>
                <w:sz w:val="20"/>
                <w:szCs w:val="20"/>
              </w:rPr>
            </w:pPr>
            <w:r w:rsidRPr="00755BB5">
              <w:rPr>
                <w:rFonts w:eastAsia="Times New Roman" w:cstheme="minorHAnsi"/>
                <w:b/>
                <w:bCs/>
                <w:sz w:val="20"/>
                <w:szCs w:val="20"/>
              </w:rPr>
              <w:t>104,21</w:t>
            </w:r>
          </w:p>
        </w:tc>
      </w:tr>
      <w:tr w:rsidR="002A4198" w:rsidRPr="007F31C9" w14:paraId="62F1D0EA"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78D281" w14:textId="77777777" w:rsidR="002A4198" w:rsidRPr="007F31C9" w:rsidRDefault="002A4198" w:rsidP="00411DC9">
            <w:pPr>
              <w:rPr>
                <w:rFonts w:eastAsia="Times New Roman" w:cstheme="minorHAnsi"/>
              </w:rPr>
            </w:pPr>
            <w:r w:rsidRPr="007F31C9">
              <w:rPr>
                <w:rFonts w:eastAsia="Times New Roman" w:cstheme="minorHAnsi"/>
                <w:b/>
                <w:bCs/>
                <w:sz w:val="20"/>
                <w:szCs w:val="20"/>
              </w:rPr>
              <w:t>600</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3061ED" w14:textId="77777777" w:rsidR="002A4198" w:rsidRPr="007F31C9" w:rsidRDefault="002A4198" w:rsidP="00411DC9">
            <w:pPr>
              <w:rPr>
                <w:rFonts w:eastAsia="Times New Roman" w:cstheme="minorHAnsi"/>
              </w:rPr>
            </w:pPr>
            <w:r w:rsidRPr="007F31C9">
              <w:rPr>
                <w:rFonts w:eastAsia="Times New Roman" w:cstheme="minorHAnsi"/>
                <w:b/>
                <w:bCs/>
                <w:sz w:val="20"/>
                <w:szCs w:val="20"/>
              </w:rPr>
              <w:t>Bežné výdavky</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298A61" w14:textId="77777777" w:rsidR="002A4198" w:rsidRPr="00D90874" w:rsidRDefault="002A4198" w:rsidP="00411DC9">
            <w:pPr>
              <w:jc w:val="right"/>
              <w:rPr>
                <w:rFonts w:eastAsia="Times New Roman" w:cstheme="minorHAnsi"/>
                <w:b/>
                <w:bCs/>
                <w:sz w:val="20"/>
                <w:szCs w:val="20"/>
              </w:rPr>
            </w:pPr>
            <w:r w:rsidRPr="00937BFB">
              <w:rPr>
                <w:rFonts w:eastAsia="Times New Roman" w:cstheme="minorHAnsi"/>
                <w:b/>
                <w:bCs/>
                <w:sz w:val="20"/>
                <w:szCs w:val="20"/>
              </w:rPr>
              <w:t>26</w:t>
            </w:r>
            <w:r>
              <w:rPr>
                <w:rFonts w:eastAsia="Times New Roman" w:cstheme="minorHAnsi"/>
                <w:b/>
                <w:bCs/>
                <w:sz w:val="20"/>
                <w:szCs w:val="20"/>
              </w:rPr>
              <w:t> </w:t>
            </w:r>
            <w:r w:rsidRPr="00937BFB">
              <w:rPr>
                <w:rFonts w:eastAsia="Times New Roman" w:cstheme="minorHAnsi"/>
                <w:b/>
                <w:bCs/>
                <w:sz w:val="20"/>
                <w:szCs w:val="20"/>
              </w:rPr>
              <w:t>422</w:t>
            </w:r>
            <w:r>
              <w:rPr>
                <w:rFonts w:eastAsia="Times New Roman" w:cstheme="minorHAnsi"/>
                <w:b/>
                <w:bCs/>
                <w:sz w:val="20"/>
                <w:szCs w:val="20"/>
              </w:rPr>
              <w:t xml:space="preserve"> </w:t>
            </w:r>
            <w:r w:rsidRPr="00937BFB">
              <w:rPr>
                <w:rFonts w:eastAsia="Times New Roman" w:cstheme="minorHAnsi"/>
                <w:b/>
                <w:bCs/>
                <w:sz w:val="20"/>
                <w:szCs w:val="20"/>
              </w:rPr>
              <w:t>089,6</w:t>
            </w:r>
            <w:r>
              <w:rPr>
                <w:rFonts w:eastAsia="Times New Roman" w:cstheme="minorHAnsi"/>
                <w:b/>
                <w:bCs/>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AE7771"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26 467 507,00</w:t>
            </w:r>
          </w:p>
          <w:p w14:paraId="0428F97B"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32F7857A" w14:textId="77777777" w:rsidR="002A4198" w:rsidRPr="00D90874" w:rsidRDefault="002A4198" w:rsidP="00411DC9">
            <w:pPr>
              <w:jc w:val="right"/>
              <w:rPr>
                <w:rFonts w:eastAsia="Times New Roman" w:cstheme="minorHAnsi"/>
                <w:b/>
                <w:bCs/>
                <w:sz w:val="20"/>
                <w:szCs w:val="20"/>
              </w:rPr>
            </w:pPr>
            <w:r>
              <w:rPr>
                <w:rFonts w:eastAsia="Times New Roman" w:cstheme="minorHAnsi"/>
                <w:b/>
                <w:bCs/>
                <w:sz w:val="20"/>
                <w:szCs w:val="20"/>
              </w:rPr>
              <w:t>100,17</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CC87016"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27 366 344,00</w:t>
            </w:r>
          </w:p>
          <w:p w14:paraId="1080E2DF"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3B8C478C" w14:textId="77777777" w:rsidR="002A4198" w:rsidRPr="00D90874" w:rsidRDefault="002A4198" w:rsidP="00411DC9">
            <w:pPr>
              <w:jc w:val="right"/>
              <w:rPr>
                <w:rFonts w:eastAsia="Times New Roman" w:cstheme="minorHAnsi"/>
                <w:b/>
                <w:bCs/>
                <w:sz w:val="20"/>
                <w:szCs w:val="20"/>
              </w:rPr>
            </w:pPr>
            <w:r>
              <w:rPr>
                <w:rFonts w:eastAsia="Times New Roman" w:cstheme="minorHAnsi"/>
                <w:b/>
                <w:bCs/>
                <w:sz w:val="20"/>
                <w:szCs w:val="20"/>
              </w:rPr>
              <w:t>103,40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A1AB17"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 xml:space="preserve">28 </w:t>
            </w:r>
            <w:r>
              <w:rPr>
                <w:rFonts w:eastAsia="Times New Roman" w:cstheme="minorHAnsi"/>
                <w:b/>
                <w:bCs/>
                <w:sz w:val="20"/>
                <w:szCs w:val="20"/>
              </w:rPr>
              <w:t>5</w:t>
            </w:r>
            <w:r w:rsidRPr="00D90874">
              <w:rPr>
                <w:rFonts w:eastAsia="Times New Roman" w:cstheme="minorHAnsi"/>
                <w:b/>
                <w:bCs/>
                <w:sz w:val="20"/>
                <w:szCs w:val="20"/>
              </w:rPr>
              <w:t>19 029,00</w:t>
            </w:r>
          </w:p>
          <w:p w14:paraId="482D540B"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0DFDF6CD" w14:textId="77777777" w:rsidR="002A4198" w:rsidRPr="00755BB5" w:rsidRDefault="002A4198" w:rsidP="00411DC9">
            <w:pPr>
              <w:jc w:val="right"/>
              <w:rPr>
                <w:rFonts w:eastAsia="Times New Roman" w:cstheme="minorHAnsi"/>
                <w:b/>
                <w:bCs/>
                <w:sz w:val="20"/>
                <w:szCs w:val="20"/>
              </w:rPr>
            </w:pPr>
            <w:r w:rsidRPr="00755BB5">
              <w:rPr>
                <w:rFonts w:eastAsia="Times New Roman" w:cstheme="minorHAnsi"/>
                <w:b/>
                <w:bCs/>
                <w:sz w:val="20"/>
                <w:szCs w:val="20"/>
              </w:rPr>
              <w:t>104,21</w:t>
            </w:r>
          </w:p>
        </w:tc>
      </w:tr>
      <w:tr w:rsidR="002A4198" w:rsidRPr="007F31C9" w14:paraId="7A919D39"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E894EB" w14:textId="77777777" w:rsidR="002A4198" w:rsidRPr="007F31C9" w:rsidRDefault="002A4198" w:rsidP="00411DC9">
            <w:pPr>
              <w:rPr>
                <w:rFonts w:eastAsia="Times New Roman" w:cstheme="minorHAnsi"/>
              </w:rPr>
            </w:pPr>
            <w:r w:rsidRPr="007F31C9">
              <w:rPr>
                <w:rFonts w:eastAsia="Times New Roman" w:cstheme="minorHAnsi"/>
                <w:sz w:val="20"/>
                <w:szCs w:val="20"/>
              </w:rPr>
              <w:t>640</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A5FB81" w14:textId="77777777" w:rsidR="002A4198" w:rsidRPr="007F31C9" w:rsidRDefault="002A4198" w:rsidP="00411DC9">
            <w:pPr>
              <w:rPr>
                <w:rFonts w:eastAsia="Times New Roman" w:cstheme="minorHAnsi"/>
              </w:rPr>
            </w:pPr>
            <w:r w:rsidRPr="007F31C9">
              <w:rPr>
                <w:rFonts w:eastAsia="Times New Roman" w:cstheme="minorHAnsi"/>
                <w:sz w:val="20"/>
                <w:szCs w:val="20"/>
              </w:rPr>
              <w:t>Bežné transfery</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AE285B" w14:textId="77777777" w:rsidR="002A4198" w:rsidRPr="00937BFB" w:rsidRDefault="002A4198" w:rsidP="00411DC9">
            <w:pPr>
              <w:jc w:val="right"/>
              <w:rPr>
                <w:rFonts w:eastAsia="Times New Roman" w:cstheme="minorHAnsi"/>
                <w:sz w:val="20"/>
                <w:szCs w:val="20"/>
              </w:rPr>
            </w:pPr>
            <w:r w:rsidRPr="00937BFB">
              <w:rPr>
                <w:rFonts w:eastAsia="Times New Roman" w:cstheme="minorHAnsi"/>
                <w:sz w:val="20"/>
                <w:szCs w:val="20"/>
              </w:rPr>
              <w:t>26 422 089,60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4EF026" w14:textId="77777777" w:rsidR="002A4198" w:rsidRPr="00D90874" w:rsidRDefault="002A4198" w:rsidP="00411DC9">
            <w:pPr>
              <w:jc w:val="right"/>
              <w:rPr>
                <w:rFonts w:eastAsia="Times New Roman" w:cstheme="minorHAnsi"/>
                <w:sz w:val="20"/>
                <w:szCs w:val="20"/>
              </w:rPr>
            </w:pPr>
            <w:r w:rsidRPr="00D90874">
              <w:rPr>
                <w:rFonts w:eastAsia="Times New Roman" w:cstheme="minorHAnsi"/>
                <w:sz w:val="20"/>
                <w:szCs w:val="20"/>
              </w:rPr>
              <w:t>26 467 507,00</w:t>
            </w:r>
          </w:p>
          <w:p w14:paraId="275F980E" w14:textId="77777777" w:rsidR="002A4198" w:rsidRPr="00D90874" w:rsidRDefault="002A4198" w:rsidP="00411DC9">
            <w:pPr>
              <w:jc w:val="right"/>
              <w:rPr>
                <w:rFonts w:eastAsia="Times New Roman" w:cstheme="minorHAnsi"/>
                <w:sz w:val="20"/>
                <w:szCs w:val="20"/>
              </w:rPr>
            </w:pP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1959180C" w14:textId="77777777" w:rsidR="002A4198" w:rsidRPr="00D90874" w:rsidRDefault="002A4198" w:rsidP="00411DC9">
            <w:pPr>
              <w:jc w:val="right"/>
              <w:rPr>
                <w:rFonts w:eastAsia="Times New Roman" w:cstheme="minorHAnsi"/>
                <w:sz w:val="20"/>
                <w:szCs w:val="20"/>
              </w:rPr>
            </w:pPr>
            <w:r>
              <w:rPr>
                <w:rFonts w:eastAsia="Times New Roman" w:cstheme="minorHAnsi"/>
                <w:sz w:val="20"/>
                <w:szCs w:val="20"/>
              </w:rPr>
              <w:t>100,17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FC385D" w14:textId="77777777" w:rsidR="002A4198" w:rsidRPr="00D90874" w:rsidRDefault="002A4198" w:rsidP="00411DC9">
            <w:pPr>
              <w:jc w:val="right"/>
              <w:rPr>
                <w:rFonts w:eastAsia="Times New Roman" w:cstheme="minorHAnsi"/>
                <w:sz w:val="20"/>
                <w:szCs w:val="20"/>
              </w:rPr>
            </w:pPr>
            <w:r w:rsidRPr="00D90874">
              <w:rPr>
                <w:rFonts w:eastAsia="Times New Roman" w:cstheme="minorHAnsi"/>
                <w:sz w:val="20"/>
                <w:szCs w:val="20"/>
              </w:rPr>
              <w:t>27 366 34,004</w:t>
            </w:r>
          </w:p>
          <w:p w14:paraId="2C0AFD83" w14:textId="77777777" w:rsidR="002A4198" w:rsidRPr="00D90874" w:rsidRDefault="002A4198" w:rsidP="00411DC9">
            <w:pPr>
              <w:jc w:val="right"/>
              <w:rPr>
                <w:rFonts w:eastAsia="Times New Roman" w:cstheme="minorHAnsi"/>
                <w:sz w:val="20"/>
                <w:szCs w:val="20"/>
              </w:rPr>
            </w:pP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3CAC4722" w14:textId="77777777" w:rsidR="002A4198" w:rsidRPr="00D90874" w:rsidRDefault="002A4198" w:rsidP="00411DC9">
            <w:pPr>
              <w:jc w:val="right"/>
              <w:rPr>
                <w:rFonts w:eastAsia="Times New Roman" w:cstheme="minorHAnsi"/>
                <w:sz w:val="20"/>
                <w:szCs w:val="20"/>
              </w:rPr>
            </w:pPr>
            <w:r>
              <w:rPr>
                <w:rFonts w:eastAsia="Times New Roman" w:cstheme="minorHAnsi"/>
                <w:sz w:val="20"/>
                <w:szCs w:val="20"/>
              </w:rPr>
              <w:t>103,40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31B433" w14:textId="77777777" w:rsidR="002A4198" w:rsidRPr="00D90874" w:rsidRDefault="002A4198" w:rsidP="00411DC9">
            <w:pPr>
              <w:jc w:val="right"/>
              <w:rPr>
                <w:rFonts w:eastAsia="Times New Roman" w:cstheme="minorHAnsi"/>
                <w:sz w:val="20"/>
                <w:szCs w:val="20"/>
              </w:rPr>
            </w:pPr>
            <w:r w:rsidRPr="00D90874">
              <w:rPr>
                <w:rFonts w:eastAsia="Times New Roman" w:cstheme="minorHAnsi"/>
                <w:sz w:val="20"/>
                <w:szCs w:val="20"/>
              </w:rPr>
              <w:t xml:space="preserve">28 </w:t>
            </w:r>
            <w:r>
              <w:rPr>
                <w:rFonts w:eastAsia="Times New Roman" w:cstheme="minorHAnsi"/>
                <w:sz w:val="20"/>
                <w:szCs w:val="20"/>
              </w:rPr>
              <w:t>5</w:t>
            </w:r>
            <w:r w:rsidRPr="00D90874">
              <w:rPr>
                <w:rFonts w:eastAsia="Times New Roman" w:cstheme="minorHAnsi"/>
                <w:sz w:val="20"/>
                <w:szCs w:val="20"/>
              </w:rPr>
              <w:t>19 029,00</w:t>
            </w:r>
          </w:p>
          <w:p w14:paraId="65DAE1FD" w14:textId="77777777" w:rsidR="002A4198" w:rsidRPr="00D90874" w:rsidRDefault="002A4198" w:rsidP="00411DC9">
            <w:pPr>
              <w:jc w:val="right"/>
              <w:rPr>
                <w:rFonts w:eastAsia="Times New Roman" w:cstheme="minorHAnsi"/>
                <w:sz w:val="20"/>
                <w:szCs w:val="20"/>
              </w:rPr>
            </w:pP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191CA278" w14:textId="77777777" w:rsidR="002A4198" w:rsidRPr="002F4F44" w:rsidRDefault="002A4198" w:rsidP="00411DC9">
            <w:pPr>
              <w:jc w:val="right"/>
              <w:rPr>
                <w:rFonts w:eastAsia="Times New Roman" w:cstheme="minorHAnsi"/>
                <w:sz w:val="20"/>
                <w:szCs w:val="20"/>
              </w:rPr>
            </w:pPr>
            <w:r w:rsidRPr="002F4F44">
              <w:rPr>
                <w:rFonts w:eastAsia="Times New Roman" w:cstheme="minorHAnsi"/>
                <w:sz w:val="20"/>
                <w:szCs w:val="20"/>
              </w:rPr>
              <w:t>104,21</w:t>
            </w:r>
          </w:p>
        </w:tc>
      </w:tr>
    </w:tbl>
    <w:p w14:paraId="3F49866C" w14:textId="190203A6" w:rsidR="002A4198" w:rsidRPr="007F31C9" w:rsidRDefault="002A4198" w:rsidP="002A4198">
      <w:pPr>
        <w:pStyle w:val="Normlnywebov"/>
        <w:rPr>
          <w:rFonts w:asciiTheme="minorHAnsi" w:eastAsiaTheme="minorEastAsia" w:hAnsiTheme="minorHAnsi" w:cstheme="minorHAnsi"/>
        </w:rPr>
      </w:pPr>
      <w:r w:rsidRPr="007F31C9">
        <w:rPr>
          <w:rFonts w:asciiTheme="minorHAnsi" w:hAnsiTheme="minorHAnsi" w:cstheme="minorHAnsi"/>
          <w:b/>
          <w:bCs/>
        </w:rPr>
        <w:t xml:space="preserve">Komentár: </w:t>
      </w:r>
      <w:r w:rsidRPr="007F31C9">
        <w:rPr>
          <w:rFonts w:asciiTheme="minorHAnsi" w:hAnsiTheme="minorHAnsi" w:cstheme="minorHAnsi"/>
        </w:rPr>
        <w:t xml:space="preserve">Kompetencie BSK v oblasti </w:t>
      </w:r>
      <w:r w:rsidR="00477C20">
        <w:rPr>
          <w:rFonts w:asciiTheme="minorHAnsi" w:hAnsiTheme="minorHAnsi" w:cstheme="minorHAnsi"/>
        </w:rPr>
        <w:t xml:space="preserve">verejnej </w:t>
      </w:r>
      <w:r w:rsidRPr="007F31C9">
        <w:rPr>
          <w:rFonts w:asciiTheme="minorHAnsi" w:hAnsiTheme="minorHAnsi" w:cstheme="minorHAnsi"/>
        </w:rPr>
        <w:t xml:space="preserve">dopravy vyplývajú zo zákona č. </w:t>
      </w:r>
      <w:r w:rsidR="00477C20">
        <w:rPr>
          <w:rFonts w:asciiTheme="minorHAnsi" w:hAnsiTheme="minorHAnsi" w:cstheme="minorHAnsi"/>
        </w:rPr>
        <w:t>332</w:t>
      </w:r>
      <w:r w:rsidRPr="007F31C9">
        <w:rPr>
          <w:rFonts w:asciiTheme="minorHAnsi" w:hAnsiTheme="minorHAnsi" w:cstheme="minorHAnsi"/>
        </w:rPr>
        <w:t>/20</w:t>
      </w:r>
      <w:r w:rsidR="00477C20">
        <w:rPr>
          <w:rFonts w:asciiTheme="minorHAnsi" w:hAnsiTheme="minorHAnsi" w:cstheme="minorHAnsi"/>
        </w:rPr>
        <w:t>23</w:t>
      </w:r>
      <w:r w:rsidRPr="007F31C9">
        <w:rPr>
          <w:rFonts w:asciiTheme="minorHAnsi" w:hAnsiTheme="minorHAnsi" w:cstheme="minorHAnsi"/>
        </w:rPr>
        <w:t xml:space="preserve"> o</w:t>
      </w:r>
      <w:r w:rsidR="00477C20">
        <w:rPr>
          <w:rFonts w:asciiTheme="minorHAnsi" w:hAnsiTheme="minorHAnsi" w:cstheme="minorHAnsi"/>
        </w:rPr>
        <w:t> verejnej osobnej</w:t>
      </w:r>
      <w:r w:rsidRPr="007F31C9">
        <w:rPr>
          <w:rFonts w:asciiTheme="minorHAnsi" w:hAnsiTheme="minorHAnsi" w:cstheme="minorHAnsi"/>
        </w:rPr>
        <w:t xml:space="preserve"> doprave v znení neskorších predpisov. Na zabezpečenie aktivít a činností v rámci programu Doprava, BSK financuje podprogramy Autobusová doprava a Integrovaný dopravný systém v Bratislavskom kraji. </w:t>
      </w:r>
    </w:p>
    <w:p w14:paraId="02B6BAAD" w14:textId="77777777" w:rsidR="002A4198" w:rsidRPr="007F31C9" w:rsidRDefault="002A4198" w:rsidP="002A4198">
      <w:pPr>
        <w:pStyle w:val="Nadpis3"/>
        <w:rPr>
          <w:rFonts w:asciiTheme="minorHAnsi" w:hAnsiTheme="minorHAnsi" w:cstheme="minorHAnsi"/>
        </w:rPr>
      </w:pPr>
      <w:r w:rsidRPr="007F31C9">
        <w:rPr>
          <w:rFonts w:asciiTheme="minorHAnsi" w:hAnsiTheme="minorHAnsi" w:cstheme="minorHAnsi"/>
          <w:color w:val="0000FF"/>
        </w:rPr>
        <w:t>Podprogram 7.1: Železničná doprava</w:t>
      </w:r>
      <w:r w:rsidRPr="007F31C9">
        <w:rPr>
          <w:rFonts w:asciiTheme="minorHAnsi" w:hAnsiTheme="minorHAnsi" w:cstheme="minorHAnsi"/>
        </w:rPr>
        <w:t xml:space="preserve"> </w:t>
      </w:r>
    </w:p>
    <w:p w14:paraId="37241F5E" w14:textId="77777777" w:rsidR="002A4198" w:rsidRPr="007F31C9" w:rsidRDefault="002A4198" w:rsidP="002A4198">
      <w:pPr>
        <w:pStyle w:val="Normlnywebov"/>
        <w:spacing w:before="0" w:beforeAutospacing="0" w:after="0" w:afterAutospacing="0"/>
        <w:rPr>
          <w:rFonts w:asciiTheme="minorHAnsi" w:hAnsiTheme="minorHAnsi" w:cstheme="minorHAnsi"/>
          <w:vanish/>
        </w:rPr>
      </w:pPr>
    </w:p>
    <w:p w14:paraId="7FD42C8B" w14:textId="279533F4" w:rsidR="002A4198" w:rsidRPr="007F31C9" w:rsidRDefault="002A4198" w:rsidP="002A4198">
      <w:pPr>
        <w:pStyle w:val="Normlnywebov"/>
        <w:rPr>
          <w:rFonts w:asciiTheme="minorHAnsi" w:eastAsiaTheme="minorEastAsia" w:hAnsiTheme="minorHAnsi" w:cstheme="minorHAnsi"/>
        </w:rPr>
      </w:pPr>
      <w:r w:rsidRPr="007F31C9">
        <w:rPr>
          <w:rFonts w:asciiTheme="minorHAnsi" w:hAnsiTheme="minorHAnsi" w:cstheme="minorHAnsi"/>
          <w:b/>
          <w:bCs/>
        </w:rPr>
        <w:t xml:space="preserve">Komentár: </w:t>
      </w:r>
      <w:r w:rsidRPr="007F31C9">
        <w:rPr>
          <w:rFonts w:asciiTheme="minorHAnsi" w:hAnsiTheme="minorHAnsi" w:cstheme="minorHAnsi"/>
        </w:rPr>
        <w:t>V roku 202</w:t>
      </w:r>
      <w:r w:rsidR="00DF5327">
        <w:rPr>
          <w:rFonts w:asciiTheme="minorHAnsi" w:hAnsiTheme="minorHAnsi" w:cstheme="minorHAnsi"/>
        </w:rPr>
        <w:t>5</w:t>
      </w:r>
      <w:r w:rsidRPr="007F31C9">
        <w:rPr>
          <w:rFonts w:asciiTheme="minorHAnsi" w:hAnsiTheme="minorHAnsi" w:cstheme="minorHAnsi"/>
        </w:rPr>
        <w:t xml:space="preserve"> BSK nebude objednávať u dopravcu Železničná spoločnosť Slovensko, a. s. služby vo verejnom záujme a prevádzkovaní verejnej osobnej dopravy na trati 113 Zohor – Záhorská Ves. Doprava </w:t>
      </w:r>
      <w:r w:rsidR="00FA7528">
        <w:rPr>
          <w:rFonts w:asciiTheme="minorHAnsi" w:hAnsiTheme="minorHAnsi" w:cstheme="minorHAnsi"/>
        </w:rPr>
        <w:t xml:space="preserve">je </w:t>
      </w:r>
      <w:r w:rsidRPr="007F31C9">
        <w:rPr>
          <w:rFonts w:asciiTheme="minorHAnsi" w:hAnsiTheme="minorHAnsi" w:cstheme="minorHAnsi"/>
        </w:rPr>
        <w:t>nahradená prímestskou autobusovou dopravou.</w:t>
      </w:r>
    </w:p>
    <w:p w14:paraId="09BDC7B6" w14:textId="77777777" w:rsidR="002A4198" w:rsidRPr="007F31C9" w:rsidRDefault="002A4198" w:rsidP="002A4198">
      <w:pPr>
        <w:pStyle w:val="Nadpis3"/>
        <w:rPr>
          <w:rFonts w:asciiTheme="minorHAnsi" w:hAnsiTheme="minorHAnsi" w:cstheme="minorHAnsi"/>
        </w:rPr>
      </w:pPr>
      <w:r w:rsidRPr="007F31C9">
        <w:rPr>
          <w:rFonts w:asciiTheme="minorHAnsi" w:hAnsiTheme="minorHAnsi" w:cstheme="minorHAnsi"/>
          <w:color w:val="0000FF"/>
        </w:rPr>
        <w:t>Podprogram 7.2: Autobusová doprava</w:t>
      </w:r>
      <w:r w:rsidRPr="007F31C9">
        <w:rPr>
          <w:rFonts w:asciiTheme="minorHAnsi" w:hAnsiTheme="minorHAnsi" w:cstheme="minorHAnsi"/>
        </w:rPr>
        <w:t xml:space="preserve"> </w:t>
      </w:r>
    </w:p>
    <w:p w14:paraId="50A3444B" w14:textId="77777777" w:rsidR="002A4198" w:rsidRPr="007F31C9" w:rsidRDefault="002A4198" w:rsidP="002A4198">
      <w:pPr>
        <w:pStyle w:val="Normlnywebov"/>
        <w:rPr>
          <w:rFonts w:asciiTheme="minorHAnsi" w:eastAsiaTheme="minorEastAsia" w:hAnsiTheme="minorHAnsi" w:cstheme="minorHAnsi"/>
        </w:rPr>
      </w:pPr>
      <w:r w:rsidRPr="007F31C9">
        <w:rPr>
          <w:rFonts w:asciiTheme="minorHAnsi" w:hAnsiTheme="minorHAnsi" w:cstheme="minorHAnsi"/>
          <w:b/>
          <w:bCs/>
        </w:rPr>
        <w:t xml:space="preserve">Zámer: </w:t>
      </w:r>
      <w:r w:rsidRPr="007F31C9">
        <w:rPr>
          <w:rFonts w:asciiTheme="minorHAnsi" w:hAnsiTheme="minorHAnsi" w:cstheme="minorHAnsi"/>
        </w:rPr>
        <w:t>Zvýšiť atraktívnosť hromadnej autobusovej dopravy</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50"/>
        <w:gridCol w:w="2214"/>
        <w:gridCol w:w="1456"/>
        <w:gridCol w:w="1456"/>
        <w:gridCol w:w="649"/>
        <w:gridCol w:w="1456"/>
        <w:gridCol w:w="649"/>
        <w:gridCol w:w="1456"/>
        <w:gridCol w:w="664"/>
      </w:tblGrid>
      <w:tr w:rsidR="002A4198" w:rsidRPr="007F31C9" w14:paraId="1BF7F8A8" w14:textId="77777777" w:rsidTr="00411DC9">
        <w:trPr>
          <w:trHeight w:hRule="exact" w:val="284"/>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7FCD69" w14:textId="77777777" w:rsidR="002A4198" w:rsidRPr="007F31C9" w:rsidRDefault="002A4198" w:rsidP="00411DC9">
            <w:pPr>
              <w:jc w:val="center"/>
              <w:rPr>
                <w:rFonts w:eastAsia="Times New Roman" w:cstheme="minorHAnsi"/>
              </w:rPr>
            </w:pPr>
            <w:r w:rsidRPr="007F31C9">
              <w:rPr>
                <w:rFonts w:eastAsia="Times New Roman" w:cstheme="minorHAnsi"/>
                <w:b/>
                <w:bCs/>
                <w:i/>
                <w:iCs/>
              </w:rPr>
              <w:lastRenderedPageBreak/>
              <w:t>Rozpočet v EUR</w:t>
            </w:r>
          </w:p>
        </w:tc>
      </w:tr>
      <w:tr w:rsidR="002A4198" w:rsidRPr="007F31C9" w14:paraId="6E8C539B"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30B11C3" w14:textId="77777777" w:rsidR="002A4198" w:rsidRPr="007F31C9" w:rsidRDefault="002A4198" w:rsidP="00411DC9">
            <w:pPr>
              <w:rPr>
                <w:rFonts w:eastAsia="Times New Roman" w:cstheme="minorHAnsi"/>
              </w:rPr>
            </w:pPr>
            <w:r w:rsidRPr="007F31C9">
              <w:rPr>
                <w:rFonts w:eastAsia="Times New Roman" w:cstheme="minorHAnsi"/>
                <w:b/>
                <w:bCs/>
                <w:sz w:val="20"/>
                <w:szCs w:val="20"/>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AB51951" w14:textId="77777777" w:rsidR="002A4198" w:rsidRPr="007F31C9" w:rsidRDefault="002A4198" w:rsidP="00411DC9">
            <w:pPr>
              <w:rPr>
                <w:rFonts w:eastAsia="Times New Roman" w:cstheme="minorHAnsi"/>
              </w:rPr>
            </w:pPr>
            <w:r w:rsidRPr="007F31C9">
              <w:rPr>
                <w:rFonts w:eastAsia="Times New Roman" w:cstheme="minorHAnsi"/>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990A1A"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A253A7A"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41022F"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5FD9C54"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631D2E"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E633F4F"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0808C1F" w14:textId="77777777" w:rsidR="002A4198" w:rsidRPr="007F31C9" w:rsidRDefault="002A4198" w:rsidP="00411DC9">
            <w:pPr>
              <w:jc w:val="center"/>
              <w:rPr>
                <w:rFonts w:eastAsia="Times New Roman" w:cstheme="minorHAnsi"/>
              </w:rPr>
            </w:pPr>
            <w:r w:rsidRPr="007F31C9">
              <w:rPr>
                <w:rFonts w:eastAsia="Times New Roman" w:cstheme="minorHAnsi"/>
                <w:b/>
                <w:bCs/>
                <w:sz w:val="20"/>
                <w:szCs w:val="20"/>
              </w:rPr>
              <w:t>%</w:t>
            </w:r>
          </w:p>
        </w:tc>
      </w:tr>
      <w:tr w:rsidR="002A4198" w:rsidRPr="007F31C9" w14:paraId="3F8F43C2"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70530D" w14:textId="77777777" w:rsidR="002A4198" w:rsidRPr="007F31C9" w:rsidRDefault="002A4198" w:rsidP="00411DC9">
            <w:pPr>
              <w:jc w:val="center"/>
              <w:rPr>
                <w:rFonts w:eastAsia="Times New Roman" w:cstheme="minorHAnsi"/>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2EE960" w14:textId="77777777" w:rsidR="002A4198" w:rsidRPr="007F31C9" w:rsidRDefault="002A4198" w:rsidP="00411DC9">
            <w:pPr>
              <w:rPr>
                <w:rFonts w:eastAsia="Times New Roman" w:cstheme="minorHAnsi"/>
                <w:sz w:val="24"/>
                <w:szCs w:val="24"/>
              </w:rPr>
            </w:pPr>
            <w:r w:rsidRPr="007F31C9">
              <w:rPr>
                <w:rFonts w:eastAsia="Times New Roman" w:cstheme="minorHAnsi"/>
                <w:b/>
                <w:bCs/>
                <w:sz w:val="20"/>
                <w:szCs w:val="20"/>
              </w:rPr>
              <w:t>Výdavky celkom</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BBBE93" w14:textId="77777777" w:rsidR="002A4198" w:rsidRPr="00D90874" w:rsidRDefault="002A4198" w:rsidP="00411DC9">
            <w:pPr>
              <w:jc w:val="right"/>
              <w:rPr>
                <w:rFonts w:eastAsia="Times New Roman" w:cstheme="minorHAnsi"/>
                <w:b/>
                <w:bCs/>
                <w:sz w:val="20"/>
                <w:szCs w:val="20"/>
              </w:rPr>
            </w:pPr>
            <w:r w:rsidRPr="005A5A66">
              <w:rPr>
                <w:rFonts w:eastAsia="Times New Roman" w:cstheme="minorHAnsi"/>
                <w:b/>
                <w:bCs/>
                <w:sz w:val="20"/>
                <w:szCs w:val="20"/>
              </w:rPr>
              <w:t>25</w:t>
            </w:r>
            <w:r>
              <w:rPr>
                <w:rFonts w:eastAsia="Times New Roman" w:cstheme="minorHAnsi"/>
                <w:b/>
                <w:bCs/>
                <w:sz w:val="20"/>
                <w:szCs w:val="20"/>
              </w:rPr>
              <w:t> </w:t>
            </w:r>
            <w:r w:rsidRPr="005A5A66">
              <w:rPr>
                <w:rFonts w:eastAsia="Times New Roman" w:cstheme="minorHAnsi"/>
                <w:b/>
                <w:bCs/>
                <w:sz w:val="20"/>
                <w:szCs w:val="20"/>
              </w:rPr>
              <w:t>025</w:t>
            </w:r>
            <w:r>
              <w:rPr>
                <w:rFonts w:eastAsia="Times New Roman" w:cstheme="minorHAnsi"/>
                <w:b/>
                <w:bCs/>
                <w:sz w:val="20"/>
                <w:szCs w:val="20"/>
              </w:rPr>
              <w:t xml:space="preserve"> </w:t>
            </w:r>
            <w:r w:rsidRPr="005A5A66">
              <w:rPr>
                <w:rFonts w:eastAsia="Times New Roman" w:cstheme="minorHAnsi"/>
                <w:b/>
                <w:bCs/>
                <w:sz w:val="20"/>
                <w:szCs w:val="20"/>
              </w:rPr>
              <w:t>460</w:t>
            </w:r>
            <w:r>
              <w:rPr>
                <w:rFonts w:eastAsia="Times New Roman" w:cstheme="minorHAnsi"/>
                <w:b/>
                <w:bCs/>
                <w:sz w:val="20"/>
                <w:szCs w:val="20"/>
              </w:rPr>
              <w:t>,00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F8AD7CD"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25 024 788,00</w:t>
            </w:r>
          </w:p>
          <w:p w14:paraId="0C85E1D7"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0735AD15" w14:textId="77777777" w:rsidR="002A4198" w:rsidRPr="00D90874" w:rsidRDefault="002A4198" w:rsidP="00411DC9">
            <w:pPr>
              <w:jc w:val="right"/>
              <w:rPr>
                <w:rFonts w:eastAsia="Times New Roman" w:cstheme="minorHAnsi"/>
                <w:b/>
                <w:bCs/>
                <w:sz w:val="20"/>
                <w:szCs w:val="20"/>
              </w:rPr>
            </w:pPr>
            <w:r>
              <w:rPr>
                <w:rFonts w:eastAsia="Times New Roman" w:cstheme="minorHAnsi"/>
                <w:b/>
                <w:bCs/>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3DA60B"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25 852 240,00</w:t>
            </w:r>
          </w:p>
          <w:p w14:paraId="2517BC4E"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1A9FBAAE" w14:textId="77777777" w:rsidR="002A4198" w:rsidRPr="00D90874" w:rsidRDefault="002A4198" w:rsidP="00411DC9">
            <w:pPr>
              <w:jc w:val="right"/>
              <w:rPr>
                <w:rFonts w:eastAsia="Times New Roman" w:cstheme="minorHAnsi"/>
                <w:b/>
                <w:bCs/>
                <w:sz w:val="20"/>
                <w:szCs w:val="20"/>
              </w:rPr>
            </w:pPr>
            <w:r>
              <w:rPr>
                <w:rFonts w:eastAsia="Times New Roman" w:cstheme="minorHAnsi"/>
                <w:b/>
                <w:bCs/>
                <w:sz w:val="20"/>
                <w:szCs w:val="20"/>
              </w:rPr>
              <w:t>103,31</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C95D7B"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 xml:space="preserve">26 </w:t>
            </w:r>
            <w:r>
              <w:rPr>
                <w:rFonts w:eastAsia="Times New Roman" w:cstheme="minorHAnsi"/>
                <w:b/>
                <w:bCs/>
                <w:sz w:val="20"/>
                <w:szCs w:val="20"/>
              </w:rPr>
              <w:t>9</w:t>
            </w:r>
            <w:r w:rsidRPr="00D90874">
              <w:rPr>
                <w:rFonts w:eastAsia="Times New Roman" w:cstheme="minorHAnsi"/>
                <w:b/>
                <w:bCs/>
                <w:sz w:val="20"/>
                <w:szCs w:val="20"/>
              </w:rPr>
              <w:t>44 961,00</w:t>
            </w:r>
          </w:p>
          <w:p w14:paraId="54142155"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234F9837" w14:textId="77777777" w:rsidR="002A4198" w:rsidRPr="0097779D" w:rsidRDefault="002A4198" w:rsidP="00411DC9">
            <w:pPr>
              <w:jc w:val="right"/>
              <w:rPr>
                <w:rFonts w:eastAsia="Times New Roman" w:cstheme="minorHAnsi"/>
                <w:b/>
                <w:bCs/>
                <w:sz w:val="20"/>
                <w:szCs w:val="20"/>
              </w:rPr>
            </w:pPr>
            <w:r w:rsidRPr="0097779D">
              <w:rPr>
                <w:rFonts w:eastAsia="Times New Roman" w:cstheme="minorHAnsi"/>
                <w:b/>
                <w:bCs/>
                <w:sz w:val="20"/>
                <w:szCs w:val="20"/>
              </w:rPr>
              <w:t>104,23</w:t>
            </w:r>
          </w:p>
        </w:tc>
      </w:tr>
      <w:tr w:rsidR="002A4198" w:rsidRPr="007F31C9" w14:paraId="733EACB5"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2731C8" w14:textId="77777777" w:rsidR="002A4198" w:rsidRPr="007F31C9" w:rsidRDefault="002A4198" w:rsidP="00411DC9">
            <w:pPr>
              <w:rPr>
                <w:rFonts w:eastAsia="Times New Roman" w:cstheme="minorHAnsi"/>
              </w:rPr>
            </w:pPr>
            <w:r w:rsidRPr="007F31C9">
              <w:rPr>
                <w:rFonts w:eastAsia="Times New Roman" w:cstheme="minorHAnsi"/>
                <w:b/>
                <w:bCs/>
                <w:sz w:val="20"/>
                <w:szCs w:val="20"/>
              </w:rPr>
              <w:t>600</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ADAA5C" w14:textId="77777777" w:rsidR="002A4198" w:rsidRPr="007F31C9" w:rsidRDefault="002A4198" w:rsidP="00411DC9">
            <w:pPr>
              <w:rPr>
                <w:rFonts w:eastAsia="Times New Roman" w:cstheme="minorHAnsi"/>
              </w:rPr>
            </w:pPr>
            <w:r w:rsidRPr="007F31C9">
              <w:rPr>
                <w:rFonts w:eastAsia="Times New Roman" w:cstheme="minorHAnsi"/>
                <w:b/>
                <w:bCs/>
                <w:sz w:val="20"/>
                <w:szCs w:val="20"/>
              </w:rPr>
              <w:t>Bežné výdavky</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96D6A0F" w14:textId="77777777" w:rsidR="002A4198" w:rsidRPr="00D90874" w:rsidRDefault="002A4198" w:rsidP="00411DC9">
            <w:pPr>
              <w:jc w:val="right"/>
              <w:rPr>
                <w:rFonts w:eastAsia="Times New Roman" w:cstheme="minorHAnsi"/>
                <w:b/>
                <w:bCs/>
                <w:sz w:val="20"/>
                <w:szCs w:val="20"/>
              </w:rPr>
            </w:pPr>
            <w:r w:rsidRPr="005A5A66">
              <w:rPr>
                <w:rFonts w:eastAsia="Times New Roman" w:cstheme="minorHAnsi"/>
                <w:b/>
                <w:bCs/>
                <w:sz w:val="20"/>
                <w:szCs w:val="20"/>
              </w:rPr>
              <w:t>25</w:t>
            </w:r>
            <w:r>
              <w:rPr>
                <w:rFonts w:eastAsia="Times New Roman" w:cstheme="minorHAnsi"/>
                <w:b/>
                <w:bCs/>
                <w:sz w:val="20"/>
                <w:szCs w:val="20"/>
              </w:rPr>
              <w:t> </w:t>
            </w:r>
            <w:r w:rsidRPr="005A5A66">
              <w:rPr>
                <w:rFonts w:eastAsia="Times New Roman" w:cstheme="minorHAnsi"/>
                <w:b/>
                <w:bCs/>
                <w:sz w:val="20"/>
                <w:szCs w:val="20"/>
              </w:rPr>
              <w:t>025</w:t>
            </w:r>
            <w:r>
              <w:rPr>
                <w:rFonts w:eastAsia="Times New Roman" w:cstheme="minorHAnsi"/>
                <w:b/>
                <w:bCs/>
                <w:sz w:val="20"/>
                <w:szCs w:val="20"/>
              </w:rPr>
              <w:t xml:space="preserve"> </w:t>
            </w:r>
            <w:r w:rsidRPr="005A5A66">
              <w:rPr>
                <w:rFonts w:eastAsia="Times New Roman" w:cstheme="minorHAnsi"/>
                <w:b/>
                <w:bCs/>
                <w:sz w:val="20"/>
                <w:szCs w:val="20"/>
              </w:rPr>
              <w:t>460</w:t>
            </w:r>
            <w:r>
              <w:rPr>
                <w:rFonts w:eastAsia="Times New Roman" w:cstheme="minorHAnsi"/>
                <w:b/>
                <w:bCs/>
                <w:sz w:val="20"/>
                <w:szCs w:val="20"/>
              </w:rPr>
              <w:t>,00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8A84BD"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25 024 788,00</w:t>
            </w:r>
          </w:p>
          <w:p w14:paraId="7E12FE7A"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39B99AE3" w14:textId="77777777" w:rsidR="002A4198" w:rsidRPr="00D90874" w:rsidRDefault="002A4198" w:rsidP="00411DC9">
            <w:pPr>
              <w:jc w:val="right"/>
              <w:rPr>
                <w:rFonts w:eastAsia="Times New Roman" w:cstheme="minorHAnsi"/>
                <w:b/>
                <w:bCs/>
                <w:sz w:val="20"/>
                <w:szCs w:val="20"/>
              </w:rPr>
            </w:pPr>
            <w:r>
              <w:rPr>
                <w:rFonts w:eastAsia="Times New Roman" w:cstheme="minorHAnsi"/>
                <w:b/>
                <w:bCs/>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77C704"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25 852 240,00</w:t>
            </w:r>
          </w:p>
          <w:p w14:paraId="2E1AA20C"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4EC765AC" w14:textId="77777777" w:rsidR="002A4198" w:rsidRPr="00D90874" w:rsidRDefault="002A4198" w:rsidP="00411DC9">
            <w:pPr>
              <w:jc w:val="right"/>
              <w:rPr>
                <w:rFonts w:eastAsia="Times New Roman" w:cstheme="minorHAnsi"/>
                <w:b/>
                <w:bCs/>
                <w:sz w:val="20"/>
                <w:szCs w:val="20"/>
              </w:rPr>
            </w:pPr>
            <w:r>
              <w:rPr>
                <w:rFonts w:eastAsia="Times New Roman" w:cstheme="minorHAnsi"/>
                <w:b/>
                <w:bCs/>
                <w:sz w:val="20"/>
                <w:szCs w:val="20"/>
              </w:rPr>
              <w:t>103,31</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9463FB" w14:textId="77777777" w:rsidR="002A4198" w:rsidRPr="00D90874" w:rsidRDefault="002A4198" w:rsidP="00411DC9">
            <w:pPr>
              <w:jc w:val="right"/>
              <w:rPr>
                <w:rFonts w:eastAsia="Times New Roman" w:cstheme="minorHAnsi"/>
                <w:b/>
                <w:bCs/>
                <w:sz w:val="20"/>
                <w:szCs w:val="20"/>
              </w:rPr>
            </w:pPr>
            <w:r w:rsidRPr="00D90874">
              <w:rPr>
                <w:rFonts w:eastAsia="Times New Roman" w:cstheme="minorHAnsi"/>
                <w:b/>
                <w:bCs/>
                <w:sz w:val="20"/>
                <w:szCs w:val="20"/>
              </w:rPr>
              <w:t xml:space="preserve">26 </w:t>
            </w:r>
            <w:r>
              <w:rPr>
                <w:rFonts w:eastAsia="Times New Roman" w:cstheme="minorHAnsi"/>
                <w:b/>
                <w:bCs/>
                <w:sz w:val="20"/>
                <w:szCs w:val="20"/>
              </w:rPr>
              <w:t>9</w:t>
            </w:r>
            <w:r w:rsidRPr="00D90874">
              <w:rPr>
                <w:rFonts w:eastAsia="Times New Roman" w:cstheme="minorHAnsi"/>
                <w:b/>
                <w:bCs/>
                <w:sz w:val="20"/>
                <w:szCs w:val="20"/>
              </w:rPr>
              <w:t>44 961,00</w:t>
            </w:r>
          </w:p>
          <w:p w14:paraId="21CC6EA0" w14:textId="77777777" w:rsidR="002A4198" w:rsidRPr="00D90874" w:rsidRDefault="002A4198" w:rsidP="00411DC9">
            <w:pPr>
              <w:jc w:val="right"/>
              <w:rPr>
                <w:rFonts w:eastAsia="Times New Roman" w:cstheme="minorHAnsi"/>
                <w:b/>
                <w:bCs/>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3ABCACD1" w14:textId="77777777" w:rsidR="002A4198" w:rsidRPr="0097779D" w:rsidRDefault="002A4198" w:rsidP="00411DC9">
            <w:pPr>
              <w:jc w:val="right"/>
              <w:rPr>
                <w:rFonts w:eastAsia="Times New Roman" w:cstheme="minorHAnsi"/>
                <w:b/>
                <w:bCs/>
                <w:sz w:val="20"/>
                <w:szCs w:val="20"/>
              </w:rPr>
            </w:pPr>
            <w:r w:rsidRPr="0097779D">
              <w:rPr>
                <w:rFonts w:eastAsia="Times New Roman" w:cstheme="minorHAnsi"/>
                <w:b/>
                <w:bCs/>
                <w:sz w:val="20"/>
                <w:szCs w:val="20"/>
              </w:rPr>
              <w:t>104,23</w:t>
            </w:r>
          </w:p>
        </w:tc>
      </w:tr>
      <w:tr w:rsidR="002A4198" w:rsidRPr="007F31C9" w14:paraId="288C014E"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749357" w14:textId="77777777" w:rsidR="002A4198" w:rsidRPr="007F31C9" w:rsidRDefault="002A4198" w:rsidP="00411DC9">
            <w:pPr>
              <w:rPr>
                <w:rFonts w:eastAsia="Times New Roman" w:cstheme="minorHAnsi"/>
              </w:rPr>
            </w:pPr>
            <w:r w:rsidRPr="007F31C9">
              <w:rPr>
                <w:rFonts w:eastAsia="Times New Roman" w:cstheme="minorHAnsi"/>
                <w:sz w:val="20"/>
                <w:szCs w:val="20"/>
              </w:rPr>
              <w:t>640</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45468D" w14:textId="77777777" w:rsidR="002A4198" w:rsidRPr="007F31C9" w:rsidRDefault="002A4198" w:rsidP="00411DC9">
            <w:pPr>
              <w:rPr>
                <w:rFonts w:eastAsia="Times New Roman" w:cstheme="minorHAnsi"/>
              </w:rPr>
            </w:pPr>
            <w:r w:rsidRPr="007F31C9">
              <w:rPr>
                <w:rFonts w:eastAsia="Times New Roman" w:cstheme="minorHAnsi"/>
                <w:sz w:val="20"/>
                <w:szCs w:val="20"/>
              </w:rPr>
              <w:t>Bežné transfery</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9B04FCF" w14:textId="77777777" w:rsidR="002A4198" w:rsidRPr="00CD60EF" w:rsidRDefault="002A4198" w:rsidP="00411DC9">
            <w:pPr>
              <w:jc w:val="right"/>
              <w:rPr>
                <w:rFonts w:eastAsia="Times New Roman" w:cstheme="minorHAnsi"/>
                <w:sz w:val="20"/>
                <w:szCs w:val="20"/>
              </w:rPr>
            </w:pPr>
            <w:r w:rsidRPr="00CD60EF">
              <w:rPr>
                <w:rFonts w:eastAsia="Times New Roman" w:cstheme="minorHAnsi"/>
                <w:sz w:val="20"/>
                <w:szCs w:val="20"/>
              </w:rPr>
              <w:t>25 025 460,00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F2A811" w14:textId="77777777" w:rsidR="002A4198" w:rsidRPr="00D90874" w:rsidRDefault="002A4198" w:rsidP="00411DC9">
            <w:pPr>
              <w:jc w:val="right"/>
              <w:rPr>
                <w:rFonts w:eastAsia="Times New Roman" w:cstheme="minorHAnsi"/>
                <w:sz w:val="20"/>
                <w:szCs w:val="20"/>
              </w:rPr>
            </w:pPr>
            <w:r w:rsidRPr="00D90874">
              <w:rPr>
                <w:rFonts w:eastAsia="Times New Roman" w:cstheme="minorHAnsi"/>
                <w:sz w:val="20"/>
                <w:szCs w:val="20"/>
              </w:rPr>
              <w:t>25 024 788,00</w:t>
            </w:r>
          </w:p>
          <w:p w14:paraId="072680C0" w14:textId="77777777" w:rsidR="002A4198" w:rsidRPr="00D90874" w:rsidRDefault="002A4198" w:rsidP="00411DC9">
            <w:pPr>
              <w:jc w:val="right"/>
              <w:rPr>
                <w:rFonts w:eastAsia="Times New Roman" w:cstheme="minorHAnsi"/>
                <w:sz w:val="20"/>
                <w:szCs w:val="20"/>
              </w:rPr>
            </w:pP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6B2600CB" w14:textId="77777777" w:rsidR="002A4198" w:rsidRPr="00D90874" w:rsidRDefault="002A4198" w:rsidP="00411DC9">
            <w:pPr>
              <w:jc w:val="right"/>
              <w:rPr>
                <w:rFonts w:eastAsia="Times New Roman" w:cstheme="minorHAnsi"/>
                <w:sz w:val="20"/>
                <w:szCs w:val="20"/>
              </w:rPr>
            </w:pPr>
            <w:r>
              <w:rPr>
                <w:rFonts w:eastAsia="Times New Roman" w:cstheme="minorHAnsi"/>
                <w:sz w:val="20"/>
                <w:szCs w:val="20"/>
              </w:rPr>
              <w:t>100,00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F94AAF" w14:textId="77777777" w:rsidR="002A4198" w:rsidRPr="00D90874" w:rsidRDefault="002A4198" w:rsidP="00411DC9">
            <w:pPr>
              <w:jc w:val="right"/>
              <w:rPr>
                <w:rFonts w:eastAsia="Times New Roman" w:cstheme="minorHAnsi"/>
                <w:sz w:val="20"/>
                <w:szCs w:val="20"/>
              </w:rPr>
            </w:pPr>
            <w:r w:rsidRPr="00D90874">
              <w:rPr>
                <w:rFonts w:eastAsia="Times New Roman" w:cstheme="minorHAnsi"/>
                <w:sz w:val="20"/>
                <w:szCs w:val="20"/>
              </w:rPr>
              <w:t>25 852 240,00</w:t>
            </w:r>
          </w:p>
          <w:p w14:paraId="15B2D473" w14:textId="77777777" w:rsidR="002A4198" w:rsidRPr="00D90874" w:rsidRDefault="002A4198" w:rsidP="00411DC9">
            <w:pPr>
              <w:jc w:val="right"/>
              <w:rPr>
                <w:rFonts w:eastAsia="Times New Roman" w:cstheme="minorHAnsi"/>
                <w:sz w:val="20"/>
                <w:szCs w:val="20"/>
              </w:rPr>
            </w:pP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088CEE16" w14:textId="77777777" w:rsidR="002A4198" w:rsidRPr="00D90874" w:rsidRDefault="002A4198" w:rsidP="00411DC9">
            <w:pPr>
              <w:jc w:val="right"/>
              <w:rPr>
                <w:rFonts w:eastAsia="Times New Roman" w:cstheme="minorHAnsi"/>
                <w:sz w:val="20"/>
                <w:szCs w:val="20"/>
              </w:rPr>
            </w:pPr>
            <w:r>
              <w:rPr>
                <w:rFonts w:eastAsia="Times New Roman" w:cstheme="minorHAnsi"/>
                <w:sz w:val="20"/>
                <w:szCs w:val="20"/>
              </w:rPr>
              <w:t>103,31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967F36" w14:textId="77777777" w:rsidR="002A4198" w:rsidRPr="00D90874" w:rsidRDefault="002A4198" w:rsidP="00411DC9">
            <w:pPr>
              <w:jc w:val="right"/>
              <w:rPr>
                <w:rFonts w:eastAsia="Times New Roman" w:cstheme="minorHAnsi"/>
                <w:sz w:val="20"/>
                <w:szCs w:val="20"/>
              </w:rPr>
            </w:pPr>
            <w:r w:rsidRPr="00D90874">
              <w:rPr>
                <w:rFonts w:eastAsia="Times New Roman" w:cstheme="minorHAnsi"/>
                <w:sz w:val="20"/>
                <w:szCs w:val="20"/>
              </w:rPr>
              <w:t xml:space="preserve">26 </w:t>
            </w:r>
            <w:r>
              <w:rPr>
                <w:rFonts w:eastAsia="Times New Roman" w:cstheme="minorHAnsi"/>
                <w:sz w:val="20"/>
                <w:szCs w:val="20"/>
              </w:rPr>
              <w:t>9</w:t>
            </w:r>
            <w:r w:rsidRPr="00D90874">
              <w:rPr>
                <w:rFonts w:eastAsia="Times New Roman" w:cstheme="minorHAnsi"/>
                <w:sz w:val="20"/>
                <w:szCs w:val="20"/>
              </w:rPr>
              <w:t>44 96,001</w:t>
            </w:r>
          </w:p>
          <w:p w14:paraId="259AFD75" w14:textId="77777777" w:rsidR="002A4198" w:rsidRPr="00D90874" w:rsidRDefault="002A4198" w:rsidP="00411DC9">
            <w:pPr>
              <w:jc w:val="right"/>
              <w:rPr>
                <w:rFonts w:eastAsia="Times New Roman" w:cstheme="minorHAnsi"/>
                <w:sz w:val="20"/>
                <w:szCs w:val="20"/>
              </w:rPr>
            </w:pP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45FA25E1" w14:textId="77777777" w:rsidR="002A4198" w:rsidRPr="0097779D" w:rsidRDefault="002A4198" w:rsidP="00411DC9">
            <w:pPr>
              <w:jc w:val="right"/>
              <w:rPr>
                <w:rFonts w:eastAsia="Times New Roman" w:cstheme="minorHAnsi"/>
                <w:sz w:val="20"/>
                <w:szCs w:val="20"/>
              </w:rPr>
            </w:pPr>
            <w:r w:rsidRPr="0097779D">
              <w:rPr>
                <w:rFonts w:eastAsia="Times New Roman" w:cstheme="minorHAnsi"/>
                <w:sz w:val="20"/>
                <w:szCs w:val="20"/>
              </w:rPr>
              <w:t>104,23</w:t>
            </w:r>
          </w:p>
        </w:tc>
      </w:tr>
    </w:tbl>
    <w:p w14:paraId="1E1ADBA3" w14:textId="77777777" w:rsidR="002A4198" w:rsidRPr="007F31C9" w:rsidRDefault="002A4198" w:rsidP="002A4198">
      <w:pPr>
        <w:pStyle w:val="Normlnywebov"/>
        <w:spacing w:before="0" w:beforeAutospacing="0" w:after="0" w:afterAutospacing="0"/>
        <w:rPr>
          <w:rFonts w:asciiTheme="minorHAnsi" w:hAnsiTheme="minorHAnsi" w:cstheme="minorHAnsi"/>
          <w:vanish/>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7"/>
        <w:gridCol w:w="1999"/>
        <w:gridCol w:w="1999"/>
        <w:gridCol w:w="1910"/>
        <w:gridCol w:w="1925"/>
      </w:tblGrid>
      <w:tr w:rsidR="002A4198" w:rsidRPr="007F31C9" w14:paraId="1B7DA841"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68CEF1" w14:textId="77777777" w:rsidR="002A4198" w:rsidRPr="007F31C9" w:rsidRDefault="002A4198" w:rsidP="00411DC9">
            <w:pPr>
              <w:rPr>
                <w:rFonts w:eastAsia="Times New Roman" w:cstheme="minorHAnsi"/>
              </w:rPr>
            </w:pPr>
            <w:r w:rsidRPr="007F31C9">
              <w:rPr>
                <w:rFonts w:eastAsia="Times New Roman" w:cstheme="minorHAnsi"/>
                <w:b/>
                <w:bCs/>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D7950B" w14:textId="77777777" w:rsidR="002A4198" w:rsidRPr="007F31C9" w:rsidRDefault="002A4198" w:rsidP="00411DC9">
            <w:pPr>
              <w:rPr>
                <w:rFonts w:eastAsia="Times New Roman" w:cstheme="minorHAnsi"/>
              </w:rPr>
            </w:pPr>
            <w:r w:rsidRPr="007F31C9">
              <w:rPr>
                <w:rFonts w:eastAsia="Times New Roman" w:cstheme="minorHAnsi"/>
              </w:rPr>
              <w:t>Odbor dopravy</w:t>
            </w:r>
            <w:r w:rsidRPr="007F31C9">
              <w:rPr>
                <w:rFonts w:eastAsia="Times New Roman" w:cstheme="minorHAnsi"/>
              </w:rPr>
              <w:br/>
            </w:r>
          </w:p>
        </w:tc>
      </w:tr>
      <w:tr w:rsidR="002A4198" w:rsidRPr="007F31C9" w14:paraId="642D93DA"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AC969C" w14:textId="77777777" w:rsidR="002A4198" w:rsidRPr="007F31C9" w:rsidRDefault="002A4198" w:rsidP="00411DC9">
            <w:pPr>
              <w:rPr>
                <w:rFonts w:eastAsia="Times New Roman" w:cstheme="minorHAnsi"/>
              </w:rPr>
            </w:pPr>
            <w:r w:rsidRPr="007F31C9">
              <w:rPr>
                <w:rFonts w:eastAsia="Times New Roman" w:cstheme="minorHAnsi"/>
                <w:b/>
                <w:bCs/>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1AC612" w14:textId="77777777" w:rsidR="002A4198" w:rsidRPr="007F31C9" w:rsidRDefault="002A4198" w:rsidP="00411DC9">
            <w:pPr>
              <w:rPr>
                <w:rFonts w:eastAsia="Times New Roman" w:cstheme="minorHAnsi"/>
              </w:rPr>
            </w:pPr>
            <w:r w:rsidRPr="007F31C9">
              <w:rPr>
                <w:rFonts w:eastAsia="Times New Roman" w:cstheme="minorHAnsi"/>
                <w:b/>
                <w:bCs/>
              </w:rPr>
              <w:t>Zabezpečiť atraktívnosť hromadnej autobusovej dopravy</w:t>
            </w:r>
          </w:p>
        </w:tc>
      </w:tr>
      <w:tr w:rsidR="002A4198" w:rsidRPr="007F31C9" w14:paraId="0C405654"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8E0104" w14:textId="77777777" w:rsidR="002A4198" w:rsidRPr="007F31C9" w:rsidRDefault="002A4198" w:rsidP="00411DC9">
            <w:pPr>
              <w:rPr>
                <w:rFonts w:eastAsia="Times New Roman" w:cstheme="minorHAnsi"/>
              </w:rPr>
            </w:pPr>
            <w:r w:rsidRPr="007F31C9">
              <w:rPr>
                <w:rFonts w:eastAsia="Times New Roman" w:cstheme="minorHAnsi"/>
                <w:b/>
                <w:bCs/>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C9C2BB" w14:textId="77777777" w:rsidR="002A4198" w:rsidRPr="007F31C9" w:rsidRDefault="002A4198" w:rsidP="00411DC9">
            <w:pPr>
              <w:rPr>
                <w:rFonts w:eastAsia="Times New Roman" w:cstheme="minorHAnsi"/>
              </w:rPr>
            </w:pPr>
            <w:r w:rsidRPr="007F31C9">
              <w:rPr>
                <w:rFonts w:eastAsia="Times New Roman" w:cstheme="minorHAnsi"/>
              </w:rPr>
              <w:t>Počet dopravných výkonov (v km) autobusovou dopravou spolu za rok</w:t>
            </w:r>
          </w:p>
        </w:tc>
      </w:tr>
      <w:tr w:rsidR="002A4198" w:rsidRPr="007F31C9" w14:paraId="51BCF968"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3C988E" w14:textId="77777777" w:rsidR="002A4198" w:rsidRPr="007F31C9" w:rsidRDefault="002A4198" w:rsidP="00411DC9">
            <w:pPr>
              <w:rPr>
                <w:rFonts w:eastAsia="Times New Roman" w:cstheme="minorHAnsi"/>
              </w:rPr>
            </w:pPr>
            <w:r w:rsidRPr="007F31C9">
              <w:rPr>
                <w:rFonts w:eastAsia="Times New Roman" w:cstheme="minorHAnsi"/>
                <w:b/>
                <w:bCs/>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B5305C" w14:textId="77777777" w:rsidR="002A4198" w:rsidRPr="007F31C9" w:rsidRDefault="002A4198" w:rsidP="00411DC9">
            <w:pPr>
              <w:jc w:val="center"/>
              <w:rPr>
                <w:rFonts w:eastAsia="Times New Roman" w:cstheme="minorHAnsi"/>
              </w:rPr>
            </w:pPr>
            <w:r w:rsidRPr="007F31C9">
              <w:rPr>
                <w:rFonts w:eastAsia="Times New Roman" w:cstheme="minorHAnsi"/>
              </w:rPr>
              <w:t>202</w:t>
            </w:r>
            <w:r>
              <w:rPr>
                <w:rFonts w:eastAsia="Times New Roman" w:cstheme="minorHAnsi"/>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0D4325" w14:textId="77777777" w:rsidR="002A4198" w:rsidRPr="007F31C9" w:rsidRDefault="002A4198" w:rsidP="00411DC9">
            <w:pPr>
              <w:jc w:val="center"/>
              <w:rPr>
                <w:rFonts w:eastAsia="Times New Roman" w:cstheme="minorHAnsi"/>
              </w:rPr>
            </w:pPr>
            <w:r w:rsidRPr="007F31C9">
              <w:rPr>
                <w:rFonts w:eastAsia="Times New Roman" w:cstheme="minorHAnsi"/>
                <w:b/>
                <w:bCs/>
              </w:rPr>
              <w:t>202</w:t>
            </w:r>
            <w:r>
              <w:rPr>
                <w:rFonts w:eastAsia="Times New Roman" w:cstheme="minorHAnsi"/>
                <w:b/>
                <w:bCs/>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D59085" w14:textId="77777777" w:rsidR="002A4198" w:rsidRPr="007F31C9" w:rsidRDefault="002A4198" w:rsidP="00411DC9">
            <w:pPr>
              <w:jc w:val="center"/>
              <w:rPr>
                <w:rFonts w:eastAsia="Times New Roman" w:cstheme="minorHAnsi"/>
              </w:rPr>
            </w:pPr>
            <w:r w:rsidRPr="007F31C9">
              <w:rPr>
                <w:rFonts w:eastAsia="Times New Roman" w:cstheme="minorHAnsi"/>
              </w:rPr>
              <w:t>202</w:t>
            </w:r>
            <w:r>
              <w:rPr>
                <w:rFonts w:eastAsia="Times New Roman" w:cstheme="minorHAnsi"/>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16335B" w14:textId="77777777" w:rsidR="002A4198" w:rsidRPr="007F31C9" w:rsidRDefault="002A4198" w:rsidP="00411DC9">
            <w:pPr>
              <w:jc w:val="center"/>
              <w:rPr>
                <w:rFonts w:eastAsia="Times New Roman" w:cstheme="minorHAnsi"/>
              </w:rPr>
            </w:pPr>
            <w:r w:rsidRPr="007F31C9">
              <w:rPr>
                <w:rFonts w:eastAsia="Times New Roman" w:cstheme="minorHAnsi"/>
              </w:rPr>
              <w:t>202</w:t>
            </w:r>
            <w:r>
              <w:rPr>
                <w:rFonts w:eastAsia="Times New Roman" w:cstheme="minorHAnsi"/>
              </w:rPr>
              <w:t>7</w:t>
            </w:r>
          </w:p>
        </w:tc>
      </w:tr>
      <w:tr w:rsidR="002A4198" w:rsidRPr="007F31C9" w14:paraId="39983415"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B8F255" w14:textId="77777777" w:rsidR="002A4198" w:rsidRPr="007F31C9" w:rsidRDefault="002A4198" w:rsidP="00411DC9">
            <w:pPr>
              <w:rPr>
                <w:rFonts w:eastAsia="Times New Roman" w:cstheme="minorHAnsi"/>
              </w:rPr>
            </w:pPr>
            <w:r w:rsidRPr="007F31C9">
              <w:rPr>
                <w:rFonts w:eastAsia="Times New Roman" w:cstheme="minorHAnsi"/>
                <w:b/>
                <w:bCs/>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3581C5" w14:textId="77777777" w:rsidR="002A4198" w:rsidRPr="007F31C9" w:rsidRDefault="002A4198" w:rsidP="00411DC9">
            <w:pPr>
              <w:jc w:val="center"/>
              <w:rPr>
                <w:rFonts w:eastAsia="Times New Roman" w:cstheme="minorHAnsi"/>
              </w:rPr>
            </w:pPr>
            <w:r w:rsidRPr="007F31C9">
              <w:rPr>
                <w:rFonts w:eastAsia="Times New Roman" w:cstheme="minorHAnsi"/>
              </w:rPr>
              <w:t> </w:t>
            </w:r>
            <w:r>
              <w:t>14 777 909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C022B4" w14:textId="77777777" w:rsidR="002A4198" w:rsidRPr="007F31C9" w:rsidRDefault="002A4198" w:rsidP="00411DC9">
            <w:pPr>
              <w:jc w:val="center"/>
              <w:rPr>
                <w:rFonts w:eastAsia="Times New Roman" w:cstheme="minorHAnsi"/>
              </w:rPr>
            </w:pPr>
            <w:r w:rsidRPr="007F31C9">
              <w:rPr>
                <w:rFonts w:eastAsia="Times New Roman" w:cstheme="minorHAnsi"/>
                <w:b/>
                <w:bCs/>
              </w:rPr>
              <w:t> </w:t>
            </w:r>
            <w:r>
              <w:rPr>
                <w:rFonts w:eastAsia="Times New Roman" w:cstheme="minorHAnsi"/>
                <w:b/>
                <w:bCs/>
              </w:rPr>
              <w:t>14 834 881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003FD0" w14:textId="77777777" w:rsidR="002A4198" w:rsidRPr="007F31C9" w:rsidRDefault="002A4198" w:rsidP="00411DC9">
            <w:pPr>
              <w:jc w:val="center"/>
              <w:rPr>
                <w:rFonts w:eastAsia="Times New Roman" w:cstheme="minorHAnsi"/>
              </w:rPr>
            </w:pPr>
            <w:bookmarkStart w:id="3" w:name="_Hlk178257815"/>
            <w:r>
              <w:rPr>
                <w:rFonts w:eastAsia="Times New Roman" w:cstheme="minorHAnsi"/>
              </w:rPr>
              <w:t>14 878 039</w:t>
            </w:r>
            <w:bookmarkEnd w:id="3"/>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9CE208" w14:textId="77777777" w:rsidR="002A4198" w:rsidRPr="007F31C9" w:rsidRDefault="002A4198" w:rsidP="00411DC9">
            <w:pPr>
              <w:jc w:val="center"/>
              <w:rPr>
                <w:rFonts w:eastAsia="Times New Roman" w:cstheme="minorHAnsi"/>
              </w:rPr>
            </w:pPr>
            <w:r>
              <w:rPr>
                <w:rFonts w:eastAsia="Times New Roman" w:cstheme="minorHAnsi"/>
              </w:rPr>
              <w:t>14 899 090</w:t>
            </w:r>
          </w:p>
        </w:tc>
      </w:tr>
    </w:tbl>
    <w:p w14:paraId="1F12E80A" w14:textId="77777777" w:rsidR="002A4198" w:rsidRDefault="002A4198" w:rsidP="002A4198">
      <w:pPr>
        <w:pStyle w:val="Normlnywebov"/>
        <w:jc w:val="both"/>
        <w:rPr>
          <w:rFonts w:asciiTheme="minorHAnsi" w:hAnsiTheme="minorHAnsi" w:cstheme="minorHAnsi"/>
        </w:rPr>
      </w:pPr>
      <w:r w:rsidRPr="007F31C9">
        <w:rPr>
          <w:rFonts w:asciiTheme="minorHAnsi" w:hAnsiTheme="minorHAnsi" w:cstheme="minorHAnsi"/>
          <w:b/>
          <w:bCs/>
        </w:rPr>
        <w:t xml:space="preserve">Komentár: </w:t>
      </w:r>
      <w:r w:rsidRPr="007F31C9">
        <w:rPr>
          <w:rFonts w:asciiTheme="minorHAnsi" w:hAnsiTheme="minorHAnsi" w:cstheme="minorHAnsi"/>
        </w:rPr>
        <w:t>Celkový objem objednaných kilometrov z cestovných poriadkov pre rok 202</w:t>
      </w:r>
      <w:r>
        <w:rPr>
          <w:rFonts w:asciiTheme="minorHAnsi" w:hAnsiTheme="minorHAnsi" w:cstheme="minorHAnsi"/>
        </w:rPr>
        <w:t>5</w:t>
      </w:r>
      <w:r w:rsidRPr="007F31C9">
        <w:rPr>
          <w:rFonts w:asciiTheme="minorHAnsi" w:hAnsiTheme="minorHAnsi" w:cstheme="minorHAnsi"/>
        </w:rPr>
        <w:t xml:space="preserve"> bude </w:t>
      </w:r>
      <w:r>
        <w:rPr>
          <w:rFonts w:asciiTheme="minorHAnsi" w:hAnsiTheme="minorHAnsi" w:cstheme="minorHAnsi"/>
        </w:rPr>
        <w:t xml:space="preserve">iba mierne </w:t>
      </w:r>
      <w:r w:rsidRPr="007F31C9">
        <w:rPr>
          <w:rFonts w:asciiTheme="minorHAnsi" w:hAnsiTheme="minorHAnsi" w:cstheme="minorHAnsi"/>
        </w:rPr>
        <w:t>vyšší ako bol v roku 202</w:t>
      </w:r>
      <w:r>
        <w:rPr>
          <w:rFonts w:asciiTheme="minorHAnsi" w:hAnsiTheme="minorHAnsi" w:cstheme="minorHAnsi"/>
        </w:rPr>
        <w:t>4</w:t>
      </w:r>
      <w:r w:rsidRPr="007F31C9">
        <w:rPr>
          <w:rFonts w:asciiTheme="minorHAnsi" w:hAnsiTheme="minorHAnsi" w:cstheme="minorHAnsi"/>
        </w:rPr>
        <w:t xml:space="preserve">. </w:t>
      </w:r>
      <w:r>
        <w:rPr>
          <w:rFonts w:asciiTheme="minorHAnsi" w:hAnsiTheme="minorHAnsi" w:cstheme="minorHAnsi"/>
        </w:rPr>
        <w:t xml:space="preserve">Neočakáva sa zásadná zmena cestovných poriadkov. </w:t>
      </w:r>
      <w:r w:rsidRPr="007F31C9">
        <w:rPr>
          <w:rFonts w:asciiTheme="minorHAnsi" w:hAnsiTheme="minorHAnsi" w:cstheme="minorHAnsi"/>
        </w:rPr>
        <w:t xml:space="preserve">Objednané výkony budú na úrovni </w:t>
      </w:r>
      <w:r w:rsidRPr="004F479E">
        <w:rPr>
          <w:rFonts w:asciiTheme="minorHAnsi" w:hAnsiTheme="minorHAnsi" w:cstheme="minorHAnsi"/>
        </w:rPr>
        <w:t>14 834 881</w:t>
      </w:r>
      <w:r w:rsidRPr="007F31C9">
        <w:rPr>
          <w:rFonts w:asciiTheme="minorHAnsi" w:hAnsiTheme="minorHAnsi" w:cstheme="minorHAnsi"/>
        </w:rPr>
        <w:t xml:space="preserve"> km. V roku 202</w:t>
      </w:r>
      <w:r>
        <w:rPr>
          <w:rFonts w:asciiTheme="minorHAnsi" w:hAnsiTheme="minorHAnsi" w:cstheme="minorHAnsi"/>
        </w:rPr>
        <w:t>6</w:t>
      </w:r>
      <w:r w:rsidRPr="007F31C9">
        <w:rPr>
          <w:rFonts w:asciiTheme="minorHAnsi" w:hAnsiTheme="minorHAnsi" w:cstheme="minorHAnsi"/>
        </w:rPr>
        <w:t xml:space="preserve"> budú objednané dopravné výkony na úrovni </w:t>
      </w:r>
      <w:r w:rsidRPr="004F479E">
        <w:rPr>
          <w:rFonts w:asciiTheme="minorHAnsi" w:hAnsiTheme="minorHAnsi" w:cstheme="minorHAnsi"/>
        </w:rPr>
        <w:t>14 878 039</w:t>
      </w:r>
      <w:r w:rsidRPr="007F31C9">
        <w:rPr>
          <w:rFonts w:asciiTheme="minorHAnsi" w:hAnsiTheme="minorHAnsi" w:cstheme="minorHAnsi"/>
        </w:rPr>
        <w:t xml:space="preserve"> km a v roku 202</w:t>
      </w:r>
      <w:r>
        <w:rPr>
          <w:rFonts w:asciiTheme="minorHAnsi" w:hAnsiTheme="minorHAnsi" w:cstheme="minorHAnsi"/>
        </w:rPr>
        <w:t>7</w:t>
      </w:r>
      <w:r w:rsidRPr="007F31C9">
        <w:rPr>
          <w:rFonts w:asciiTheme="minorHAnsi" w:hAnsiTheme="minorHAnsi" w:cstheme="minorHAnsi"/>
        </w:rPr>
        <w:t xml:space="preserve"> budú </w:t>
      </w:r>
      <w:r w:rsidRPr="004F479E">
        <w:rPr>
          <w:rFonts w:asciiTheme="minorHAnsi" w:hAnsiTheme="minorHAnsi" w:cstheme="minorHAnsi"/>
        </w:rPr>
        <w:t>14 899 090</w:t>
      </w:r>
      <w:r w:rsidRPr="007F31C9">
        <w:rPr>
          <w:rFonts w:asciiTheme="minorHAnsi" w:hAnsiTheme="minorHAnsi" w:cstheme="minorHAnsi"/>
        </w:rPr>
        <w:t xml:space="preserve"> km. Nárast kilometrov na rok 202</w:t>
      </w:r>
      <w:r>
        <w:rPr>
          <w:rFonts w:asciiTheme="minorHAnsi" w:hAnsiTheme="minorHAnsi" w:cstheme="minorHAnsi"/>
        </w:rPr>
        <w:t>5</w:t>
      </w:r>
      <w:r w:rsidRPr="007F31C9">
        <w:rPr>
          <w:rFonts w:asciiTheme="minorHAnsi" w:hAnsiTheme="minorHAnsi" w:cstheme="minorHAnsi"/>
        </w:rPr>
        <w:t xml:space="preserve"> je spôsobený pridávaním dopravných výkonov </w:t>
      </w:r>
      <w:r>
        <w:rPr>
          <w:rFonts w:asciiTheme="minorHAnsi" w:hAnsiTheme="minorHAnsi" w:cstheme="minorHAnsi"/>
        </w:rPr>
        <w:t xml:space="preserve">už počas roka 2024 </w:t>
      </w:r>
      <w:r w:rsidRPr="007F31C9">
        <w:rPr>
          <w:rFonts w:asciiTheme="minorHAnsi" w:hAnsiTheme="minorHAnsi" w:cstheme="minorHAnsi"/>
        </w:rPr>
        <w:t>z dôvodu nárastu počtu prepravených cestujúcich a s tým spojenej nedostatočnej kapacity spojov zo silných smerov a v zmysle oprávnených požiadaviek cestujúcich.</w:t>
      </w:r>
    </w:p>
    <w:p w14:paraId="335C9C61" w14:textId="77777777" w:rsidR="002A4198" w:rsidRPr="00E7762B" w:rsidRDefault="002A4198" w:rsidP="002A4198">
      <w:pPr>
        <w:pStyle w:val="Normlnywebov"/>
        <w:jc w:val="both"/>
        <w:rPr>
          <w:rFonts w:asciiTheme="minorHAnsi" w:hAnsiTheme="minorHAnsi" w:cstheme="minorHAnsi"/>
        </w:rPr>
      </w:pPr>
      <w:r w:rsidRPr="007F31C9">
        <w:rPr>
          <w:rFonts w:asciiTheme="minorHAnsi" w:hAnsiTheme="minorHAnsi" w:cstheme="minorHAnsi"/>
        </w:rPr>
        <w:t xml:space="preserve">Nárast výdavkov na PAD je spôsobený </w:t>
      </w:r>
      <w:r>
        <w:rPr>
          <w:rFonts w:asciiTheme="minorHAnsi" w:hAnsiTheme="minorHAnsi" w:cstheme="minorHAnsi"/>
        </w:rPr>
        <w:t xml:space="preserve">najmä indexáciou nákladov v zmysle Zmluvy medzi BSK a dopravcom ARRIVA Mobility Solutions, s.r.o., ako </w:t>
      </w:r>
      <w:r w:rsidRPr="007F31C9">
        <w:rPr>
          <w:rFonts w:asciiTheme="minorHAnsi" w:hAnsiTheme="minorHAnsi" w:cstheme="minorHAnsi"/>
        </w:rPr>
        <w:t xml:space="preserve">aj stále </w:t>
      </w:r>
      <w:r>
        <w:rPr>
          <w:rFonts w:asciiTheme="minorHAnsi" w:hAnsiTheme="minorHAnsi" w:cstheme="minorHAnsi"/>
        </w:rPr>
        <w:t>prítomnou</w:t>
      </w:r>
      <w:r w:rsidRPr="007F31C9">
        <w:rPr>
          <w:rFonts w:asciiTheme="minorHAnsi" w:hAnsiTheme="minorHAnsi" w:cstheme="minorHAnsi"/>
        </w:rPr>
        <w:t xml:space="preserve"> mierou inflácie, ktorá </w:t>
      </w:r>
      <w:r>
        <w:rPr>
          <w:rFonts w:asciiTheme="minorHAnsi" w:hAnsiTheme="minorHAnsi" w:cstheme="minorHAnsi"/>
        </w:rPr>
        <w:t xml:space="preserve">za obdobie 1-8/2024 priemerne dosiahla 2,68%. </w:t>
      </w:r>
      <w:r w:rsidRPr="007F31C9">
        <w:rPr>
          <w:rFonts w:asciiTheme="minorHAnsi" w:hAnsiTheme="minorHAnsi" w:cstheme="minorHAnsi"/>
        </w:rPr>
        <w:t xml:space="preserve">S rastom inflácie sú spojené aj vyššie náklady na pohonné látky. </w:t>
      </w:r>
    </w:p>
    <w:p w14:paraId="02E7F96D" w14:textId="77777777" w:rsidR="002A4198" w:rsidRDefault="002A4198" w:rsidP="002A4198">
      <w:pPr>
        <w:spacing w:before="100" w:beforeAutospacing="1" w:after="100" w:afterAutospacing="1" w:line="240" w:lineRule="auto"/>
        <w:jc w:val="both"/>
        <w:rPr>
          <w:rFonts w:eastAsia="Times New Roman" w:cstheme="minorHAnsi"/>
          <w:sz w:val="24"/>
          <w:szCs w:val="24"/>
          <w:lang w:eastAsia="sk-SK"/>
        </w:rPr>
      </w:pPr>
      <w:r w:rsidRPr="00710F8D">
        <w:rPr>
          <w:rFonts w:eastAsia="Times New Roman" w:cstheme="minorHAnsi"/>
          <w:sz w:val="24"/>
          <w:szCs w:val="24"/>
          <w:lang w:eastAsia="sk-SK"/>
        </w:rPr>
        <w:t>V zmysle schválených cestovných poriadkov predpokladáme v roku 202</w:t>
      </w:r>
      <w:r>
        <w:rPr>
          <w:rFonts w:eastAsia="Times New Roman" w:cstheme="minorHAnsi"/>
          <w:sz w:val="24"/>
          <w:szCs w:val="24"/>
          <w:lang w:eastAsia="sk-SK"/>
        </w:rPr>
        <w:t xml:space="preserve">5 </w:t>
      </w:r>
      <w:r w:rsidRPr="00710F8D">
        <w:rPr>
          <w:rFonts w:eastAsia="Times New Roman" w:cstheme="minorHAnsi"/>
          <w:sz w:val="24"/>
          <w:szCs w:val="24"/>
          <w:lang w:eastAsia="sk-SK"/>
        </w:rPr>
        <w:t>poč</w:t>
      </w:r>
      <w:r>
        <w:rPr>
          <w:rFonts w:eastAsia="Times New Roman" w:cstheme="minorHAnsi"/>
          <w:sz w:val="24"/>
          <w:szCs w:val="24"/>
          <w:lang w:eastAsia="sk-SK"/>
        </w:rPr>
        <w:t>e</w:t>
      </w:r>
      <w:r w:rsidRPr="00710F8D">
        <w:rPr>
          <w:rFonts w:eastAsia="Times New Roman" w:cstheme="minorHAnsi"/>
          <w:sz w:val="24"/>
          <w:szCs w:val="24"/>
          <w:lang w:eastAsia="sk-SK"/>
        </w:rPr>
        <w:t>t prepravených cestujúcich</w:t>
      </w:r>
      <w:r>
        <w:rPr>
          <w:rFonts w:eastAsia="Times New Roman" w:cstheme="minorHAnsi"/>
          <w:sz w:val="24"/>
          <w:szCs w:val="24"/>
          <w:lang w:eastAsia="sk-SK"/>
        </w:rPr>
        <w:t xml:space="preserve"> vyšší o 1% oproti roku 2024, na úrovni </w:t>
      </w:r>
      <w:proofErr w:type="spellStart"/>
      <w:r>
        <w:rPr>
          <w:rFonts w:eastAsia="Times New Roman" w:cstheme="minorHAnsi"/>
          <w:sz w:val="24"/>
          <w:szCs w:val="24"/>
          <w:lang w:eastAsia="sk-SK"/>
        </w:rPr>
        <w:t>predpandemicého</w:t>
      </w:r>
      <w:proofErr w:type="spellEnd"/>
      <w:r>
        <w:rPr>
          <w:rFonts w:eastAsia="Times New Roman" w:cstheme="minorHAnsi"/>
          <w:sz w:val="24"/>
          <w:szCs w:val="24"/>
          <w:lang w:eastAsia="sk-SK"/>
        </w:rPr>
        <w:t xml:space="preserve"> roku 2019</w:t>
      </w:r>
      <w:r w:rsidRPr="00710F8D">
        <w:rPr>
          <w:rFonts w:eastAsia="Times New Roman" w:cstheme="minorHAnsi"/>
          <w:sz w:val="24"/>
          <w:szCs w:val="24"/>
          <w:lang w:eastAsia="sk-SK"/>
        </w:rPr>
        <w:t>. V rokoch 202</w:t>
      </w:r>
      <w:r>
        <w:rPr>
          <w:rFonts w:eastAsia="Times New Roman" w:cstheme="minorHAnsi"/>
          <w:sz w:val="24"/>
          <w:szCs w:val="24"/>
          <w:lang w:eastAsia="sk-SK"/>
        </w:rPr>
        <w:t>6</w:t>
      </w:r>
      <w:r w:rsidRPr="00710F8D">
        <w:rPr>
          <w:rFonts w:eastAsia="Times New Roman" w:cstheme="minorHAnsi"/>
          <w:sz w:val="24"/>
          <w:szCs w:val="24"/>
          <w:lang w:eastAsia="sk-SK"/>
        </w:rPr>
        <w:t xml:space="preserve"> a 202</w:t>
      </w:r>
      <w:r>
        <w:rPr>
          <w:rFonts w:eastAsia="Times New Roman" w:cstheme="minorHAnsi"/>
          <w:sz w:val="24"/>
          <w:szCs w:val="24"/>
          <w:lang w:eastAsia="sk-SK"/>
        </w:rPr>
        <w:t>7</w:t>
      </w:r>
      <w:r w:rsidRPr="00710F8D">
        <w:rPr>
          <w:rFonts w:eastAsia="Times New Roman" w:cstheme="minorHAnsi"/>
          <w:sz w:val="24"/>
          <w:szCs w:val="24"/>
          <w:lang w:eastAsia="sk-SK"/>
        </w:rPr>
        <w:t xml:space="preserve"> predpokladáme </w:t>
      </w:r>
      <w:r>
        <w:rPr>
          <w:rFonts w:eastAsia="Times New Roman" w:cstheme="minorHAnsi"/>
          <w:sz w:val="24"/>
          <w:szCs w:val="24"/>
          <w:lang w:eastAsia="sk-SK"/>
        </w:rPr>
        <w:t>každoročne 1</w:t>
      </w:r>
      <w:r w:rsidRPr="00710F8D">
        <w:rPr>
          <w:rFonts w:eastAsia="Times New Roman" w:cstheme="minorHAnsi"/>
          <w:sz w:val="24"/>
          <w:szCs w:val="24"/>
          <w:lang w:eastAsia="sk-SK"/>
        </w:rPr>
        <w:t xml:space="preserve">% ročný nárast </w:t>
      </w:r>
      <w:r>
        <w:rPr>
          <w:rFonts w:eastAsia="Times New Roman" w:cstheme="minorHAnsi"/>
          <w:sz w:val="24"/>
          <w:szCs w:val="24"/>
          <w:lang w:eastAsia="sk-SK"/>
        </w:rPr>
        <w:t xml:space="preserve">počtu prepravených </w:t>
      </w:r>
      <w:r w:rsidRPr="00710F8D">
        <w:rPr>
          <w:rFonts w:eastAsia="Times New Roman" w:cstheme="minorHAnsi"/>
          <w:sz w:val="24"/>
          <w:szCs w:val="24"/>
          <w:lang w:eastAsia="sk-SK"/>
        </w:rPr>
        <w:t xml:space="preserve">cestujúcich. Z toho dôvodu predpokladáme </w:t>
      </w:r>
      <w:r>
        <w:rPr>
          <w:rFonts w:eastAsia="Times New Roman" w:cstheme="minorHAnsi"/>
          <w:sz w:val="24"/>
          <w:szCs w:val="24"/>
          <w:lang w:eastAsia="sk-SK"/>
        </w:rPr>
        <w:t xml:space="preserve">v rokoch 2026 2027 aj s </w:t>
      </w:r>
      <w:r w:rsidRPr="00710F8D">
        <w:rPr>
          <w:rFonts w:eastAsia="Times New Roman" w:cstheme="minorHAnsi"/>
          <w:sz w:val="24"/>
          <w:szCs w:val="24"/>
          <w:lang w:eastAsia="sk-SK"/>
        </w:rPr>
        <w:t>nárastom tržieb.</w:t>
      </w:r>
      <w:r>
        <w:rPr>
          <w:rFonts w:eastAsia="Times New Roman" w:cstheme="minorHAnsi"/>
          <w:sz w:val="24"/>
          <w:szCs w:val="24"/>
          <w:lang w:eastAsia="sk-SK"/>
        </w:rPr>
        <w:t xml:space="preserve"> V roku 2025 oproti 2024 nepredpokladáme s nárastom tržieb z dôvodu zvýšenej sadzby DPH. </w:t>
      </w:r>
      <w:r w:rsidRPr="00710F8D">
        <w:rPr>
          <w:rFonts w:eastAsia="Times New Roman" w:cstheme="minorHAnsi"/>
          <w:sz w:val="24"/>
          <w:szCs w:val="24"/>
          <w:lang w:eastAsia="sk-SK"/>
        </w:rPr>
        <w:t>Priemerný stav vodičov bude v réžii dopravcu pri evidovaných 225 autobusoch.</w:t>
      </w:r>
    </w:p>
    <w:p w14:paraId="18588951" w14:textId="281561DF" w:rsidR="002A4198" w:rsidRDefault="002A4198" w:rsidP="002A4198">
      <w:pPr>
        <w:spacing w:after="0" w:line="240" w:lineRule="auto"/>
        <w:jc w:val="both"/>
        <w:rPr>
          <w:rFonts w:eastAsia="Times New Roman" w:cstheme="minorHAnsi"/>
          <w:sz w:val="24"/>
          <w:szCs w:val="24"/>
          <w:lang w:eastAsia="sk-SK"/>
        </w:rPr>
      </w:pPr>
      <w:r>
        <w:rPr>
          <w:rFonts w:eastAsia="Times New Roman" w:cstheme="minorHAnsi"/>
          <w:sz w:val="24"/>
          <w:szCs w:val="24"/>
          <w:lang w:eastAsia="sk-SK"/>
        </w:rPr>
        <w:t>Na refundácie bonusových zliav pre ARRIVA je vyčlenených 150 000</w:t>
      </w:r>
      <w:r w:rsidR="00BA113E">
        <w:rPr>
          <w:rFonts w:eastAsia="Times New Roman" w:cstheme="minorHAnsi"/>
          <w:sz w:val="24"/>
          <w:szCs w:val="24"/>
          <w:lang w:eastAsia="sk-SK"/>
        </w:rPr>
        <w:t xml:space="preserve"> </w:t>
      </w:r>
      <w:r>
        <w:rPr>
          <w:rFonts w:eastAsia="Times New Roman" w:cstheme="minorHAnsi"/>
          <w:sz w:val="24"/>
          <w:szCs w:val="24"/>
          <w:lang w:eastAsia="sk-SK"/>
        </w:rPr>
        <w:t>€ ročne.</w:t>
      </w:r>
    </w:p>
    <w:p w14:paraId="17989D2E" w14:textId="57587F74" w:rsidR="002A4198" w:rsidRDefault="002A4198" w:rsidP="002A4198">
      <w:pPr>
        <w:spacing w:after="100" w:afterAutospacing="1" w:line="240" w:lineRule="auto"/>
        <w:jc w:val="both"/>
        <w:rPr>
          <w:rFonts w:eastAsia="Times New Roman" w:cstheme="minorHAnsi"/>
          <w:sz w:val="24"/>
          <w:szCs w:val="24"/>
          <w:lang w:eastAsia="sk-SK"/>
        </w:rPr>
      </w:pPr>
      <w:r>
        <w:rPr>
          <w:rFonts w:eastAsia="Times New Roman" w:cstheme="minorHAnsi"/>
          <w:sz w:val="24"/>
          <w:szCs w:val="24"/>
          <w:lang w:eastAsia="sk-SK"/>
        </w:rPr>
        <w:t>Na refundácie bonusových zliav pre DPB je vyčlenených 160 000</w:t>
      </w:r>
      <w:r w:rsidR="00BA113E">
        <w:rPr>
          <w:rFonts w:eastAsia="Times New Roman" w:cstheme="minorHAnsi"/>
          <w:sz w:val="24"/>
          <w:szCs w:val="24"/>
          <w:lang w:eastAsia="sk-SK"/>
        </w:rPr>
        <w:t xml:space="preserve"> </w:t>
      </w:r>
      <w:r>
        <w:rPr>
          <w:rFonts w:eastAsia="Times New Roman" w:cstheme="minorHAnsi"/>
          <w:sz w:val="24"/>
          <w:szCs w:val="24"/>
          <w:lang w:eastAsia="sk-SK"/>
        </w:rPr>
        <w:t>€ ročne.</w:t>
      </w:r>
    </w:p>
    <w:tbl>
      <w:tblPr>
        <w:tblStyle w:val="Mriekatabuky"/>
        <w:tblW w:w="0" w:type="auto"/>
        <w:tblLook w:val="04A0" w:firstRow="1" w:lastRow="0" w:firstColumn="1" w:lastColumn="0" w:noHBand="0" w:noVBand="1"/>
      </w:tblPr>
      <w:tblGrid>
        <w:gridCol w:w="3823"/>
        <w:gridCol w:w="2409"/>
        <w:gridCol w:w="2268"/>
        <w:gridCol w:w="1956"/>
      </w:tblGrid>
      <w:tr w:rsidR="002A4198" w14:paraId="27D0A58E" w14:textId="77777777" w:rsidTr="00411DC9">
        <w:tc>
          <w:tcPr>
            <w:tcW w:w="3823" w:type="dxa"/>
            <w:shd w:val="clear" w:color="auto" w:fill="AABBEB"/>
          </w:tcPr>
          <w:p w14:paraId="54D2B365" w14:textId="77777777" w:rsidR="002A4198" w:rsidRPr="00C134BD" w:rsidRDefault="002A4198" w:rsidP="00411DC9">
            <w:pPr>
              <w:spacing w:before="100" w:beforeAutospacing="1" w:after="100" w:afterAutospacing="1"/>
              <w:rPr>
                <w:rFonts w:eastAsia="Times New Roman" w:cstheme="minorHAnsi"/>
                <w:b/>
                <w:bCs/>
                <w:sz w:val="24"/>
                <w:szCs w:val="24"/>
                <w:lang w:eastAsia="sk-SK"/>
              </w:rPr>
            </w:pPr>
            <w:r w:rsidRPr="00C134BD">
              <w:rPr>
                <w:rFonts w:eastAsia="Times New Roman" w:cstheme="minorHAnsi"/>
                <w:b/>
                <w:bCs/>
                <w:sz w:val="24"/>
                <w:szCs w:val="24"/>
                <w:lang w:eastAsia="sk-SK"/>
              </w:rPr>
              <w:t>Vybrané parametre a ukazovatele</w:t>
            </w:r>
          </w:p>
        </w:tc>
        <w:tc>
          <w:tcPr>
            <w:tcW w:w="2409" w:type="dxa"/>
            <w:shd w:val="clear" w:color="auto" w:fill="AABBEB"/>
          </w:tcPr>
          <w:p w14:paraId="323900AF" w14:textId="77777777" w:rsidR="002A4198" w:rsidRPr="00C134BD" w:rsidRDefault="002A4198" w:rsidP="00411DC9">
            <w:pPr>
              <w:spacing w:before="100" w:beforeAutospacing="1" w:after="100" w:afterAutospacing="1"/>
              <w:jc w:val="center"/>
              <w:rPr>
                <w:rFonts w:eastAsia="Times New Roman" w:cstheme="minorHAnsi"/>
                <w:b/>
                <w:bCs/>
                <w:sz w:val="24"/>
                <w:szCs w:val="24"/>
                <w:lang w:eastAsia="sk-SK"/>
              </w:rPr>
            </w:pPr>
            <w:r w:rsidRPr="00C134BD">
              <w:rPr>
                <w:rFonts w:eastAsia="Times New Roman" w:cstheme="minorHAnsi"/>
                <w:b/>
                <w:bCs/>
                <w:sz w:val="24"/>
                <w:szCs w:val="24"/>
                <w:lang w:eastAsia="sk-SK"/>
              </w:rPr>
              <w:t>202</w:t>
            </w:r>
            <w:r>
              <w:rPr>
                <w:rFonts w:eastAsia="Times New Roman" w:cstheme="minorHAnsi"/>
                <w:b/>
                <w:bCs/>
                <w:sz w:val="24"/>
                <w:szCs w:val="24"/>
                <w:lang w:eastAsia="sk-SK"/>
              </w:rPr>
              <w:t>5</w:t>
            </w:r>
          </w:p>
        </w:tc>
        <w:tc>
          <w:tcPr>
            <w:tcW w:w="2268" w:type="dxa"/>
            <w:shd w:val="clear" w:color="auto" w:fill="AABBEB"/>
          </w:tcPr>
          <w:p w14:paraId="4FDC0EFE" w14:textId="77777777" w:rsidR="002A4198" w:rsidRPr="00C134BD" w:rsidRDefault="002A4198" w:rsidP="00411DC9">
            <w:pPr>
              <w:spacing w:before="100" w:beforeAutospacing="1" w:after="100" w:afterAutospacing="1"/>
              <w:jc w:val="center"/>
              <w:rPr>
                <w:rFonts w:eastAsia="Times New Roman" w:cstheme="minorHAnsi"/>
                <w:b/>
                <w:bCs/>
                <w:sz w:val="24"/>
                <w:szCs w:val="24"/>
                <w:lang w:eastAsia="sk-SK"/>
              </w:rPr>
            </w:pPr>
            <w:r w:rsidRPr="00C134BD">
              <w:rPr>
                <w:rFonts w:eastAsia="Times New Roman" w:cstheme="minorHAnsi"/>
                <w:b/>
                <w:bCs/>
                <w:sz w:val="24"/>
                <w:szCs w:val="24"/>
                <w:lang w:eastAsia="sk-SK"/>
              </w:rPr>
              <w:t>202</w:t>
            </w:r>
            <w:r>
              <w:rPr>
                <w:rFonts w:eastAsia="Times New Roman" w:cstheme="minorHAnsi"/>
                <w:b/>
                <w:bCs/>
                <w:sz w:val="24"/>
                <w:szCs w:val="24"/>
                <w:lang w:eastAsia="sk-SK"/>
              </w:rPr>
              <w:t>6</w:t>
            </w:r>
          </w:p>
        </w:tc>
        <w:tc>
          <w:tcPr>
            <w:tcW w:w="1956" w:type="dxa"/>
            <w:shd w:val="clear" w:color="auto" w:fill="AABBEB"/>
          </w:tcPr>
          <w:p w14:paraId="483802CF" w14:textId="77777777" w:rsidR="002A4198" w:rsidRPr="00C134BD" w:rsidRDefault="002A4198" w:rsidP="00411DC9">
            <w:pPr>
              <w:spacing w:before="100" w:beforeAutospacing="1" w:after="100" w:afterAutospacing="1"/>
              <w:jc w:val="center"/>
              <w:rPr>
                <w:rFonts w:eastAsia="Times New Roman" w:cstheme="minorHAnsi"/>
                <w:b/>
                <w:bCs/>
                <w:sz w:val="24"/>
                <w:szCs w:val="24"/>
                <w:lang w:eastAsia="sk-SK"/>
              </w:rPr>
            </w:pPr>
            <w:r w:rsidRPr="00C134BD">
              <w:rPr>
                <w:rFonts w:eastAsia="Times New Roman" w:cstheme="minorHAnsi"/>
                <w:b/>
                <w:bCs/>
                <w:sz w:val="24"/>
                <w:szCs w:val="24"/>
                <w:lang w:eastAsia="sk-SK"/>
              </w:rPr>
              <w:t>202</w:t>
            </w:r>
            <w:r>
              <w:rPr>
                <w:rFonts w:eastAsia="Times New Roman" w:cstheme="minorHAnsi"/>
                <w:b/>
                <w:bCs/>
                <w:sz w:val="24"/>
                <w:szCs w:val="24"/>
                <w:lang w:eastAsia="sk-SK"/>
              </w:rPr>
              <w:t>7</w:t>
            </w:r>
          </w:p>
        </w:tc>
      </w:tr>
      <w:tr w:rsidR="002A4198" w14:paraId="335EA0A4" w14:textId="77777777" w:rsidTr="00411DC9">
        <w:tc>
          <w:tcPr>
            <w:tcW w:w="3823" w:type="dxa"/>
          </w:tcPr>
          <w:p w14:paraId="0A6BF0B6" w14:textId="77777777" w:rsidR="002A4198" w:rsidRDefault="002A4198" w:rsidP="00411DC9">
            <w:pPr>
              <w:spacing w:before="100" w:beforeAutospacing="1" w:after="100" w:afterAutospacing="1"/>
              <w:rPr>
                <w:rFonts w:eastAsia="Times New Roman" w:cstheme="minorHAnsi"/>
                <w:sz w:val="24"/>
                <w:szCs w:val="24"/>
                <w:lang w:eastAsia="sk-SK"/>
              </w:rPr>
            </w:pPr>
            <w:r w:rsidRPr="00710F8D">
              <w:rPr>
                <w:rFonts w:eastAsia="Times New Roman" w:cstheme="minorHAnsi"/>
                <w:sz w:val="24"/>
                <w:szCs w:val="24"/>
                <w:lang w:eastAsia="sk-SK"/>
              </w:rPr>
              <w:t>Objednané dopravné výkony</w:t>
            </w:r>
            <w:r>
              <w:rPr>
                <w:rFonts w:eastAsia="Times New Roman" w:cstheme="minorHAnsi"/>
                <w:sz w:val="24"/>
                <w:szCs w:val="24"/>
                <w:lang w:eastAsia="sk-SK"/>
              </w:rPr>
              <w:t xml:space="preserve"> (</w:t>
            </w:r>
            <w:proofErr w:type="spellStart"/>
            <w:r>
              <w:rPr>
                <w:rFonts w:eastAsia="Times New Roman" w:cstheme="minorHAnsi"/>
                <w:sz w:val="24"/>
                <w:szCs w:val="24"/>
                <w:lang w:eastAsia="sk-SK"/>
              </w:rPr>
              <w:t>vzkm</w:t>
            </w:r>
            <w:proofErr w:type="spellEnd"/>
            <w:r>
              <w:rPr>
                <w:rFonts w:eastAsia="Times New Roman" w:cstheme="minorHAnsi"/>
                <w:sz w:val="24"/>
                <w:szCs w:val="24"/>
                <w:lang w:eastAsia="sk-SK"/>
              </w:rPr>
              <w:t>)</w:t>
            </w:r>
          </w:p>
        </w:tc>
        <w:tc>
          <w:tcPr>
            <w:tcW w:w="2409" w:type="dxa"/>
          </w:tcPr>
          <w:p w14:paraId="69FE2B77" w14:textId="77777777" w:rsidR="002A4198" w:rsidRDefault="002A4198" w:rsidP="00411DC9">
            <w:pPr>
              <w:spacing w:before="100" w:beforeAutospacing="1" w:after="100" w:afterAutospacing="1"/>
              <w:jc w:val="center"/>
              <w:rPr>
                <w:rFonts w:eastAsia="Times New Roman" w:cstheme="minorHAnsi"/>
                <w:sz w:val="24"/>
                <w:szCs w:val="24"/>
                <w:lang w:eastAsia="sk-SK"/>
              </w:rPr>
            </w:pPr>
            <w:r w:rsidRPr="004F479E">
              <w:rPr>
                <w:rFonts w:eastAsia="Times New Roman" w:cstheme="minorHAnsi"/>
                <w:sz w:val="24"/>
                <w:szCs w:val="24"/>
                <w:lang w:eastAsia="sk-SK"/>
              </w:rPr>
              <w:t>14 834 881</w:t>
            </w:r>
          </w:p>
        </w:tc>
        <w:tc>
          <w:tcPr>
            <w:tcW w:w="2268" w:type="dxa"/>
          </w:tcPr>
          <w:p w14:paraId="56D65AA8" w14:textId="77777777" w:rsidR="002A4198" w:rsidRDefault="002A4198" w:rsidP="00411DC9">
            <w:pPr>
              <w:spacing w:before="100" w:beforeAutospacing="1" w:after="100" w:afterAutospacing="1"/>
              <w:jc w:val="center"/>
              <w:rPr>
                <w:rFonts w:eastAsia="Times New Roman" w:cstheme="minorHAnsi"/>
                <w:sz w:val="24"/>
                <w:szCs w:val="24"/>
                <w:lang w:eastAsia="sk-SK"/>
              </w:rPr>
            </w:pPr>
            <w:r w:rsidRPr="004F479E">
              <w:rPr>
                <w:rFonts w:eastAsia="Times New Roman" w:cstheme="minorHAnsi"/>
                <w:sz w:val="24"/>
                <w:szCs w:val="24"/>
                <w:lang w:eastAsia="sk-SK"/>
              </w:rPr>
              <w:t>14 878 039</w:t>
            </w:r>
          </w:p>
        </w:tc>
        <w:tc>
          <w:tcPr>
            <w:tcW w:w="1956" w:type="dxa"/>
          </w:tcPr>
          <w:p w14:paraId="7860C47B" w14:textId="77777777" w:rsidR="002A4198" w:rsidRDefault="002A4198" w:rsidP="00411DC9">
            <w:pPr>
              <w:spacing w:before="100" w:beforeAutospacing="1" w:after="100" w:afterAutospacing="1"/>
              <w:jc w:val="center"/>
              <w:rPr>
                <w:rFonts w:eastAsia="Times New Roman" w:cstheme="minorHAnsi"/>
                <w:sz w:val="24"/>
                <w:szCs w:val="24"/>
                <w:lang w:eastAsia="sk-SK"/>
              </w:rPr>
            </w:pPr>
            <w:r w:rsidRPr="004F479E">
              <w:rPr>
                <w:rFonts w:eastAsia="Times New Roman" w:cstheme="minorHAnsi"/>
                <w:sz w:val="24"/>
                <w:szCs w:val="24"/>
                <w:lang w:eastAsia="sk-SK"/>
              </w:rPr>
              <w:t>14 899 090</w:t>
            </w:r>
          </w:p>
        </w:tc>
      </w:tr>
      <w:tr w:rsidR="002A4198" w14:paraId="4F867555" w14:textId="77777777" w:rsidTr="00411DC9">
        <w:tc>
          <w:tcPr>
            <w:tcW w:w="3823" w:type="dxa"/>
          </w:tcPr>
          <w:p w14:paraId="50457417" w14:textId="77777777" w:rsidR="002A4198" w:rsidRDefault="002A4198" w:rsidP="00411DC9">
            <w:pPr>
              <w:spacing w:before="100" w:beforeAutospacing="1" w:after="100" w:afterAutospacing="1"/>
              <w:rPr>
                <w:rFonts w:eastAsia="Times New Roman" w:cstheme="minorHAnsi"/>
                <w:sz w:val="24"/>
                <w:szCs w:val="24"/>
                <w:lang w:eastAsia="sk-SK"/>
              </w:rPr>
            </w:pPr>
            <w:r w:rsidRPr="00710F8D">
              <w:rPr>
                <w:rFonts w:eastAsia="Times New Roman" w:cstheme="minorHAnsi"/>
                <w:sz w:val="24"/>
                <w:szCs w:val="24"/>
                <w:lang w:eastAsia="sk-SK"/>
              </w:rPr>
              <w:t>Preprava osôb (osoba)</w:t>
            </w:r>
          </w:p>
        </w:tc>
        <w:tc>
          <w:tcPr>
            <w:tcW w:w="2409" w:type="dxa"/>
          </w:tcPr>
          <w:p w14:paraId="13837F42" w14:textId="77777777" w:rsidR="002A4198" w:rsidRDefault="002A4198" w:rsidP="00411DC9">
            <w:pPr>
              <w:spacing w:before="100" w:beforeAutospacing="1" w:after="100" w:afterAutospacing="1"/>
              <w:jc w:val="center"/>
              <w:rPr>
                <w:rFonts w:eastAsia="Times New Roman" w:cstheme="minorHAnsi"/>
                <w:sz w:val="24"/>
                <w:szCs w:val="24"/>
                <w:lang w:eastAsia="sk-SK"/>
              </w:rPr>
            </w:pPr>
            <w:r w:rsidRPr="00170EB5">
              <w:rPr>
                <w:rFonts w:eastAsia="Times New Roman" w:cstheme="minorHAnsi"/>
                <w:sz w:val="24"/>
                <w:szCs w:val="24"/>
                <w:lang w:eastAsia="sk-SK"/>
              </w:rPr>
              <w:t xml:space="preserve">12 </w:t>
            </w:r>
            <w:r>
              <w:rPr>
                <w:rFonts w:eastAsia="Times New Roman" w:cstheme="minorHAnsi"/>
                <w:sz w:val="24"/>
                <w:szCs w:val="24"/>
                <w:lang w:eastAsia="sk-SK"/>
              </w:rPr>
              <w:t>586</w:t>
            </w:r>
            <w:r w:rsidRPr="00170EB5">
              <w:rPr>
                <w:rFonts w:eastAsia="Times New Roman" w:cstheme="minorHAnsi"/>
                <w:sz w:val="24"/>
                <w:szCs w:val="24"/>
                <w:lang w:eastAsia="sk-SK"/>
              </w:rPr>
              <w:t xml:space="preserve"> </w:t>
            </w:r>
            <w:r>
              <w:rPr>
                <w:rFonts w:eastAsia="Times New Roman" w:cstheme="minorHAnsi"/>
                <w:sz w:val="24"/>
                <w:szCs w:val="24"/>
                <w:lang w:eastAsia="sk-SK"/>
              </w:rPr>
              <w:t>735</w:t>
            </w:r>
          </w:p>
        </w:tc>
        <w:tc>
          <w:tcPr>
            <w:tcW w:w="2268" w:type="dxa"/>
          </w:tcPr>
          <w:p w14:paraId="36B5C5D8" w14:textId="77777777" w:rsidR="002A4198" w:rsidRPr="0068309A" w:rsidRDefault="002A4198" w:rsidP="00411DC9">
            <w:pPr>
              <w:spacing w:before="100" w:beforeAutospacing="1" w:after="100" w:afterAutospacing="1"/>
              <w:jc w:val="center"/>
              <w:rPr>
                <w:rFonts w:eastAsia="Times New Roman" w:cstheme="minorHAnsi"/>
                <w:sz w:val="24"/>
                <w:szCs w:val="24"/>
                <w:lang w:eastAsia="sk-SK"/>
              </w:rPr>
            </w:pPr>
            <w:r w:rsidRPr="00170EB5">
              <w:rPr>
                <w:rFonts w:eastAsia="Times New Roman" w:cstheme="minorHAnsi"/>
                <w:sz w:val="24"/>
                <w:szCs w:val="24"/>
                <w:lang w:eastAsia="sk-SK"/>
              </w:rPr>
              <w:t xml:space="preserve">12 </w:t>
            </w:r>
            <w:r>
              <w:rPr>
                <w:rFonts w:eastAsia="Times New Roman" w:cstheme="minorHAnsi"/>
                <w:sz w:val="24"/>
                <w:szCs w:val="24"/>
                <w:lang w:eastAsia="sk-SK"/>
              </w:rPr>
              <w:t>712</w:t>
            </w:r>
            <w:r w:rsidRPr="00170EB5">
              <w:rPr>
                <w:rFonts w:eastAsia="Times New Roman" w:cstheme="minorHAnsi"/>
                <w:sz w:val="24"/>
                <w:szCs w:val="24"/>
                <w:lang w:eastAsia="sk-SK"/>
              </w:rPr>
              <w:t xml:space="preserve"> </w:t>
            </w:r>
            <w:r>
              <w:rPr>
                <w:rFonts w:eastAsia="Times New Roman" w:cstheme="minorHAnsi"/>
                <w:sz w:val="24"/>
                <w:szCs w:val="24"/>
                <w:lang w:eastAsia="sk-SK"/>
              </w:rPr>
              <w:t>602</w:t>
            </w:r>
            <w:r>
              <w:rPr>
                <w:rFonts w:eastAsia="Times New Roman" w:cstheme="minorHAnsi"/>
                <w:sz w:val="24"/>
                <w:szCs w:val="24"/>
                <w:lang w:eastAsia="sk-SK"/>
              </w:rPr>
              <w:br/>
              <w:t>(1% nárast oproti roku 2025)</w:t>
            </w:r>
          </w:p>
        </w:tc>
        <w:tc>
          <w:tcPr>
            <w:tcW w:w="1956" w:type="dxa"/>
          </w:tcPr>
          <w:p w14:paraId="7673B227" w14:textId="77777777" w:rsidR="002A4198" w:rsidRDefault="002A4198" w:rsidP="00411DC9">
            <w:pPr>
              <w:spacing w:before="100" w:beforeAutospacing="1" w:after="100" w:afterAutospacing="1"/>
              <w:jc w:val="center"/>
              <w:rPr>
                <w:rFonts w:eastAsia="Times New Roman" w:cstheme="minorHAnsi"/>
                <w:sz w:val="24"/>
                <w:szCs w:val="24"/>
                <w:lang w:eastAsia="sk-SK"/>
              </w:rPr>
            </w:pPr>
            <w:r w:rsidRPr="00C57A71">
              <w:rPr>
                <w:rFonts w:eastAsia="Times New Roman" w:cstheme="minorHAnsi"/>
                <w:sz w:val="24"/>
                <w:szCs w:val="24"/>
                <w:lang w:eastAsia="sk-SK"/>
              </w:rPr>
              <w:t>12 839 728</w:t>
            </w:r>
            <w:r>
              <w:rPr>
                <w:rFonts w:eastAsia="Times New Roman" w:cstheme="minorHAnsi"/>
                <w:sz w:val="24"/>
                <w:szCs w:val="24"/>
                <w:lang w:eastAsia="sk-SK"/>
              </w:rPr>
              <w:br/>
              <w:t>(1% nárast oproti roku 2026)</w:t>
            </w:r>
          </w:p>
        </w:tc>
      </w:tr>
      <w:tr w:rsidR="002A4198" w14:paraId="5151C89A" w14:textId="77777777" w:rsidTr="00411DC9">
        <w:tc>
          <w:tcPr>
            <w:tcW w:w="3823" w:type="dxa"/>
          </w:tcPr>
          <w:p w14:paraId="74501EC2" w14:textId="77777777" w:rsidR="002A4198" w:rsidRDefault="002A4198" w:rsidP="00411DC9">
            <w:pPr>
              <w:spacing w:before="100" w:beforeAutospacing="1" w:after="100" w:afterAutospacing="1"/>
              <w:rPr>
                <w:rFonts w:eastAsia="Times New Roman" w:cstheme="minorHAnsi"/>
                <w:sz w:val="24"/>
                <w:szCs w:val="24"/>
                <w:lang w:eastAsia="sk-SK"/>
              </w:rPr>
            </w:pPr>
            <w:r w:rsidRPr="00710F8D">
              <w:rPr>
                <w:rFonts w:eastAsia="Times New Roman" w:cstheme="minorHAnsi"/>
                <w:sz w:val="24"/>
                <w:szCs w:val="24"/>
                <w:lang w:eastAsia="sk-SK"/>
              </w:rPr>
              <w:t xml:space="preserve">Priemerný </w:t>
            </w:r>
            <w:proofErr w:type="spellStart"/>
            <w:r w:rsidRPr="00710F8D">
              <w:rPr>
                <w:rFonts w:eastAsia="Times New Roman" w:cstheme="minorHAnsi"/>
                <w:sz w:val="24"/>
                <w:szCs w:val="24"/>
                <w:lang w:eastAsia="sk-SK"/>
              </w:rPr>
              <w:t>evid</w:t>
            </w:r>
            <w:proofErr w:type="spellEnd"/>
            <w:r w:rsidRPr="00710F8D">
              <w:rPr>
                <w:rFonts w:eastAsia="Times New Roman" w:cstheme="minorHAnsi"/>
                <w:sz w:val="24"/>
                <w:szCs w:val="24"/>
                <w:lang w:eastAsia="sk-SK"/>
              </w:rPr>
              <w:t>. stav autobusov (ks)</w:t>
            </w:r>
          </w:p>
        </w:tc>
        <w:tc>
          <w:tcPr>
            <w:tcW w:w="2409" w:type="dxa"/>
          </w:tcPr>
          <w:p w14:paraId="40B8F35C" w14:textId="77777777" w:rsidR="002A4198" w:rsidRDefault="002A4198" w:rsidP="00411DC9">
            <w:pPr>
              <w:spacing w:before="100" w:beforeAutospacing="1" w:after="100" w:afterAutospacing="1"/>
              <w:jc w:val="center"/>
              <w:rPr>
                <w:rFonts w:eastAsia="Times New Roman" w:cstheme="minorHAnsi"/>
                <w:sz w:val="24"/>
                <w:szCs w:val="24"/>
                <w:lang w:eastAsia="sk-SK"/>
              </w:rPr>
            </w:pPr>
            <w:r>
              <w:rPr>
                <w:rFonts w:eastAsia="Times New Roman" w:cstheme="minorHAnsi"/>
                <w:sz w:val="24"/>
                <w:szCs w:val="24"/>
                <w:lang w:eastAsia="sk-SK"/>
              </w:rPr>
              <w:t>225</w:t>
            </w:r>
          </w:p>
        </w:tc>
        <w:tc>
          <w:tcPr>
            <w:tcW w:w="2268" w:type="dxa"/>
          </w:tcPr>
          <w:p w14:paraId="125CE611" w14:textId="77777777" w:rsidR="002A4198" w:rsidRDefault="002A4198" w:rsidP="00411DC9">
            <w:pPr>
              <w:spacing w:before="100" w:beforeAutospacing="1" w:after="100" w:afterAutospacing="1"/>
              <w:jc w:val="center"/>
              <w:rPr>
                <w:rFonts w:eastAsia="Times New Roman" w:cstheme="minorHAnsi"/>
                <w:sz w:val="24"/>
                <w:szCs w:val="24"/>
                <w:lang w:eastAsia="sk-SK"/>
              </w:rPr>
            </w:pPr>
            <w:r>
              <w:rPr>
                <w:rFonts w:eastAsia="Times New Roman" w:cstheme="minorHAnsi"/>
                <w:sz w:val="24"/>
                <w:szCs w:val="24"/>
                <w:lang w:eastAsia="sk-SK"/>
              </w:rPr>
              <w:t>225</w:t>
            </w:r>
          </w:p>
        </w:tc>
        <w:tc>
          <w:tcPr>
            <w:tcW w:w="1956" w:type="dxa"/>
          </w:tcPr>
          <w:p w14:paraId="10F2E542" w14:textId="77777777" w:rsidR="002A4198" w:rsidRDefault="002A4198" w:rsidP="00411DC9">
            <w:pPr>
              <w:spacing w:before="100" w:beforeAutospacing="1" w:after="100" w:afterAutospacing="1"/>
              <w:jc w:val="center"/>
              <w:rPr>
                <w:rFonts w:eastAsia="Times New Roman" w:cstheme="minorHAnsi"/>
                <w:sz w:val="24"/>
                <w:szCs w:val="24"/>
                <w:lang w:eastAsia="sk-SK"/>
              </w:rPr>
            </w:pPr>
            <w:r>
              <w:rPr>
                <w:rFonts w:eastAsia="Times New Roman" w:cstheme="minorHAnsi"/>
                <w:sz w:val="24"/>
                <w:szCs w:val="24"/>
                <w:lang w:eastAsia="sk-SK"/>
              </w:rPr>
              <w:t>225</w:t>
            </w:r>
          </w:p>
        </w:tc>
      </w:tr>
      <w:tr w:rsidR="002A4198" w14:paraId="78EC3E48" w14:textId="77777777" w:rsidTr="00411DC9">
        <w:tc>
          <w:tcPr>
            <w:tcW w:w="3823" w:type="dxa"/>
          </w:tcPr>
          <w:p w14:paraId="49899B8E" w14:textId="77777777" w:rsidR="002A4198" w:rsidRPr="00710F8D" w:rsidRDefault="002A4198" w:rsidP="00411DC9">
            <w:pPr>
              <w:spacing w:before="100" w:beforeAutospacing="1" w:after="100" w:afterAutospacing="1"/>
              <w:rPr>
                <w:rFonts w:eastAsia="Times New Roman" w:cstheme="minorHAnsi"/>
                <w:sz w:val="24"/>
                <w:szCs w:val="24"/>
                <w:lang w:eastAsia="sk-SK"/>
              </w:rPr>
            </w:pPr>
            <w:r w:rsidRPr="00710F8D">
              <w:rPr>
                <w:rFonts w:eastAsia="Times New Roman" w:cstheme="minorHAnsi"/>
                <w:sz w:val="24"/>
                <w:szCs w:val="24"/>
                <w:lang w:eastAsia="sk-SK"/>
              </w:rPr>
              <w:t>Priemerný stav vodičov (osoby)</w:t>
            </w:r>
          </w:p>
        </w:tc>
        <w:tc>
          <w:tcPr>
            <w:tcW w:w="2409" w:type="dxa"/>
          </w:tcPr>
          <w:p w14:paraId="3F2167BC" w14:textId="77777777" w:rsidR="002A4198" w:rsidRDefault="002A4198" w:rsidP="00411DC9">
            <w:pPr>
              <w:spacing w:before="100" w:beforeAutospacing="1" w:after="100" w:afterAutospacing="1"/>
              <w:jc w:val="center"/>
              <w:rPr>
                <w:rFonts w:eastAsia="Times New Roman" w:cstheme="minorHAnsi"/>
                <w:sz w:val="24"/>
                <w:szCs w:val="24"/>
                <w:lang w:eastAsia="sk-SK"/>
              </w:rPr>
            </w:pPr>
            <w:r w:rsidRPr="00710F8D">
              <w:rPr>
                <w:rFonts w:eastAsia="Times New Roman" w:cstheme="minorHAnsi"/>
                <w:sz w:val="24"/>
                <w:szCs w:val="24"/>
                <w:lang w:eastAsia="sk-SK"/>
              </w:rPr>
              <w:t>v réžii dopravcu</w:t>
            </w:r>
          </w:p>
        </w:tc>
        <w:tc>
          <w:tcPr>
            <w:tcW w:w="2268" w:type="dxa"/>
          </w:tcPr>
          <w:p w14:paraId="7F956645" w14:textId="77777777" w:rsidR="002A4198" w:rsidRDefault="002A4198" w:rsidP="00411DC9">
            <w:pPr>
              <w:spacing w:before="100" w:beforeAutospacing="1" w:after="100" w:afterAutospacing="1"/>
              <w:jc w:val="center"/>
              <w:rPr>
                <w:rFonts w:eastAsia="Times New Roman" w:cstheme="minorHAnsi"/>
                <w:sz w:val="24"/>
                <w:szCs w:val="24"/>
                <w:lang w:eastAsia="sk-SK"/>
              </w:rPr>
            </w:pPr>
            <w:r w:rsidRPr="00710F8D">
              <w:rPr>
                <w:rFonts w:eastAsia="Times New Roman" w:cstheme="minorHAnsi"/>
                <w:sz w:val="24"/>
                <w:szCs w:val="24"/>
                <w:lang w:eastAsia="sk-SK"/>
              </w:rPr>
              <w:t>v réžii dopravcu</w:t>
            </w:r>
          </w:p>
        </w:tc>
        <w:tc>
          <w:tcPr>
            <w:tcW w:w="1956" w:type="dxa"/>
          </w:tcPr>
          <w:p w14:paraId="21815024" w14:textId="77777777" w:rsidR="002A4198" w:rsidRDefault="002A4198" w:rsidP="00411DC9">
            <w:pPr>
              <w:spacing w:before="100" w:beforeAutospacing="1" w:after="100" w:afterAutospacing="1"/>
              <w:jc w:val="center"/>
              <w:rPr>
                <w:rFonts w:eastAsia="Times New Roman" w:cstheme="minorHAnsi"/>
                <w:sz w:val="24"/>
                <w:szCs w:val="24"/>
                <w:lang w:eastAsia="sk-SK"/>
              </w:rPr>
            </w:pPr>
            <w:r w:rsidRPr="00710F8D">
              <w:rPr>
                <w:rFonts w:eastAsia="Times New Roman" w:cstheme="minorHAnsi"/>
                <w:sz w:val="24"/>
                <w:szCs w:val="24"/>
                <w:lang w:eastAsia="sk-SK"/>
              </w:rPr>
              <w:t>v réžii dopravcu</w:t>
            </w:r>
          </w:p>
        </w:tc>
      </w:tr>
    </w:tbl>
    <w:p w14:paraId="1A1E3BC2" w14:textId="77777777" w:rsidR="002A4198" w:rsidRDefault="002A4198" w:rsidP="002A4198">
      <w:pPr>
        <w:spacing w:after="100" w:afterAutospacing="1" w:line="240" w:lineRule="auto"/>
        <w:jc w:val="both"/>
        <w:rPr>
          <w:rFonts w:eastAsia="Times New Roman" w:cstheme="minorHAnsi"/>
          <w:sz w:val="24"/>
          <w:szCs w:val="24"/>
          <w:lang w:eastAsia="sk-SK"/>
        </w:rPr>
      </w:pPr>
    </w:p>
    <w:p w14:paraId="14E72EA9" w14:textId="77777777" w:rsidR="002A4198" w:rsidRPr="007F31C9" w:rsidRDefault="002A4198" w:rsidP="002A4198">
      <w:pPr>
        <w:pStyle w:val="Nadpis3"/>
        <w:rPr>
          <w:rFonts w:asciiTheme="minorHAnsi" w:hAnsiTheme="minorHAnsi" w:cstheme="minorHAnsi"/>
        </w:rPr>
      </w:pPr>
      <w:r w:rsidRPr="007F31C9">
        <w:rPr>
          <w:rFonts w:asciiTheme="minorHAnsi" w:hAnsiTheme="minorHAnsi" w:cstheme="minorHAnsi"/>
          <w:color w:val="0000FF"/>
        </w:rPr>
        <w:t>Podprogram 7.3: Integrovaný dopravný systém v Bratislavskom kraji</w:t>
      </w:r>
      <w:r w:rsidRPr="007F31C9">
        <w:rPr>
          <w:rFonts w:asciiTheme="minorHAnsi" w:hAnsiTheme="minorHAnsi" w:cstheme="minorHAnsi"/>
        </w:rPr>
        <w:t xml:space="preserve"> </w:t>
      </w:r>
    </w:p>
    <w:p w14:paraId="03F5D12E" w14:textId="77777777" w:rsidR="002A4198" w:rsidRPr="007F31C9" w:rsidRDefault="002A4198" w:rsidP="002A4198">
      <w:pPr>
        <w:pStyle w:val="Normlnywebov"/>
        <w:rPr>
          <w:rFonts w:asciiTheme="minorHAnsi" w:eastAsiaTheme="minorEastAsia" w:hAnsiTheme="minorHAnsi" w:cstheme="minorHAnsi"/>
        </w:rPr>
      </w:pPr>
      <w:r w:rsidRPr="007F31C9">
        <w:rPr>
          <w:rFonts w:asciiTheme="minorHAnsi" w:hAnsiTheme="minorHAnsi" w:cstheme="minorHAnsi"/>
          <w:b/>
          <w:bCs/>
        </w:rPr>
        <w:t xml:space="preserve">Zámer: </w:t>
      </w:r>
      <w:r w:rsidRPr="007F31C9">
        <w:rPr>
          <w:rFonts w:asciiTheme="minorHAnsi" w:hAnsiTheme="minorHAnsi" w:cstheme="minorHAnsi"/>
        </w:rPr>
        <w:t>Vyhovujúca integrovaná doprava, ktorá je konkurencieschopná individuálnej automobilovej doprave</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2A4198" w:rsidRPr="007F31C9" w14:paraId="60219355" w14:textId="77777777" w:rsidTr="00411DC9">
        <w:trPr>
          <w:trHeight w:hRule="exact" w:val="284"/>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86685A4" w14:textId="77777777" w:rsidR="002A4198" w:rsidRPr="007F31C9" w:rsidRDefault="002A4198" w:rsidP="00411DC9">
            <w:pPr>
              <w:jc w:val="center"/>
              <w:rPr>
                <w:rFonts w:eastAsia="Times New Roman" w:cstheme="minorHAnsi"/>
              </w:rPr>
            </w:pPr>
            <w:r w:rsidRPr="007F31C9">
              <w:rPr>
                <w:rFonts w:eastAsia="Times New Roman" w:cstheme="minorHAnsi"/>
                <w:b/>
                <w:bCs/>
                <w:i/>
                <w:iCs/>
              </w:rPr>
              <w:t>Rozpočet v EUR</w:t>
            </w:r>
          </w:p>
        </w:tc>
      </w:tr>
      <w:tr w:rsidR="002A4198" w:rsidRPr="00A36658" w14:paraId="6C4F7A9C"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31E0AE9" w14:textId="77777777" w:rsidR="002A4198" w:rsidRPr="00A36658" w:rsidRDefault="002A4198" w:rsidP="00411DC9">
            <w:pPr>
              <w:rPr>
                <w:rFonts w:eastAsia="Times New Roman" w:cstheme="minorHAnsi"/>
              </w:rPr>
            </w:pPr>
            <w:r w:rsidRPr="00A36658">
              <w:rPr>
                <w:rFonts w:eastAsia="Times New Roman" w:cstheme="minorHAnsi"/>
                <w:b/>
                <w:bCs/>
                <w:sz w:val="20"/>
                <w:szCs w:val="20"/>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29536C1" w14:textId="77777777" w:rsidR="002A4198" w:rsidRPr="00A36658" w:rsidRDefault="002A4198" w:rsidP="00411DC9">
            <w:pPr>
              <w:rPr>
                <w:rFonts w:eastAsia="Times New Roman" w:cstheme="minorHAnsi"/>
              </w:rPr>
            </w:pPr>
            <w:r w:rsidRPr="00A36658">
              <w:rPr>
                <w:rFonts w:eastAsia="Times New Roman" w:cstheme="minorHAnsi"/>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162671B"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1A2AE2"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1EC0329"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641F450"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B4698A6"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5AEE3F"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72CDD7" w14:textId="77777777" w:rsidR="002A4198" w:rsidRPr="00A36658" w:rsidRDefault="002A4198" w:rsidP="00411DC9">
            <w:pPr>
              <w:jc w:val="center"/>
              <w:rPr>
                <w:rFonts w:eastAsia="Times New Roman" w:cstheme="minorHAnsi"/>
              </w:rPr>
            </w:pPr>
            <w:r w:rsidRPr="00A36658">
              <w:rPr>
                <w:rFonts w:eastAsia="Times New Roman" w:cstheme="minorHAnsi"/>
                <w:b/>
                <w:bCs/>
                <w:sz w:val="20"/>
                <w:szCs w:val="20"/>
              </w:rPr>
              <w:t>%</w:t>
            </w:r>
          </w:p>
        </w:tc>
      </w:tr>
      <w:tr w:rsidR="002A4198" w:rsidRPr="00A36658" w14:paraId="661D32C1"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1F93C7" w14:textId="77777777" w:rsidR="002A4198" w:rsidRPr="00A36658" w:rsidRDefault="002A4198" w:rsidP="00411DC9">
            <w:pPr>
              <w:jc w:val="center"/>
              <w:rPr>
                <w:rFonts w:eastAsia="Times New Roman" w:cstheme="minorHAnsi"/>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7522B8" w14:textId="77777777" w:rsidR="002A4198" w:rsidRPr="00A36658" w:rsidRDefault="002A4198" w:rsidP="00411DC9">
            <w:pPr>
              <w:rPr>
                <w:rFonts w:eastAsia="Times New Roman" w:cstheme="minorHAnsi"/>
                <w:sz w:val="24"/>
                <w:szCs w:val="24"/>
              </w:rPr>
            </w:pPr>
            <w:r w:rsidRPr="00A36658">
              <w:rPr>
                <w:rFonts w:eastAsia="Times New Roman" w:cstheme="minorHAnsi"/>
                <w:b/>
                <w:bCs/>
                <w:sz w:val="20"/>
                <w:szCs w:val="20"/>
              </w:rPr>
              <w:t>Výdavky celkom</w:t>
            </w:r>
            <w:r w:rsidRPr="00A36658">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6C1B620" w14:textId="77777777" w:rsidR="002A4198" w:rsidRPr="00A36658" w:rsidRDefault="002A4198" w:rsidP="00411DC9">
            <w:pPr>
              <w:jc w:val="right"/>
              <w:rPr>
                <w:rFonts w:eastAsia="Times New Roman" w:cstheme="minorHAnsi"/>
              </w:rPr>
            </w:pPr>
            <w:r w:rsidRPr="00AA5A11">
              <w:rPr>
                <w:rFonts w:eastAsia="Times New Roman" w:cstheme="minorHAnsi"/>
                <w:b/>
                <w:bCs/>
                <w:sz w:val="20"/>
                <w:szCs w:val="20"/>
              </w:rPr>
              <w:t>1</w:t>
            </w:r>
            <w:r>
              <w:rPr>
                <w:rFonts w:eastAsia="Times New Roman" w:cstheme="minorHAnsi"/>
                <w:b/>
                <w:bCs/>
                <w:sz w:val="20"/>
                <w:szCs w:val="20"/>
              </w:rPr>
              <w:t> </w:t>
            </w:r>
            <w:r w:rsidRPr="00AA5A11">
              <w:rPr>
                <w:rFonts w:eastAsia="Times New Roman" w:cstheme="minorHAnsi"/>
                <w:b/>
                <w:bCs/>
                <w:sz w:val="20"/>
                <w:szCs w:val="20"/>
              </w:rPr>
              <w:t>396</w:t>
            </w:r>
            <w:r>
              <w:rPr>
                <w:rFonts w:eastAsia="Times New Roman" w:cstheme="minorHAnsi"/>
                <w:b/>
                <w:bCs/>
                <w:sz w:val="20"/>
                <w:szCs w:val="20"/>
              </w:rPr>
              <w:t xml:space="preserve"> </w:t>
            </w:r>
            <w:r w:rsidRPr="00AA5A11">
              <w:rPr>
                <w:rFonts w:eastAsia="Times New Roman" w:cstheme="minorHAnsi"/>
                <w:b/>
                <w:bCs/>
                <w:sz w:val="20"/>
                <w:szCs w:val="20"/>
              </w:rPr>
              <w:t>629,6</w:t>
            </w:r>
            <w:r>
              <w:rPr>
                <w:rFonts w:eastAsia="Times New Roman" w:cstheme="minorHAnsi"/>
                <w:b/>
                <w:bCs/>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74B5D3" w14:textId="77777777" w:rsidR="002A4198" w:rsidRPr="00A36658" w:rsidRDefault="002A4198" w:rsidP="00411DC9">
            <w:pPr>
              <w:jc w:val="right"/>
              <w:rPr>
                <w:rFonts w:eastAsia="Times New Roman" w:cstheme="minorHAnsi"/>
              </w:rPr>
            </w:pPr>
            <w:r w:rsidRPr="00A36658">
              <w:rPr>
                <w:rFonts w:eastAsia="Times New Roman" w:cstheme="minorHAnsi"/>
                <w:b/>
                <w:bCs/>
                <w:sz w:val="20"/>
                <w:szCs w:val="20"/>
              </w:rPr>
              <w:t>1 442</w:t>
            </w:r>
            <w:r>
              <w:rPr>
                <w:rFonts w:eastAsia="Times New Roman" w:cstheme="minorHAnsi"/>
                <w:b/>
                <w:bCs/>
                <w:sz w:val="20"/>
                <w:szCs w:val="20"/>
              </w:rPr>
              <w:t> </w:t>
            </w:r>
            <w:r w:rsidRPr="00A36658">
              <w:rPr>
                <w:rFonts w:eastAsia="Times New Roman" w:cstheme="minorHAnsi"/>
                <w:b/>
                <w:bCs/>
                <w:sz w:val="20"/>
                <w:szCs w:val="20"/>
              </w:rPr>
              <w:t>719</w:t>
            </w:r>
            <w:r>
              <w:rPr>
                <w:rFonts w:eastAsia="Times New Roman" w:cstheme="minorHAnsi"/>
                <w:b/>
                <w:bCs/>
                <w:sz w:val="20"/>
                <w:szCs w:val="20"/>
              </w:rPr>
              <w:t>,00</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48705570" w14:textId="77777777" w:rsidR="002A4198" w:rsidRPr="006C3A76" w:rsidRDefault="002A4198" w:rsidP="00411DC9">
            <w:pPr>
              <w:jc w:val="right"/>
              <w:rPr>
                <w:rFonts w:eastAsia="Times New Roman" w:cstheme="minorHAnsi"/>
                <w:b/>
                <w:bCs/>
                <w:sz w:val="20"/>
                <w:szCs w:val="20"/>
              </w:rPr>
            </w:pPr>
            <w:r w:rsidRPr="006C3A76">
              <w:rPr>
                <w:rFonts w:eastAsia="Times New Roman" w:cstheme="minorHAnsi"/>
                <w:b/>
                <w:bCs/>
                <w:sz w:val="20"/>
                <w:szCs w:val="20"/>
              </w:rPr>
              <w:t>103,30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8A9836" w14:textId="77777777" w:rsidR="002A4198" w:rsidRPr="00A36658" w:rsidRDefault="002A4198" w:rsidP="00411DC9">
            <w:pPr>
              <w:jc w:val="right"/>
              <w:rPr>
                <w:rFonts w:eastAsia="Times New Roman" w:cstheme="minorHAnsi"/>
              </w:rPr>
            </w:pPr>
            <w:r w:rsidRPr="00A36658">
              <w:rPr>
                <w:rFonts w:eastAsia="Times New Roman" w:cstheme="minorHAnsi"/>
                <w:b/>
                <w:bCs/>
                <w:sz w:val="20"/>
                <w:szCs w:val="20"/>
              </w:rPr>
              <w:t>1 514</w:t>
            </w:r>
            <w:r>
              <w:rPr>
                <w:rFonts w:eastAsia="Times New Roman" w:cstheme="minorHAnsi"/>
                <w:b/>
                <w:bCs/>
                <w:sz w:val="20"/>
                <w:szCs w:val="20"/>
              </w:rPr>
              <w:t> </w:t>
            </w:r>
            <w:r w:rsidRPr="00A36658">
              <w:rPr>
                <w:rFonts w:eastAsia="Times New Roman" w:cstheme="minorHAnsi"/>
                <w:b/>
                <w:bCs/>
                <w:sz w:val="20"/>
                <w:szCs w:val="20"/>
              </w:rPr>
              <w:t>104</w:t>
            </w:r>
            <w:r>
              <w:rPr>
                <w:rFonts w:eastAsia="Times New Roman" w:cstheme="minorHAnsi"/>
                <w:b/>
                <w:bCs/>
                <w:sz w:val="20"/>
                <w:szCs w:val="20"/>
              </w:rPr>
              <w:t>,00</w:t>
            </w:r>
            <w:r w:rsidRPr="00A36658">
              <w:rPr>
                <w:rFonts w:eastAsia="Times New Roman" w:cstheme="minorHAnsi"/>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17FE0006" w14:textId="77777777" w:rsidR="002A4198" w:rsidRPr="00136FB7" w:rsidRDefault="002A4198" w:rsidP="00411DC9">
            <w:pPr>
              <w:jc w:val="right"/>
              <w:rPr>
                <w:rFonts w:eastAsia="Times New Roman" w:cstheme="minorHAnsi"/>
                <w:b/>
                <w:bCs/>
                <w:sz w:val="20"/>
                <w:szCs w:val="20"/>
              </w:rPr>
            </w:pPr>
            <w:r w:rsidRPr="00136FB7">
              <w:rPr>
                <w:rFonts w:eastAsia="Times New Roman" w:cstheme="minorHAnsi"/>
                <w:b/>
                <w:bCs/>
                <w:sz w:val="20"/>
                <w:szCs w:val="20"/>
              </w:rPr>
              <w:t>104,95</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53A6B2" w14:textId="77777777" w:rsidR="002A4198" w:rsidRPr="00A36658" w:rsidRDefault="002A4198" w:rsidP="00411DC9">
            <w:pPr>
              <w:jc w:val="right"/>
              <w:rPr>
                <w:rFonts w:eastAsia="Times New Roman" w:cstheme="minorHAnsi"/>
              </w:rPr>
            </w:pPr>
            <w:r w:rsidRPr="00A36658">
              <w:rPr>
                <w:rFonts w:eastAsia="Times New Roman" w:cstheme="minorHAnsi"/>
                <w:b/>
                <w:bCs/>
                <w:sz w:val="20"/>
                <w:szCs w:val="20"/>
              </w:rPr>
              <w:t>1 574</w:t>
            </w:r>
            <w:r>
              <w:rPr>
                <w:rFonts w:eastAsia="Times New Roman" w:cstheme="minorHAnsi"/>
                <w:b/>
                <w:bCs/>
                <w:sz w:val="20"/>
                <w:szCs w:val="20"/>
              </w:rPr>
              <w:t> </w:t>
            </w:r>
            <w:r w:rsidRPr="00A36658">
              <w:rPr>
                <w:rFonts w:eastAsia="Times New Roman" w:cstheme="minorHAnsi"/>
                <w:b/>
                <w:bCs/>
                <w:sz w:val="20"/>
                <w:szCs w:val="20"/>
              </w:rPr>
              <w:t>068</w:t>
            </w:r>
            <w:r>
              <w:rPr>
                <w:rFonts w:eastAsia="Times New Roman" w:cstheme="minorHAnsi"/>
                <w:b/>
                <w:bCs/>
                <w:sz w:val="20"/>
                <w:szCs w:val="20"/>
              </w:rPr>
              <w:t>,00</w:t>
            </w:r>
            <w:r w:rsidRPr="00A36658">
              <w:rPr>
                <w:rFonts w:eastAsia="Times New Roman" w:cstheme="minorHAnsi"/>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522EBD33" w14:textId="77777777" w:rsidR="002A4198" w:rsidRPr="00136FB7" w:rsidRDefault="002A4198" w:rsidP="00411DC9">
            <w:pPr>
              <w:jc w:val="right"/>
              <w:rPr>
                <w:rFonts w:eastAsia="Times New Roman" w:cstheme="minorHAnsi"/>
                <w:b/>
                <w:bCs/>
                <w:sz w:val="20"/>
                <w:szCs w:val="20"/>
              </w:rPr>
            </w:pPr>
            <w:r w:rsidRPr="00136FB7">
              <w:rPr>
                <w:rFonts w:eastAsia="Times New Roman" w:cstheme="minorHAnsi"/>
                <w:b/>
                <w:bCs/>
                <w:sz w:val="20"/>
                <w:szCs w:val="20"/>
              </w:rPr>
              <w:t>103,96</w:t>
            </w:r>
          </w:p>
        </w:tc>
      </w:tr>
      <w:tr w:rsidR="002A4198" w:rsidRPr="00A36658" w14:paraId="12482662"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30FF2B" w14:textId="77777777" w:rsidR="002A4198" w:rsidRPr="00A36658" w:rsidRDefault="002A4198" w:rsidP="00411DC9">
            <w:pPr>
              <w:rPr>
                <w:rFonts w:eastAsia="Times New Roman" w:cstheme="minorHAnsi"/>
              </w:rPr>
            </w:pPr>
            <w:r w:rsidRPr="00A36658">
              <w:rPr>
                <w:rFonts w:eastAsia="Times New Roman" w:cstheme="minorHAnsi"/>
                <w:b/>
                <w:bCs/>
                <w:sz w:val="20"/>
                <w:szCs w:val="20"/>
              </w:rPr>
              <w:lastRenderedPageBreak/>
              <w:t>600</w:t>
            </w:r>
            <w:r w:rsidRPr="00A36658">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B9BB0F" w14:textId="77777777" w:rsidR="002A4198" w:rsidRPr="00A36658" w:rsidRDefault="002A4198" w:rsidP="00411DC9">
            <w:pPr>
              <w:rPr>
                <w:rFonts w:eastAsia="Times New Roman" w:cstheme="minorHAnsi"/>
              </w:rPr>
            </w:pPr>
            <w:r w:rsidRPr="00A36658">
              <w:rPr>
                <w:rFonts w:eastAsia="Times New Roman" w:cstheme="minorHAnsi"/>
                <w:b/>
                <w:bCs/>
                <w:sz w:val="20"/>
                <w:szCs w:val="20"/>
              </w:rPr>
              <w:t>Bežné výdavky</w:t>
            </w:r>
            <w:r w:rsidRPr="00A36658">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4A0F41" w14:textId="77777777" w:rsidR="002A4198" w:rsidRPr="00A36658" w:rsidRDefault="002A4198" w:rsidP="00411DC9">
            <w:pPr>
              <w:jc w:val="right"/>
              <w:rPr>
                <w:rFonts w:eastAsia="Times New Roman" w:cstheme="minorHAnsi"/>
              </w:rPr>
            </w:pPr>
            <w:r w:rsidRPr="00AA5A11">
              <w:rPr>
                <w:rFonts w:eastAsia="Times New Roman" w:cstheme="minorHAnsi"/>
                <w:b/>
                <w:bCs/>
                <w:sz w:val="20"/>
                <w:szCs w:val="20"/>
              </w:rPr>
              <w:t>1</w:t>
            </w:r>
            <w:r>
              <w:rPr>
                <w:rFonts w:eastAsia="Times New Roman" w:cstheme="minorHAnsi"/>
                <w:b/>
                <w:bCs/>
                <w:sz w:val="20"/>
                <w:szCs w:val="20"/>
              </w:rPr>
              <w:t> </w:t>
            </w:r>
            <w:r w:rsidRPr="00AA5A11">
              <w:rPr>
                <w:rFonts w:eastAsia="Times New Roman" w:cstheme="minorHAnsi"/>
                <w:b/>
                <w:bCs/>
                <w:sz w:val="20"/>
                <w:szCs w:val="20"/>
              </w:rPr>
              <w:t>396</w:t>
            </w:r>
            <w:r>
              <w:rPr>
                <w:rFonts w:eastAsia="Times New Roman" w:cstheme="minorHAnsi"/>
                <w:b/>
                <w:bCs/>
                <w:sz w:val="20"/>
                <w:szCs w:val="20"/>
              </w:rPr>
              <w:t xml:space="preserve"> </w:t>
            </w:r>
            <w:r w:rsidRPr="00AA5A11">
              <w:rPr>
                <w:rFonts w:eastAsia="Times New Roman" w:cstheme="minorHAnsi"/>
                <w:b/>
                <w:bCs/>
                <w:sz w:val="20"/>
                <w:szCs w:val="20"/>
              </w:rPr>
              <w:t>629,6</w:t>
            </w:r>
            <w:r>
              <w:rPr>
                <w:rFonts w:eastAsia="Times New Roman" w:cstheme="minorHAnsi"/>
                <w:b/>
                <w:bCs/>
                <w:sz w:val="20"/>
                <w:szCs w:val="20"/>
              </w:rPr>
              <w:t>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382488" w14:textId="77777777" w:rsidR="002A4198" w:rsidRPr="00A36658" w:rsidRDefault="002A4198" w:rsidP="00411DC9">
            <w:pPr>
              <w:jc w:val="right"/>
              <w:rPr>
                <w:rFonts w:eastAsia="Times New Roman" w:cstheme="minorHAnsi"/>
              </w:rPr>
            </w:pPr>
            <w:r w:rsidRPr="00A36658">
              <w:rPr>
                <w:rFonts w:eastAsia="Times New Roman" w:cstheme="minorHAnsi"/>
                <w:b/>
                <w:bCs/>
                <w:sz w:val="20"/>
                <w:szCs w:val="20"/>
              </w:rPr>
              <w:t>1 442 71</w:t>
            </w:r>
            <w:r>
              <w:rPr>
                <w:rFonts w:eastAsia="Times New Roman" w:cstheme="minorHAnsi"/>
                <w:b/>
                <w:bCs/>
                <w:sz w:val="20"/>
                <w:szCs w:val="20"/>
              </w:rPr>
              <w:t>9,00</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6BDE28E1" w14:textId="77777777" w:rsidR="002A4198" w:rsidRPr="006C3A76" w:rsidRDefault="002A4198" w:rsidP="00411DC9">
            <w:pPr>
              <w:jc w:val="right"/>
              <w:rPr>
                <w:rFonts w:eastAsia="Times New Roman" w:cstheme="minorHAnsi"/>
                <w:b/>
                <w:bCs/>
                <w:sz w:val="20"/>
                <w:szCs w:val="20"/>
              </w:rPr>
            </w:pPr>
            <w:r w:rsidRPr="006C3A76">
              <w:rPr>
                <w:rFonts w:eastAsia="Times New Roman" w:cstheme="minorHAnsi"/>
                <w:b/>
                <w:bCs/>
                <w:sz w:val="20"/>
                <w:szCs w:val="20"/>
              </w:rPr>
              <w:t>103,30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D337C6" w14:textId="77777777" w:rsidR="002A4198" w:rsidRPr="00A36658" w:rsidRDefault="002A4198" w:rsidP="00411DC9">
            <w:pPr>
              <w:jc w:val="right"/>
              <w:rPr>
                <w:rFonts w:eastAsia="Times New Roman" w:cstheme="minorHAnsi"/>
              </w:rPr>
            </w:pPr>
            <w:r w:rsidRPr="00A36658">
              <w:rPr>
                <w:rFonts w:eastAsia="Times New Roman" w:cstheme="minorHAnsi"/>
                <w:b/>
                <w:bCs/>
                <w:sz w:val="20"/>
                <w:szCs w:val="20"/>
              </w:rPr>
              <w:t>1 514</w:t>
            </w:r>
            <w:r>
              <w:rPr>
                <w:rFonts w:eastAsia="Times New Roman" w:cstheme="minorHAnsi"/>
                <w:b/>
                <w:bCs/>
                <w:sz w:val="20"/>
                <w:szCs w:val="20"/>
              </w:rPr>
              <w:t> </w:t>
            </w:r>
            <w:r w:rsidRPr="00A36658">
              <w:rPr>
                <w:rFonts w:eastAsia="Times New Roman" w:cstheme="minorHAnsi"/>
                <w:b/>
                <w:bCs/>
                <w:sz w:val="20"/>
                <w:szCs w:val="20"/>
              </w:rPr>
              <w:t>104</w:t>
            </w:r>
            <w:r>
              <w:rPr>
                <w:rFonts w:eastAsia="Times New Roman" w:cstheme="minorHAnsi"/>
                <w:b/>
                <w:bCs/>
                <w:sz w:val="20"/>
                <w:szCs w:val="20"/>
              </w:rPr>
              <w:t>,00</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760F8077" w14:textId="77777777" w:rsidR="002A4198" w:rsidRPr="00136FB7" w:rsidRDefault="002A4198" w:rsidP="00411DC9">
            <w:pPr>
              <w:jc w:val="right"/>
              <w:rPr>
                <w:rFonts w:eastAsia="Times New Roman" w:cstheme="minorHAnsi"/>
                <w:b/>
                <w:bCs/>
                <w:sz w:val="20"/>
                <w:szCs w:val="20"/>
              </w:rPr>
            </w:pPr>
            <w:r w:rsidRPr="00136FB7">
              <w:rPr>
                <w:rFonts w:eastAsia="Times New Roman" w:cstheme="minorHAnsi"/>
                <w:b/>
                <w:bCs/>
                <w:sz w:val="20"/>
                <w:szCs w:val="20"/>
              </w:rPr>
              <w:t>104,95</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C057C1" w14:textId="77777777" w:rsidR="002A4198" w:rsidRPr="00A36658" w:rsidRDefault="002A4198" w:rsidP="00411DC9">
            <w:pPr>
              <w:jc w:val="right"/>
              <w:rPr>
                <w:rFonts w:eastAsia="Times New Roman" w:cstheme="minorHAnsi"/>
              </w:rPr>
            </w:pPr>
            <w:r w:rsidRPr="00A36658">
              <w:rPr>
                <w:rFonts w:eastAsia="Times New Roman" w:cstheme="minorHAnsi"/>
                <w:b/>
                <w:bCs/>
                <w:sz w:val="20"/>
                <w:szCs w:val="20"/>
              </w:rPr>
              <w:t>1 574</w:t>
            </w:r>
            <w:r>
              <w:rPr>
                <w:rFonts w:eastAsia="Times New Roman" w:cstheme="minorHAnsi"/>
                <w:b/>
                <w:bCs/>
                <w:sz w:val="20"/>
                <w:szCs w:val="20"/>
              </w:rPr>
              <w:t> </w:t>
            </w:r>
            <w:r w:rsidRPr="00A36658">
              <w:rPr>
                <w:rFonts w:eastAsia="Times New Roman" w:cstheme="minorHAnsi"/>
                <w:b/>
                <w:bCs/>
                <w:sz w:val="20"/>
                <w:szCs w:val="20"/>
              </w:rPr>
              <w:t>068</w:t>
            </w:r>
            <w:r>
              <w:rPr>
                <w:rFonts w:eastAsia="Times New Roman" w:cstheme="minorHAnsi"/>
                <w:b/>
                <w:bCs/>
                <w:sz w:val="20"/>
                <w:szCs w:val="20"/>
              </w:rPr>
              <w:t>,00</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2CF37123" w14:textId="77777777" w:rsidR="002A4198" w:rsidRPr="00136FB7" w:rsidRDefault="002A4198" w:rsidP="00411DC9">
            <w:pPr>
              <w:jc w:val="right"/>
              <w:rPr>
                <w:rFonts w:eastAsia="Times New Roman" w:cstheme="minorHAnsi"/>
                <w:b/>
                <w:bCs/>
                <w:sz w:val="20"/>
                <w:szCs w:val="20"/>
              </w:rPr>
            </w:pPr>
            <w:r w:rsidRPr="00136FB7">
              <w:rPr>
                <w:rFonts w:eastAsia="Times New Roman" w:cstheme="minorHAnsi"/>
                <w:b/>
                <w:bCs/>
                <w:sz w:val="20"/>
                <w:szCs w:val="20"/>
              </w:rPr>
              <w:t>103,96</w:t>
            </w:r>
          </w:p>
        </w:tc>
      </w:tr>
      <w:tr w:rsidR="002A4198" w:rsidRPr="00A36658" w14:paraId="420CC965"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F528D5" w14:textId="77777777" w:rsidR="002A4198" w:rsidRPr="00A36658" w:rsidRDefault="002A4198" w:rsidP="00411DC9">
            <w:pPr>
              <w:rPr>
                <w:rFonts w:eastAsia="Times New Roman" w:cstheme="minorHAnsi"/>
              </w:rPr>
            </w:pPr>
            <w:r w:rsidRPr="00A36658">
              <w:rPr>
                <w:rFonts w:eastAsia="Times New Roman" w:cstheme="minorHAnsi"/>
                <w:sz w:val="20"/>
                <w:szCs w:val="20"/>
              </w:rPr>
              <w:t>640</w:t>
            </w:r>
            <w:r w:rsidRPr="00A36658">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2C6C29" w14:textId="77777777" w:rsidR="002A4198" w:rsidRPr="00A36658" w:rsidRDefault="002A4198" w:rsidP="00411DC9">
            <w:pPr>
              <w:rPr>
                <w:rFonts w:eastAsia="Times New Roman" w:cstheme="minorHAnsi"/>
              </w:rPr>
            </w:pPr>
            <w:r w:rsidRPr="00A36658">
              <w:rPr>
                <w:rFonts w:eastAsia="Times New Roman" w:cstheme="minorHAnsi"/>
                <w:sz w:val="20"/>
                <w:szCs w:val="20"/>
              </w:rPr>
              <w:t>Bežné transfery</w:t>
            </w:r>
            <w:r w:rsidRPr="00A36658">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3E599A" w14:textId="77777777" w:rsidR="002A4198" w:rsidRPr="00AA5A11" w:rsidRDefault="002A4198" w:rsidP="00411DC9">
            <w:pPr>
              <w:jc w:val="right"/>
              <w:rPr>
                <w:rFonts w:eastAsia="Times New Roman" w:cstheme="minorHAnsi"/>
              </w:rPr>
            </w:pPr>
            <w:r w:rsidRPr="00AA5A11">
              <w:rPr>
                <w:rFonts w:eastAsia="Times New Roman" w:cstheme="minorHAnsi"/>
                <w:sz w:val="20"/>
                <w:szCs w:val="20"/>
              </w:rPr>
              <w:t>1 396 629,60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005AC3" w14:textId="77777777" w:rsidR="002A4198" w:rsidRPr="00D90874" w:rsidRDefault="002A4198" w:rsidP="00411DC9">
            <w:pPr>
              <w:jc w:val="right"/>
              <w:rPr>
                <w:rFonts w:eastAsia="Times New Roman" w:cstheme="minorHAnsi"/>
              </w:rPr>
            </w:pPr>
            <w:r w:rsidRPr="00D90874">
              <w:rPr>
                <w:rFonts w:eastAsia="Times New Roman" w:cstheme="minorHAnsi"/>
                <w:sz w:val="20"/>
                <w:szCs w:val="20"/>
              </w:rPr>
              <w:t>1 442 719,00</w:t>
            </w: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76A6C14E" w14:textId="77777777" w:rsidR="002A4198" w:rsidRPr="006C3A76" w:rsidRDefault="002A4198" w:rsidP="00411DC9">
            <w:pPr>
              <w:jc w:val="right"/>
              <w:rPr>
                <w:rFonts w:eastAsia="Times New Roman" w:cstheme="minorHAnsi"/>
                <w:sz w:val="20"/>
                <w:szCs w:val="20"/>
              </w:rPr>
            </w:pPr>
            <w:r w:rsidRPr="006C3A76">
              <w:rPr>
                <w:rFonts w:eastAsia="Times New Roman" w:cstheme="minorHAnsi"/>
                <w:sz w:val="20"/>
                <w:szCs w:val="20"/>
              </w:rPr>
              <w:t>103,30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52BEB3" w14:textId="77777777" w:rsidR="002A4198" w:rsidRPr="00D90874" w:rsidRDefault="002A4198" w:rsidP="00411DC9">
            <w:pPr>
              <w:jc w:val="right"/>
              <w:rPr>
                <w:rFonts w:eastAsia="Times New Roman" w:cstheme="minorHAnsi"/>
              </w:rPr>
            </w:pPr>
            <w:r w:rsidRPr="00D90874">
              <w:rPr>
                <w:rFonts w:eastAsia="Times New Roman" w:cstheme="minorHAnsi"/>
                <w:sz w:val="20"/>
                <w:szCs w:val="20"/>
              </w:rPr>
              <w:t>1 514 104,00</w:t>
            </w: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5F6AD27C" w14:textId="77777777" w:rsidR="002A4198" w:rsidRPr="00136FB7" w:rsidRDefault="002A4198" w:rsidP="00411DC9">
            <w:pPr>
              <w:jc w:val="right"/>
              <w:rPr>
                <w:rFonts w:eastAsia="Times New Roman" w:cstheme="minorHAnsi"/>
                <w:sz w:val="20"/>
                <w:szCs w:val="20"/>
              </w:rPr>
            </w:pPr>
            <w:r w:rsidRPr="00136FB7">
              <w:rPr>
                <w:rFonts w:eastAsia="Times New Roman" w:cstheme="minorHAnsi"/>
                <w:sz w:val="20"/>
                <w:szCs w:val="20"/>
              </w:rPr>
              <w:t>104,95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19C9D2" w14:textId="77777777" w:rsidR="002A4198" w:rsidRPr="00D90874" w:rsidRDefault="002A4198" w:rsidP="00411DC9">
            <w:pPr>
              <w:jc w:val="right"/>
              <w:rPr>
                <w:rFonts w:eastAsia="Times New Roman" w:cstheme="minorHAnsi"/>
              </w:rPr>
            </w:pPr>
            <w:r w:rsidRPr="00D90874">
              <w:rPr>
                <w:rFonts w:eastAsia="Times New Roman" w:cstheme="minorHAnsi"/>
                <w:sz w:val="20"/>
                <w:szCs w:val="20"/>
              </w:rPr>
              <w:t>1 574 068,00</w:t>
            </w: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186050E9" w14:textId="77777777" w:rsidR="002A4198" w:rsidRPr="00136FB7" w:rsidRDefault="002A4198" w:rsidP="00411DC9">
            <w:pPr>
              <w:jc w:val="right"/>
              <w:rPr>
                <w:rFonts w:eastAsia="Times New Roman" w:cstheme="minorHAnsi"/>
                <w:sz w:val="20"/>
                <w:szCs w:val="20"/>
              </w:rPr>
            </w:pPr>
            <w:r w:rsidRPr="00136FB7">
              <w:rPr>
                <w:rFonts w:eastAsia="Times New Roman" w:cstheme="minorHAnsi"/>
                <w:sz w:val="20"/>
                <w:szCs w:val="20"/>
              </w:rPr>
              <w:t>103,96</w:t>
            </w:r>
          </w:p>
        </w:tc>
      </w:tr>
    </w:tbl>
    <w:p w14:paraId="7F96FDDB" w14:textId="77777777" w:rsidR="002A4198" w:rsidRPr="00A36658" w:rsidRDefault="002A4198" w:rsidP="002A4198">
      <w:pPr>
        <w:pStyle w:val="Normlnywebov"/>
        <w:spacing w:before="0" w:beforeAutospacing="0" w:after="0" w:afterAutospacing="0"/>
        <w:rPr>
          <w:rFonts w:asciiTheme="minorHAnsi" w:hAnsiTheme="minorHAnsi" w:cstheme="minorHAnsi"/>
          <w:vanish/>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52"/>
        <w:gridCol w:w="1839"/>
        <w:gridCol w:w="1766"/>
        <w:gridCol w:w="1839"/>
        <w:gridCol w:w="1854"/>
      </w:tblGrid>
      <w:tr w:rsidR="002A4198" w:rsidRPr="00A36658" w14:paraId="4ED20931"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95B66A" w14:textId="77777777" w:rsidR="002A4198" w:rsidRPr="00A36658" w:rsidRDefault="002A4198" w:rsidP="00411DC9">
            <w:pPr>
              <w:rPr>
                <w:rFonts w:eastAsia="Times New Roman" w:cstheme="minorHAnsi"/>
              </w:rPr>
            </w:pPr>
            <w:r w:rsidRPr="00A36658">
              <w:rPr>
                <w:rFonts w:eastAsia="Times New Roman" w:cstheme="minorHAnsi"/>
                <w:b/>
                <w:bCs/>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83E417" w14:textId="77777777" w:rsidR="002A4198" w:rsidRPr="00A36658" w:rsidRDefault="002A4198" w:rsidP="00411DC9">
            <w:pPr>
              <w:rPr>
                <w:rFonts w:eastAsia="Times New Roman" w:cstheme="minorHAnsi"/>
              </w:rPr>
            </w:pPr>
            <w:r w:rsidRPr="00A36658">
              <w:rPr>
                <w:rFonts w:eastAsia="Times New Roman" w:cstheme="minorHAnsi"/>
              </w:rPr>
              <w:t>Odbor dopravy</w:t>
            </w:r>
          </w:p>
        </w:tc>
      </w:tr>
      <w:tr w:rsidR="002A4198" w:rsidRPr="00A36658" w14:paraId="7620BE53"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B77789" w14:textId="77777777" w:rsidR="002A4198" w:rsidRPr="00A36658" w:rsidRDefault="002A4198" w:rsidP="00411DC9">
            <w:pPr>
              <w:rPr>
                <w:rFonts w:eastAsia="Times New Roman" w:cstheme="minorHAnsi"/>
              </w:rPr>
            </w:pPr>
            <w:r w:rsidRPr="00A36658">
              <w:rPr>
                <w:rFonts w:eastAsia="Times New Roman" w:cstheme="minorHAnsi"/>
                <w:b/>
                <w:bCs/>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71C1B3" w14:textId="77777777" w:rsidR="002A4198" w:rsidRPr="00A36658" w:rsidRDefault="002A4198" w:rsidP="00411DC9">
            <w:pPr>
              <w:rPr>
                <w:rFonts w:eastAsia="Times New Roman" w:cstheme="minorHAnsi"/>
              </w:rPr>
            </w:pPr>
            <w:r w:rsidRPr="00A36658">
              <w:rPr>
                <w:rFonts w:eastAsia="Times New Roman" w:cstheme="minorHAnsi"/>
                <w:b/>
                <w:bCs/>
              </w:rPr>
              <w:t>Organizácia integrovaného dopravného systému</w:t>
            </w:r>
          </w:p>
        </w:tc>
      </w:tr>
      <w:tr w:rsidR="002A4198" w:rsidRPr="00A36658" w14:paraId="10985DB7"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326F3C" w14:textId="77777777" w:rsidR="002A4198" w:rsidRPr="00A36658" w:rsidRDefault="002A4198" w:rsidP="00411DC9">
            <w:pPr>
              <w:rPr>
                <w:rFonts w:eastAsia="Times New Roman" w:cstheme="minorHAnsi"/>
              </w:rPr>
            </w:pPr>
            <w:r w:rsidRPr="00A36658">
              <w:rPr>
                <w:rFonts w:eastAsia="Times New Roman" w:cstheme="minorHAnsi"/>
                <w:b/>
                <w:bCs/>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E23F04" w14:textId="77777777" w:rsidR="002A4198" w:rsidRPr="00A36658" w:rsidRDefault="002A4198" w:rsidP="00411DC9">
            <w:pPr>
              <w:rPr>
                <w:rFonts w:eastAsia="Times New Roman" w:cstheme="minorHAnsi"/>
              </w:rPr>
            </w:pPr>
            <w:r w:rsidRPr="00A36658">
              <w:rPr>
                <w:rFonts w:eastAsia="Times New Roman" w:cstheme="minorHAnsi"/>
              </w:rPr>
              <w:t>Počet prepravených osôb v IDS BK</w:t>
            </w:r>
          </w:p>
        </w:tc>
      </w:tr>
      <w:tr w:rsidR="002A4198" w:rsidRPr="00A36658" w14:paraId="42CDB4F0"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4FE01D" w14:textId="77777777" w:rsidR="002A4198" w:rsidRPr="00A36658" w:rsidRDefault="002A4198" w:rsidP="00411DC9">
            <w:pPr>
              <w:rPr>
                <w:rFonts w:eastAsia="Times New Roman" w:cstheme="minorHAnsi"/>
              </w:rPr>
            </w:pPr>
            <w:r w:rsidRPr="00A36658">
              <w:rPr>
                <w:rFonts w:eastAsia="Times New Roman" w:cstheme="minorHAnsi"/>
                <w:b/>
                <w:bCs/>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559FEF" w14:textId="77777777" w:rsidR="002A4198" w:rsidRPr="00A36658" w:rsidRDefault="002A4198" w:rsidP="00411DC9">
            <w:pPr>
              <w:jc w:val="center"/>
              <w:rPr>
                <w:rFonts w:eastAsia="Times New Roman" w:cstheme="minorHAnsi"/>
              </w:rPr>
            </w:pPr>
            <w:r w:rsidRPr="00A36658">
              <w:rPr>
                <w:rFonts w:eastAsia="Times New Roman" w:cstheme="minorHAns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E58724" w14:textId="77777777" w:rsidR="002A4198" w:rsidRPr="00A36658" w:rsidRDefault="002A4198" w:rsidP="00411DC9">
            <w:pPr>
              <w:jc w:val="center"/>
              <w:rPr>
                <w:rFonts w:eastAsia="Times New Roman" w:cstheme="minorHAnsi"/>
              </w:rPr>
            </w:pPr>
            <w:r w:rsidRPr="00A36658">
              <w:rPr>
                <w:rFonts w:eastAsia="Times New Roman" w:cstheme="minorHAns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7E3875" w14:textId="77777777" w:rsidR="002A4198" w:rsidRPr="00A36658" w:rsidRDefault="002A4198" w:rsidP="00411DC9">
            <w:pPr>
              <w:jc w:val="center"/>
              <w:rPr>
                <w:rFonts w:eastAsia="Times New Roman" w:cstheme="minorHAnsi"/>
              </w:rPr>
            </w:pPr>
            <w:r w:rsidRPr="00A36658">
              <w:rPr>
                <w:rFonts w:eastAsia="Times New Roman" w:cstheme="minorHAns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48CC2D" w14:textId="77777777" w:rsidR="002A4198" w:rsidRPr="00A36658" w:rsidRDefault="002A4198" w:rsidP="00411DC9">
            <w:pPr>
              <w:jc w:val="center"/>
              <w:rPr>
                <w:rFonts w:eastAsia="Times New Roman" w:cstheme="minorHAnsi"/>
              </w:rPr>
            </w:pPr>
            <w:r w:rsidRPr="00A36658">
              <w:rPr>
                <w:rFonts w:eastAsia="Times New Roman" w:cstheme="minorHAnsi"/>
              </w:rPr>
              <w:t>2027</w:t>
            </w:r>
          </w:p>
        </w:tc>
      </w:tr>
      <w:tr w:rsidR="002A4198" w:rsidRPr="007F31C9" w14:paraId="0010227B" w14:textId="77777777" w:rsidTr="00411DC9">
        <w:trPr>
          <w:trHeight w:hRule="exact" w:val="284"/>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A325D0" w14:textId="77777777" w:rsidR="002A4198" w:rsidRPr="00A36658" w:rsidRDefault="002A4198" w:rsidP="00411DC9">
            <w:pPr>
              <w:rPr>
                <w:rFonts w:eastAsia="Times New Roman" w:cstheme="minorHAnsi"/>
              </w:rPr>
            </w:pPr>
            <w:r w:rsidRPr="00A36658">
              <w:rPr>
                <w:rFonts w:eastAsia="Times New Roman" w:cstheme="minorHAnsi"/>
                <w:b/>
                <w:bCs/>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EE9978" w14:textId="77777777" w:rsidR="002A4198" w:rsidRPr="00A36658" w:rsidRDefault="002A4198" w:rsidP="00411DC9">
            <w:pPr>
              <w:jc w:val="center"/>
              <w:rPr>
                <w:rFonts w:eastAsia="Times New Roman" w:cstheme="minorHAnsi"/>
              </w:rPr>
            </w:pPr>
            <w:r w:rsidRPr="00A36658">
              <w:rPr>
                <w:rFonts w:eastAsia="Times New Roman" w:cstheme="minorHAnsi"/>
              </w:rPr>
              <w:t> </w:t>
            </w:r>
            <w:r>
              <w:t>304 154 970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826291" w14:textId="77777777" w:rsidR="002A4198" w:rsidRPr="00A36658" w:rsidRDefault="002A4198" w:rsidP="00411DC9">
            <w:pPr>
              <w:jc w:val="center"/>
              <w:rPr>
                <w:rFonts w:eastAsia="Times New Roman" w:cstheme="minorHAnsi"/>
              </w:rPr>
            </w:pPr>
            <w:r w:rsidRPr="00A36658">
              <w:rPr>
                <w:rFonts w:eastAsia="Times New Roman" w:cstheme="minorHAnsi"/>
                <w:b/>
                <w:bCs/>
              </w:rPr>
              <w:t>357 306 804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0C2393" w14:textId="77777777" w:rsidR="002A4198" w:rsidRPr="00A36658" w:rsidRDefault="002A4198" w:rsidP="00411DC9">
            <w:pPr>
              <w:jc w:val="center"/>
              <w:rPr>
                <w:rFonts w:eastAsia="Times New Roman" w:cstheme="minorHAnsi"/>
              </w:rPr>
            </w:pPr>
            <w:r w:rsidRPr="00A36658">
              <w:rPr>
                <w:rFonts w:eastAsia="Times New Roman" w:cstheme="minorHAnsi"/>
              </w:rPr>
              <w:t> 371 599 076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BDA282" w14:textId="77777777" w:rsidR="002A4198" w:rsidRPr="00A36658" w:rsidRDefault="002A4198" w:rsidP="00411DC9">
            <w:pPr>
              <w:jc w:val="center"/>
              <w:rPr>
                <w:rFonts w:eastAsia="Times New Roman" w:cstheme="minorHAnsi"/>
              </w:rPr>
            </w:pPr>
            <w:r w:rsidRPr="00A36658">
              <w:rPr>
                <w:rFonts w:eastAsia="Times New Roman" w:cstheme="minorHAnsi"/>
              </w:rPr>
              <w:t> 382 747 049</w:t>
            </w:r>
          </w:p>
        </w:tc>
      </w:tr>
    </w:tbl>
    <w:p w14:paraId="06078694" w14:textId="77777777" w:rsidR="002A4198" w:rsidRDefault="002A4198" w:rsidP="002A4198">
      <w:pPr>
        <w:spacing w:before="100" w:beforeAutospacing="1" w:after="100" w:afterAutospacing="1" w:line="240" w:lineRule="auto"/>
        <w:jc w:val="both"/>
        <w:rPr>
          <w:rFonts w:eastAsia="Times New Roman" w:cstheme="minorHAnsi"/>
          <w:sz w:val="24"/>
          <w:szCs w:val="24"/>
          <w:lang w:eastAsia="sk-SK"/>
        </w:rPr>
      </w:pPr>
      <w:r w:rsidRPr="00710F8D">
        <w:rPr>
          <w:rFonts w:eastAsia="Times New Roman" w:cstheme="minorHAnsi"/>
          <w:b/>
          <w:bCs/>
          <w:sz w:val="24"/>
          <w:szCs w:val="24"/>
          <w:lang w:eastAsia="sk-SK"/>
        </w:rPr>
        <w:t xml:space="preserve">Komentár: </w:t>
      </w:r>
      <w:r>
        <w:rPr>
          <w:rFonts w:eastAsia="Times New Roman" w:cstheme="minorHAnsi"/>
          <w:sz w:val="24"/>
          <w:szCs w:val="24"/>
          <w:lang w:eastAsia="sk-SK"/>
        </w:rPr>
        <w:t>R</w:t>
      </w:r>
      <w:r w:rsidRPr="00710F8D">
        <w:rPr>
          <w:rFonts w:eastAsia="Times New Roman" w:cstheme="minorHAnsi"/>
          <w:sz w:val="24"/>
          <w:szCs w:val="24"/>
          <w:lang w:eastAsia="sk-SK"/>
        </w:rPr>
        <w:t>ok 202</w:t>
      </w:r>
      <w:r>
        <w:rPr>
          <w:rFonts w:eastAsia="Times New Roman" w:cstheme="minorHAnsi"/>
          <w:sz w:val="24"/>
          <w:szCs w:val="24"/>
          <w:lang w:eastAsia="sk-SK"/>
        </w:rPr>
        <w:t>4</w:t>
      </w:r>
      <w:r w:rsidRPr="00710F8D">
        <w:rPr>
          <w:rFonts w:eastAsia="Times New Roman" w:cstheme="minorHAnsi"/>
          <w:sz w:val="24"/>
          <w:szCs w:val="24"/>
          <w:lang w:eastAsia="sk-SK"/>
        </w:rPr>
        <w:t xml:space="preserve"> </w:t>
      </w:r>
      <w:r>
        <w:rPr>
          <w:rFonts w:eastAsia="Times New Roman" w:cstheme="minorHAnsi"/>
          <w:sz w:val="24"/>
          <w:szCs w:val="24"/>
          <w:lang w:eastAsia="sk-SK"/>
        </w:rPr>
        <w:t xml:space="preserve">už bol bez </w:t>
      </w:r>
      <w:proofErr w:type="spellStart"/>
      <w:r w:rsidRPr="00710F8D">
        <w:rPr>
          <w:rFonts w:eastAsia="Times New Roman" w:cstheme="minorHAnsi"/>
          <w:sz w:val="24"/>
          <w:szCs w:val="24"/>
          <w:lang w:eastAsia="sk-SK"/>
        </w:rPr>
        <w:t>protipandemických</w:t>
      </w:r>
      <w:proofErr w:type="spellEnd"/>
      <w:r w:rsidRPr="00710F8D">
        <w:rPr>
          <w:rFonts w:eastAsia="Times New Roman" w:cstheme="minorHAnsi"/>
          <w:sz w:val="24"/>
          <w:szCs w:val="24"/>
          <w:lang w:eastAsia="sk-SK"/>
        </w:rPr>
        <w:t xml:space="preserve"> opatrení, život v krajine sa vrátil do bežného stavu aj čo sa týka mobility obyvateľstva. Bol zaznamenaný návrat cestujúcich do verejnej dopravy, oproti </w:t>
      </w:r>
      <w:r>
        <w:rPr>
          <w:rFonts w:eastAsia="Times New Roman" w:cstheme="minorHAnsi"/>
          <w:sz w:val="24"/>
          <w:szCs w:val="24"/>
          <w:lang w:eastAsia="sk-SK"/>
        </w:rPr>
        <w:t>predchádzajúcim</w:t>
      </w:r>
      <w:r w:rsidRPr="00710F8D">
        <w:rPr>
          <w:rFonts w:eastAsia="Times New Roman" w:cstheme="minorHAnsi"/>
          <w:sz w:val="24"/>
          <w:szCs w:val="24"/>
          <w:lang w:eastAsia="sk-SK"/>
        </w:rPr>
        <w:t xml:space="preserve"> rokom, kedy bol zaznamenaný výrazný pokles počtu prepravených cestujúcich. Výhľad je pozitívny. Úlohou na ďalšie roky bude vyvíjať aktivitu k postupnému ďalšiemu zvyšovaniu počtu prepravených cestujúcich. Predpokladáme každoročný nárast počtu prepravených cestujúcich oproti predchádzajúcemu roku</w:t>
      </w:r>
      <w:r>
        <w:rPr>
          <w:rFonts w:eastAsia="Times New Roman" w:cstheme="minorHAnsi"/>
          <w:sz w:val="24"/>
          <w:szCs w:val="24"/>
          <w:lang w:eastAsia="sk-SK"/>
        </w:rPr>
        <w:t>:</w:t>
      </w:r>
      <w:r w:rsidRPr="00710F8D">
        <w:rPr>
          <w:rFonts w:eastAsia="Times New Roman" w:cstheme="minorHAnsi"/>
          <w:sz w:val="24"/>
          <w:szCs w:val="24"/>
          <w:lang w:eastAsia="sk-SK"/>
        </w:rPr>
        <w:t xml:space="preserve"> o </w:t>
      </w:r>
      <w:r>
        <w:rPr>
          <w:rFonts w:eastAsia="Times New Roman" w:cstheme="minorHAnsi"/>
          <w:sz w:val="24"/>
          <w:szCs w:val="24"/>
          <w:lang w:eastAsia="sk-SK"/>
        </w:rPr>
        <w:t>5</w:t>
      </w:r>
      <w:r w:rsidRPr="00710F8D">
        <w:rPr>
          <w:rFonts w:eastAsia="Times New Roman" w:cstheme="minorHAnsi"/>
          <w:sz w:val="24"/>
          <w:szCs w:val="24"/>
          <w:lang w:eastAsia="sk-SK"/>
        </w:rPr>
        <w:t>%</w:t>
      </w:r>
      <w:r>
        <w:rPr>
          <w:rFonts w:eastAsia="Times New Roman" w:cstheme="minorHAnsi"/>
          <w:sz w:val="24"/>
          <w:szCs w:val="24"/>
          <w:lang w:eastAsia="sk-SK"/>
        </w:rPr>
        <w:t xml:space="preserve"> v 2025, o 4% v 2026, o 3% v 2027</w:t>
      </w:r>
      <w:r w:rsidRPr="00710F8D">
        <w:rPr>
          <w:rFonts w:eastAsia="Times New Roman" w:cstheme="minorHAnsi"/>
          <w:sz w:val="24"/>
          <w:szCs w:val="24"/>
          <w:lang w:eastAsia="sk-SK"/>
        </w:rPr>
        <w:t>.</w:t>
      </w:r>
      <w:r>
        <w:rPr>
          <w:rFonts w:eastAsia="Times New Roman" w:cstheme="minorHAnsi"/>
          <w:sz w:val="24"/>
          <w:szCs w:val="24"/>
          <w:lang w:eastAsia="sk-SK"/>
        </w:rPr>
        <w:t xml:space="preserve"> Na refundácie bonusových zliav pre BID je vyčlenených 15 000€ ročne.</w:t>
      </w:r>
    </w:p>
    <w:p w14:paraId="69C29097" w14:textId="77777777" w:rsidR="002A4198" w:rsidRDefault="002A4198" w:rsidP="002A4198">
      <w:pPr>
        <w:spacing w:before="100" w:beforeAutospacing="1" w:after="100" w:afterAutospacing="1" w:line="240" w:lineRule="auto"/>
        <w:jc w:val="both"/>
        <w:rPr>
          <w:rFonts w:eastAsia="Times New Roman" w:cstheme="minorHAnsi"/>
          <w:sz w:val="24"/>
          <w:szCs w:val="24"/>
          <w:lang w:eastAsia="sk-SK"/>
        </w:rPr>
      </w:pPr>
      <w:r w:rsidRPr="00710F8D">
        <w:rPr>
          <w:rFonts w:eastAsia="Times New Roman" w:cstheme="minorHAnsi"/>
          <w:sz w:val="24"/>
          <w:szCs w:val="24"/>
          <w:lang w:eastAsia="sk-SK"/>
        </w:rPr>
        <w:t xml:space="preserve">Spoločnosť BID, </w:t>
      </w:r>
      <w:proofErr w:type="spellStart"/>
      <w:r w:rsidRPr="00710F8D">
        <w:rPr>
          <w:rFonts w:eastAsia="Times New Roman" w:cstheme="minorHAnsi"/>
          <w:sz w:val="24"/>
          <w:szCs w:val="24"/>
          <w:lang w:eastAsia="sk-SK"/>
        </w:rPr>
        <w:t>a.s</w:t>
      </w:r>
      <w:proofErr w:type="spellEnd"/>
      <w:r w:rsidRPr="00710F8D">
        <w:rPr>
          <w:rFonts w:eastAsia="Times New Roman" w:cstheme="minorHAnsi"/>
          <w:sz w:val="24"/>
          <w:szCs w:val="24"/>
          <w:lang w:eastAsia="sk-SK"/>
        </w:rPr>
        <w:t>. zabezpečuje úlohy a úkony súvisiace s prevádzkou Integrovaného dopravného systému v Bratislavskom kraji, na základe zmluvných vzťahov s objednávateľmi dopravy Hl. m. SR Bratislava</w:t>
      </w:r>
      <w:r>
        <w:rPr>
          <w:rFonts w:eastAsia="Times New Roman" w:cstheme="minorHAnsi"/>
          <w:sz w:val="24"/>
          <w:szCs w:val="24"/>
          <w:lang w:eastAsia="sk-SK"/>
        </w:rPr>
        <w:t>, MD SR</w:t>
      </w:r>
      <w:r w:rsidRPr="00710F8D">
        <w:rPr>
          <w:rFonts w:eastAsia="Times New Roman" w:cstheme="minorHAnsi"/>
          <w:sz w:val="24"/>
          <w:szCs w:val="24"/>
          <w:lang w:eastAsia="sk-SK"/>
        </w:rPr>
        <w:t xml:space="preserve"> a BSK. Zároveň vykonáva úlohy vyplývajúce zo zmluvných vzťahov s dopravcami zapojenými do IDS BK.</w:t>
      </w:r>
      <w:r>
        <w:rPr>
          <w:rFonts w:eastAsia="Times New Roman" w:cstheme="minorHAnsi"/>
          <w:sz w:val="24"/>
          <w:szCs w:val="24"/>
          <w:lang w:eastAsia="sk-SK"/>
        </w:rPr>
        <w:t xml:space="preserve"> </w:t>
      </w:r>
      <w:r w:rsidRPr="00710F8D">
        <w:rPr>
          <w:rFonts w:eastAsia="Times New Roman" w:cstheme="minorHAnsi"/>
          <w:sz w:val="24"/>
          <w:szCs w:val="24"/>
          <w:lang w:eastAsia="sk-SK"/>
        </w:rPr>
        <w:t xml:space="preserve">IDS BK bol spustený 1.6.2013 a k poslednému rozšíreniu prišlo od 5.9.2022. Už od vzniku IDS BK vystupuje spoločnosť BID, a. s. ako organizátor systému. Z toho mu vyplývajú úlohy definované v zmluvných vzťahoch. Medzi úlohy patrí najmä navrhovanie objemu dopravných výkonov jednotlivých druhov dopráv vychádzajúceho z návrhov cestovných poriadkov obsahujúcich vzájomnú koordináciu liniek a spojov, navrhovanie spoločnej tarify a prepravných podmienok, prevádzkovanie vybraných predajných kanálov a zúčtovacieho centra, </w:t>
      </w:r>
      <w:r>
        <w:rPr>
          <w:rFonts w:eastAsia="Times New Roman" w:cstheme="minorHAnsi"/>
          <w:sz w:val="24"/>
          <w:szCs w:val="24"/>
          <w:lang w:eastAsia="sk-SK"/>
        </w:rPr>
        <w:t xml:space="preserve">prevádzkovanie centrálneho dispečingu pre zabezpečenie garantovanej nadväznosti, </w:t>
      </w:r>
      <w:r w:rsidRPr="00710F8D">
        <w:rPr>
          <w:rFonts w:eastAsia="Times New Roman" w:cstheme="minorHAnsi"/>
          <w:sz w:val="24"/>
          <w:szCs w:val="24"/>
          <w:lang w:eastAsia="sk-SK"/>
        </w:rPr>
        <w:t>definovanie jednotných štandardov verejnej dopravy a spoločného rozvoja systému, informačné služby pre cestujúcu verejnosť, zvyšovanie povedomia a dobrého mena verejnej dopravy v očiach verejnosti a v neposlednom rade aj kontrola prevádzky IDS BK po stránke ekonomickej aj dopravnej.</w:t>
      </w:r>
    </w:p>
    <w:p w14:paraId="6831DA85" w14:textId="77777777" w:rsidR="002A4198" w:rsidRDefault="002A4198" w:rsidP="002A4198">
      <w:pPr>
        <w:spacing w:before="100" w:beforeAutospacing="1" w:after="100" w:afterAutospacing="1" w:line="240" w:lineRule="auto"/>
        <w:jc w:val="both"/>
        <w:rPr>
          <w:rFonts w:eastAsia="Times New Roman" w:cstheme="minorHAnsi"/>
          <w:sz w:val="24"/>
          <w:szCs w:val="24"/>
          <w:lang w:eastAsia="sk-SK"/>
        </w:rPr>
      </w:pPr>
      <w:r w:rsidRPr="00710F8D">
        <w:rPr>
          <w:rFonts w:eastAsia="Times New Roman" w:cstheme="minorHAnsi"/>
          <w:sz w:val="24"/>
          <w:szCs w:val="24"/>
          <w:lang w:eastAsia="sk-SK"/>
        </w:rPr>
        <w:t>Spoločnosť BID, a.</w:t>
      </w:r>
      <w:r>
        <w:rPr>
          <w:rFonts w:eastAsia="Times New Roman" w:cstheme="minorHAnsi"/>
          <w:sz w:val="24"/>
          <w:szCs w:val="24"/>
          <w:lang w:eastAsia="sk-SK"/>
        </w:rPr>
        <w:t xml:space="preserve"> </w:t>
      </w:r>
      <w:r w:rsidRPr="00710F8D">
        <w:rPr>
          <w:rFonts w:eastAsia="Times New Roman" w:cstheme="minorHAnsi"/>
          <w:sz w:val="24"/>
          <w:szCs w:val="24"/>
          <w:lang w:eastAsia="sk-SK"/>
        </w:rPr>
        <w:t xml:space="preserve">s. plánuje v roku </w:t>
      </w:r>
      <w:r w:rsidRPr="00A36658">
        <w:rPr>
          <w:rFonts w:eastAsia="Times New Roman" w:cstheme="minorHAnsi"/>
          <w:sz w:val="24"/>
          <w:szCs w:val="24"/>
          <w:lang w:eastAsia="sk-SK"/>
        </w:rPr>
        <w:t>2025</w:t>
      </w:r>
      <w:r w:rsidRPr="00710F8D">
        <w:rPr>
          <w:rFonts w:eastAsia="Times New Roman" w:cstheme="minorHAnsi"/>
          <w:sz w:val="24"/>
          <w:szCs w:val="24"/>
          <w:lang w:eastAsia="sk-SK"/>
        </w:rPr>
        <w:t xml:space="preserve"> realizáciu významných činností a projektov súvisiacich s prevádzkou a rozvojom IDS BK:</w:t>
      </w:r>
    </w:p>
    <w:p w14:paraId="5B991CFF" w14:textId="77777777" w:rsidR="002A4198" w:rsidRDefault="002A4198" w:rsidP="002A4198">
      <w:pPr>
        <w:spacing w:after="0" w:line="240" w:lineRule="auto"/>
        <w:jc w:val="both"/>
        <w:rPr>
          <w:rFonts w:eastAsia="Times New Roman" w:cstheme="minorHAnsi"/>
          <w:sz w:val="24"/>
          <w:szCs w:val="24"/>
          <w:lang w:eastAsia="sk-SK"/>
        </w:rPr>
      </w:pPr>
      <w:r w:rsidRPr="005B58F4">
        <w:rPr>
          <w:rFonts w:eastAsia="Times New Roman" w:cstheme="minorHAnsi"/>
          <w:sz w:val="24"/>
          <w:szCs w:val="24"/>
          <w:lang w:eastAsia="sk-SK"/>
        </w:rPr>
        <w:t>1.</w:t>
      </w:r>
      <w:r>
        <w:rPr>
          <w:rFonts w:eastAsia="Times New Roman" w:cstheme="minorHAnsi"/>
          <w:sz w:val="24"/>
          <w:szCs w:val="24"/>
          <w:lang w:eastAsia="sk-SK"/>
        </w:rPr>
        <w:t xml:space="preserve"> </w:t>
      </w:r>
      <w:r w:rsidRPr="005B58F4">
        <w:rPr>
          <w:rFonts w:eastAsia="Times New Roman" w:cstheme="minorHAnsi"/>
          <w:sz w:val="24"/>
          <w:szCs w:val="24"/>
          <w:lang w:eastAsia="sk-SK"/>
        </w:rPr>
        <w:t>Ako odborný garant bude spolupracovať pri zabezpečovaní prevádzky a kontroly nového vysúťaženého dopravcu zabezpečujúceho prímestskú autobusovú dopravu v BK, ako aj spracovávať návrhy cestovných poriadkov,</w:t>
      </w:r>
      <w:r w:rsidRPr="005B58F4">
        <w:rPr>
          <w:rFonts w:eastAsia="Times New Roman" w:cstheme="minorHAnsi"/>
          <w:sz w:val="24"/>
          <w:szCs w:val="24"/>
          <w:lang w:eastAsia="sk-SK"/>
        </w:rPr>
        <w:br/>
        <w:t>2. Zabezpečovať aktuálnosť Technických a prevádzkových štandardov IDS BK a kontrolovať ich dodržiavanie,</w:t>
      </w:r>
      <w:r w:rsidRPr="005B58F4">
        <w:rPr>
          <w:rFonts w:eastAsia="Times New Roman" w:cstheme="minorHAnsi"/>
          <w:sz w:val="24"/>
          <w:szCs w:val="24"/>
          <w:lang w:eastAsia="sk-SK"/>
        </w:rPr>
        <w:br/>
        <w:t>3. Zabezpečovať prevádzku a rozvoj centrálneho dispečingu IDS BK,</w:t>
      </w:r>
    </w:p>
    <w:p w14:paraId="1BFA4612" w14:textId="77777777" w:rsidR="002A4198" w:rsidRDefault="002A4198" w:rsidP="002A4198">
      <w:pPr>
        <w:spacing w:after="0" w:line="240" w:lineRule="auto"/>
        <w:jc w:val="both"/>
        <w:rPr>
          <w:rFonts w:eastAsia="Times New Roman" w:cstheme="minorHAnsi"/>
          <w:sz w:val="24"/>
          <w:szCs w:val="24"/>
          <w:lang w:eastAsia="sk-SK"/>
        </w:rPr>
      </w:pPr>
      <w:r w:rsidRPr="00013FA4">
        <w:rPr>
          <w:rFonts w:eastAsia="Times New Roman" w:cstheme="minorHAnsi"/>
          <w:sz w:val="24"/>
          <w:szCs w:val="24"/>
          <w:lang w:eastAsia="sk-SK"/>
        </w:rPr>
        <w:t>4. Realizovať činnosti na zabezpečenie prevádzkyschopnosti nových označovačov cestovných lístkov s EMV čítačkou kariet, ktoré sú postupne osádzané na železničné stanice na území IDS BK,</w:t>
      </w:r>
    </w:p>
    <w:p w14:paraId="6B5ED570" w14:textId="77777777" w:rsidR="002A4198" w:rsidRDefault="002A4198" w:rsidP="002A4198">
      <w:pPr>
        <w:spacing w:after="0" w:line="240" w:lineRule="auto"/>
        <w:jc w:val="both"/>
        <w:rPr>
          <w:rFonts w:eastAsia="Times New Roman" w:cstheme="minorHAnsi"/>
          <w:sz w:val="24"/>
          <w:szCs w:val="24"/>
          <w:lang w:eastAsia="sk-SK"/>
        </w:rPr>
      </w:pPr>
      <w:r w:rsidRPr="00013FA4">
        <w:rPr>
          <w:rFonts w:eastAsia="Times New Roman" w:cstheme="minorHAnsi"/>
          <w:sz w:val="24"/>
          <w:szCs w:val="24"/>
          <w:lang w:eastAsia="sk-SK"/>
        </w:rPr>
        <w:t xml:space="preserve">5. Prevádzkovať </w:t>
      </w:r>
      <w:proofErr w:type="spellStart"/>
      <w:r w:rsidRPr="00013FA4">
        <w:rPr>
          <w:rFonts w:eastAsia="Times New Roman" w:cstheme="minorHAnsi"/>
          <w:sz w:val="24"/>
          <w:szCs w:val="24"/>
          <w:lang w:eastAsia="sk-SK"/>
        </w:rPr>
        <w:t>eShop</w:t>
      </w:r>
      <w:proofErr w:type="spellEnd"/>
      <w:r w:rsidRPr="00013FA4">
        <w:rPr>
          <w:rFonts w:eastAsia="Times New Roman" w:cstheme="minorHAnsi"/>
          <w:sz w:val="24"/>
          <w:szCs w:val="24"/>
          <w:lang w:eastAsia="sk-SK"/>
        </w:rPr>
        <w:t xml:space="preserve"> IDS BK,</w:t>
      </w:r>
    </w:p>
    <w:p w14:paraId="302F0CAB" w14:textId="77777777" w:rsidR="002A4198" w:rsidRPr="005B58F4" w:rsidRDefault="002A4198" w:rsidP="002A4198">
      <w:pPr>
        <w:spacing w:after="0" w:line="240" w:lineRule="auto"/>
        <w:jc w:val="both"/>
        <w:rPr>
          <w:rFonts w:eastAsia="Times New Roman" w:cstheme="minorHAnsi"/>
          <w:sz w:val="24"/>
          <w:szCs w:val="24"/>
          <w:lang w:eastAsia="sk-SK"/>
        </w:rPr>
      </w:pPr>
      <w:r w:rsidRPr="00013FA4">
        <w:rPr>
          <w:rFonts w:eastAsia="Times New Roman" w:cstheme="minorHAnsi"/>
          <w:sz w:val="24"/>
          <w:szCs w:val="24"/>
          <w:lang w:eastAsia="sk-SK"/>
        </w:rPr>
        <w:t>6. Prevádzkovať a rozširovať funkcionality mobilnej aplikácie IDS BK,</w:t>
      </w:r>
    </w:p>
    <w:p w14:paraId="1805D404" w14:textId="77777777" w:rsidR="002A4198" w:rsidRPr="00013FA4" w:rsidRDefault="002A4198" w:rsidP="002A4198">
      <w:pPr>
        <w:spacing w:after="0" w:line="240" w:lineRule="auto"/>
        <w:jc w:val="both"/>
        <w:rPr>
          <w:rFonts w:eastAsia="Times New Roman" w:cstheme="minorHAnsi"/>
          <w:sz w:val="24"/>
          <w:szCs w:val="24"/>
          <w:lang w:eastAsia="sk-SK"/>
        </w:rPr>
      </w:pPr>
      <w:r w:rsidRPr="00013FA4">
        <w:rPr>
          <w:rFonts w:eastAsia="Times New Roman" w:cstheme="minorHAnsi"/>
          <w:sz w:val="24"/>
          <w:szCs w:val="24"/>
          <w:lang w:eastAsia="sk-SK"/>
        </w:rPr>
        <w:t>7. Zabezpečovať prevádzku clearingového centra pre účely deľby tržieb,</w:t>
      </w:r>
    </w:p>
    <w:p w14:paraId="32A35367" w14:textId="77777777" w:rsidR="002A4198" w:rsidRPr="005B58F4" w:rsidRDefault="002A4198" w:rsidP="002A4198">
      <w:pPr>
        <w:spacing w:after="0" w:line="240" w:lineRule="auto"/>
        <w:jc w:val="both"/>
        <w:rPr>
          <w:rFonts w:eastAsia="Times New Roman" w:cstheme="minorHAnsi"/>
          <w:sz w:val="24"/>
          <w:szCs w:val="24"/>
          <w:lang w:eastAsia="sk-SK"/>
        </w:rPr>
      </w:pPr>
      <w:r w:rsidRPr="00013FA4">
        <w:rPr>
          <w:rFonts w:eastAsia="Times New Roman" w:cstheme="minorHAnsi"/>
          <w:sz w:val="24"/>
          <w:szCs w:val="24"/>
          <w:lang w:eastAsia="sk-SK"/>
        </w:rPr>
        <w:t>8. Príprava a realizácia dopravných prieskumov pre účely deľby tržieb medzi dopravcov zapojených do IDS BK,</w:t>
      </w:r>
    </w:p>
    <w:p w14:paraId="3EC367DE" w14:textId="77777777" w:rsidR="002A4198" w:rsidRPr="00013FA4" w:rsidRDefault="002A4198" w:rsidP="002A4198">
      <w:pPr>
        <w:spacing w:after="0" w:line="240" w:lineRule="auto"/>
        <w:rPr>
          <w:rFonts w:eastAsia="Times New Roman" w:cstheme="minorHAnsi"/>
          <w:sz w:val="24"/>
          <w:szCs w:val="24"/>
          <w:lang w:eastAsia="sk-SK"/>
        </w:rPr>
      </w:pPr>
      <w:r w:rsidRPr="00013FA4">
        <w:rPr>
          <w:rFonts w:eastAsia="Times New Roman" w:cstheme="minorHAnsi"/>
          <w:sz w:val="24"/>
          <w:szCs w:val="24"/>
          <w:lang w:eastAsia="sk-SK"/>
        </w:rPr>
        <w:t>9. Príprava a realizácia infraštruktúrnych projektov v zmysle Akčného plánu BSK,</w:t>
      </w:r>
    </w:p>
    <w:p w14:paraId="69747421" w14:textId="77777777" w:rsidR="002A4198" w:rsidRPr="00013FA4" w:rsidRDefault="002A4198" w:rsidP="002A4198">
      <w:pPr>
        <w:spacing w:after="0" w:line="240" w:lineRule="auto"/>
        <w:rPr>
          <w:rFonts w:eastAsia="Times New Roman" w:cstheme="minorHAnsi"/>
          <w:sz w:val="24"/>
          <w:szCs w:val="24"/>
          <w:lang w:eastAsia="sk-SK"/>
        </w:rPr>
      </w:pPr>
      <w:bookmarkStart w:id="4" w:name="_Hlk178247690"/>
      <w:r w:rsidRPr="00013FA4">
        <w:rPr>
          <w:rFonts w:eastAsia="Times New Roman" w:cstheme="minorHAnsi"/>
          <w:sz w:val="24"/>
          <w:szCs w:val="24"/>
          <w:lang w:eastAsia="sk-SK"/>
        </w:rPr>
        <w:t>10.Prevádzkovať digitálnu telefónnu ústredňu a systém správy zákazníckych požiadaviek (obstaranie II. polrok 2024).</w:t>
      </w:r>
    </w:p>
    <w:bookmarkEnd w:id="4"/>
    <w:p w14:paraId="439BF6AC" w14:textId="77777777" w:rsidR="00F96D29" w:rsidRDefault="00F96D29" w:rsidP="00A12E6C">
      <w:pPr>
        <w:spacing w:before="100" w:beforeAutospacing="1" w:after="100" w:afterAutospacing="1" w:line="240" w:lineRule="auto"/>
        <w:outlineLvl w:val="1"/>
        <w:rPr>
          <w:rFonts w:eastAsia="Times New Roman" w:cstheme="minorHAnsi"/>
          <w:b/>
          <w:bCs/>
          <w:color w:val="000080"/>
          <w:sz w:val="36"/>
          <w:szCs w:val="36"/>
          <w:lang w:eastAsia="sk-SK"/>
        </w:rPr>
      </w:pPr>
    </w:p>
    <w:p w14:paraId="45DBE75B" w14:textId="77777777" w:rsidR="00AC7EA9" w:rsidRPr="00AC7EA9" w:rsidRDefault="00AC7EA9" w:rsidP="00AC7EA9">
      <w:pPr>
        <w:spacing w:before="100" w:beforeAutospacing="1" w:after="100" w:afterAutospacing="1" w:line="240" w:lineRule="auto"/>
        <w:outlineLvl w:val="1"/>
        <w:rPr>
          <w:rFonts w:eastAsia="Times New Roman" w:cstheme="minorHAnsi"/>
          <w:b/>
          <w:bCs/>
          <w:sz w:val="36"/>
          <w:szCs w:val="36"/>
          <w:lang w:eastAsia="sk-SK"/>
        </w:rPr>
      </w:pPr>
      <w:r w:rsidRPr="00AC7EA9">
        <w:rPr>
          <w:rFonts w:eastAsia="Times New Roman" w:cstheme="minorHAnsi"/>
          <w:b/>
          <w:bCs/>
          <w:color w:val="000080"/>
          <w:sz w:val="36"/>
          <w:szCs w:val="36"/>
          <w:lang w:eastAsia="sk-SK"/>
        </w:rPr>
        <w:lastRenderedPageBreak/>
        <w:t>Program 8: Vzdelávanie</w:t>
      </w:r>
    </w:p>
    <w:p w14:paraId="20476EDE" w14:textId="77777777" w:rsidR="00AC7EA9" w:rsidRPr="00AC7EA9" w:rsidRDefault="00AC7EA9" w:rsidP="00AC7EA9">
      <w:pPr>
        <w:spacing w:before="100" w:beforeAutospacing="1" w:after="100" w:afterAutospacing="1" w:line="240" w:lineRule="auto"/>
        <w:rPr>
          <w:rFonts w:eastAsiaTheme="minorEastAsia" w:cstheme="minorHAnsi"/>
          <w:sz w:val="24"/>
          <w:szCs w:val="24"/>
          <w:lang w:eastAsia="sk-SK"/>
        </w:rPr>
      </w:pPr>
      <w:r w:rsidRPr="00AC7EA9">
        <w:rPr>
          <w:rFonts w:eastAsiaTheme="minorEastAsia" w:cstheme="minorHAnsi"/>
          <w:b/>
          <w:bCs/>
          <w:sz w:val="24"/>
          <w:szCs w:val="24"/>
          <w:lang w:eastAsia="sk-SK"/>
        </w:rPr>
        <w:t xml:space="preserve">Zámer: </w:t>
      </w:r>
      <w:r w:rsidRPr="00AC7EA9">
        <w:rPr>
          <w:rFonts w:eastAsiaTheme="minorEastAsia" w:cstheme="minorHAnsi"/>
          <w:sz w:val="24"/>
          <w:szCs w:val="24"/>
          <w:lang w:eastAsia="sk-SK"/>
        </w:rPr>
        <w:t>Bratislavský samosprávny kraj otvorený vzdelaniu a kvalitnému poznaniu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44"/>
        <w:gridCol w:w="2088"/>
        <w:gridCol w:w="1489"/>
        <w:gridCol w:w="1489"/>
        <w:gridCol w:w="649"/>
        <w:gridCol w:w="1489"/>
        <w:gridCol w:w="649"/>
        <w:gridCol w:w="1489"/>
        <w:gridCol w:w="664"/>
      </w:tblGrid>
      <w:tr w:rsidR="00AC7EA9" w:rsidRPr="00AC7EA9" w14:paraId="77C8664A" w14:textId="77777777" w:rsidTr="005D28D3">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F750832" w14:textId="77777777" w:rsidR="00AC7EA9" w:rsidRPr="00AC7EA9" w:rsidRDefault="00AC7EA9" w:rsidP="00AC7EA9">
            <w:pPr>
              <w:spacing w:after="0" w:line="240" w:lineRule="auto"/>
              <w:jc w:val="center"/>
              <w:rPr>
                <w:rFonts w:eastAsia="Times New Roman" w:cstheme="minorHAnsi"/>
                <w:sz w:val="24"/>
                <w:szCs w:val="24"/>
                <w:lang w:eastAsia="sk-SK"/>
              </w:rPr>
            </w:pPr>
            <w:r w:rsidRPr="00AC7EA9">
              <w:rPr>
                <w:rFonts w:eastAsia="Times New Roman" w:cstheme="minorHAnsi"/>
                <w:b/>
                <w:bCs/>
                <w:i/>
                <w:iCs/>
                <w:sz w:val="24"/>
                <w:szCs w:val="24"/>
                <w:lang w:eastAsia="sk-SK"/>
              </w:rPr>
              <w:t>Rozpočet v EUR</w:t>
            </w:r>
          </w:p>
        </w:tc>
      </w:tr>
      <w:tr w:rsidR="00263911" w:rsidRPr="00AC7EA9" w14:paraId="69B1A722" w14:textId="77777777" w:rsidTr="00263911">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E091619"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b/>
                <w:bCs/>
                <w:sz w:val="20"/>
                <w:szCs w:val="20"/>
                <w:lang w:eastAsia="sk-SK"/>
              </w:rPr>
              <w:t>EK</w:t>
            </w:r>
          </w:p>
        </w:tc>
        <w:tc>
          <w:tcPr>
            <w:tcW w:w="101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DA1A89B"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DCE0EE2" w14:textId="662E3633" w:rsidR="00263911" w:rsidRPr="00AC7EA9" w:rsidRDefault="00263911" w:rsidP="00263911">
            <w:pPr>
              <w:spacing w:after="0" w:line="240" w:lineRule="auto"/>
              <w:jc w:val="center"/>
              <w:rPr>
                <w:rFonts w:eastAsia="Times New Roman" w:cstheme="minorHAnsi"/>
                <w:sz w:val="24"/>
                <w:szCs w:val="24"/>
                <w:lang w:eastAsia="sk-SK"/>
              </w:rPr>
            </w:pPr>
            <w:r w:rsidRPr="0017537C">
              <w:rPr>
                <w:rFonts w:ascii="Calibri" w:hAnsi="Calibri" w:cs="Calibri"/>
                <w:b/>
                <w:bCs/>
                <w:sz w:val="20"/>
                <w:szCs w:val="20"/>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51DE65E" w14:textId="206C7C8B" w:rsidR="00263911" w:rsidRPr="00AC7EA9" w:rsidRDefault="00263911" w:rsidP="00263911">
            <w:pPr>
              <w:spacing w:after="0" w:line="240" w:lineRule="auto"/>
              <w:jc w:val="center"/>
              <w:rPr>
                <w:rFonts w:eastAsia="Times New Roman" w:cstheme="minorHAnsi"/>
                <w:sz w:val="24"/>
                <w:szCs w:val="24"/>
                <w:lang w:eastAsia="sk-SK"/>
              </w:rPr>
            </w:pPr>
            <w:r w:rsidRPr="0017537C">
              <w:rPr>
                <w:rFonts w:ascii="Calibri" w:hAnsi="Calibri" w:cs="Calibri"/>
                <w:b/>
                <w:bCs/>
                <w:sz w:val="20"/>
                <w:szCs w:val="20"/>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71B7E10" w14:textId="04E39DF0" w:rsidR="00263911" w:rsidRPr="00AC7EA9" w:rsidRDefault="00263911" w:rsidP="00263911">
            <w:pPr>
              <w:spacing w:after="0" w:line="240" w:lineRule="auto"/>
              <w:jc w:val="center"/>
              <w:rPr>
                <w:rFonts w:eastAsia="Times New Roman" w:cstheme="minorHAnsi"/>
                <w:sz w:val="24"/>
                <w:szCs w:val="24"/>
                <w:lang w:eastAsia="sk-SK"/>
              </w:rPr>
            </w:pPr>
            <w:r w:rsidRPr="0017537C">
              <w:rPr>
                <w:rFonts w:ascii="Calibri"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4C00473" w14:textId="3A504B30" w:rsidR="00263911" w:rsidRPr="00AC7EA9" w:rsidRDefault="00263911" w:rsidP="00263911">
            <w:pPr>
              <w:spacing w:after="0" w:line="240" w:lineRule="auto"/>
              <w:jc w:val="center"/>
              <w:rPr>
                <w:rFonts w:eastAsia="Times New Roman" w:cstheme="minorHAnsi"/>
                <w:sz w:val="24"/>
                <w:szCs w:val="24"/>
                <w:lang w:eastAsia="sk-SK"/>
              </w:rPr>
            </w:pPr>
            <w:r w:rsidRPr="0017537C">
              <w:rPr>
                <w:rFonts w:ascii="Calibri" w:hAnsi="Calibri" w:cs="Calibri"/>
                <w:b/>
                <w:bCs/>
                <w:sz w:val="20"/>
                <w:szCs w:val="20"/>
              </w:rPr>
              <w:t>2026</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577AB69" w14:textId="70431946" w:rsidR="00263911" w:rsidRPr="00AC7EA9" w:rsidRDefault="00263911" w:rsidP="00263911">
            <w:pPr>
              <w:spacing w:after="0" w:line="240" w:lineRule="auto"/>
              <w:jc w:val="center"/>
              <w:rPr>
                <w:rFonts w:eastAsia="Times New Roman" w:cstheme="minorHAnsi"/>
                <w:sz w:val="24"/>
                <w:szCs w:val="24"/>
                <w:lang w:eastAsia="sk-SK"/>
              </w:rPr>
            </w:pPr>
            <w:r w:rsidRPr="0017537C">
              <w:rPr>
                <w:rFonts w:ascii="Calibri"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F7A9BE" w14:textId="4173C439" w:rsidR="00263911" w:rsidRPr="00AC7EA9" w:rsidRDefault="00263911" w:rsidP="00263911">
            <w:pPr>
              <w:spacing w:after="0" w:line="240" w:lineRule="auto"/>
              <w:jc w:val="center"/>
              <w:rPr>
                <w:rFonts w:eastAsia="Times New Roman" w:cstheme="minorHAnsi"/>
                <w:sz w:val="24"/>
                <w:szCs w:val="24"/>
                <w:lang w:eastAsia="sk-SK"/>
              </w:rPr>
            </w:pPr>
            <w:r w:rsidRPr="0017537C">
              <w:rPr>
                <w:rFonts w:ascii="Calibri" w:hAnsi="Calibri" w:cs="Calibri"/>
                <w:b/>
                <w:bCs/>
                <w:sz w:val="20"/>
                <w:szCs w:val="20"/>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A37CC9F" w14:textId="36EA9DF0" w:rsidR="00263911" w:rsidRPr="00AC7EA9" w:rsidRDefault="00263911" w:rsidP="00263911">
            <w:pPr>
              <w:spacing w:after="0" w:line="240" w:lineRule="auto"/>
              <w:jc w:val="center"/>
              <w:rPr>
                <w:rFonts w:eastAsia="Times New Roman" w:cstheme="minorHAnsi"/>
                <w:sz w:val="24"/>
                <w:szCs w:val="24"/>
                <w:lang w:eastAsia="sk-SK"/>
              </w:rPr>
            </w:pPr>
            <w:r w:rsidRPr="0017537C">
              <w:rPr>
                <w:rFonts w:ascii="Calibri" w:hAnsi="Calibri" w:cs="Calibri"/>
                <w:b/>
                <w:bCs/>
                <w:sz w:val="20"/>
                <w:szCs w:val="20"/>
              </w:rPr>
              <w:t>%</w:t>
            </w:r>
          </w:p>
        </w:tc>
      </w:tr>
      <w:tr w:rsidR="00263911" w:rsidRPr="00AC7EA9" w14:paraId="5F5CC8C8"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65A61B" w14:textId="77777777" w:rsidR="00263911" w:rsidRPr="00AC7EA9" w:rsidRDefault="00263911" w:rsidP="00263911">
            <w:pPr>
              <w:spacing w:after="0" w:line="240" w:lineRule="auto"/>
              <w:jc w:val="center"/>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A24315"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b/>
                <w:bCs/>
                <w:sz w:val="20"/>
                <w:szCs w:val="20"/>
                <w:lang w:eastAsia="sk-SK"/>
              </w:rPr>
              <w:t>Výdavky celkom</w:t>
            </w:r>
            <w:r w:rsidRPr="00AC7EA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F45E56" w14:textId="2F1C90AD"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107 813 939,00</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D3DDAF" w14:textId="3D1652D8"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118 228 095,00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FEC779D" w14:textId="4E0937D7"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109,66</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B59162" w14:textId="45E4FD7C"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122 444 619,00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974426" w14:textId="51C3B9AC"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103,57</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1E670E" w14:textId="6D959DA6"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126 498 255,00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646AAA" w14:textId="37BDC668"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103,31</w:t>
            </w:r>
            <w:r w:rsidRPr="0017537C">
              <w:rPr>
                <w:rFonts w:ascii="Calibri" w:hAnsi="Calibri" w:cs="Calibri"/>
              </w:rPr>
              <w:t xml:space="preserve"> </w:t>
            </w:r>
          </w:p>
        </w:tc>
      </w:tr>
      <w:tr w:rsidR="00263911" w:rsidRPr="00AC7EA9" w14:paraId="19697DA4"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8F965F"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b/>
                <w:bCs/>
                <w:sz w:val="20"/>
                <w:szCs w:val="20"/>
                <w:lang w:eastAsia="sk-SK"/>
              </w:rPr>
              <w:t>600</w:t>
            </w:r>
            <w:r w:rsidRPr="00AC7EA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887BB2"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b/>
                <w:bCs/>
                <w:sz w:val="20"/>
                <w:szCs w:val="20"/>
                <w:lang w:eastAsia="sk-SK"/>
              </w:rPr>
              <w:t>Bežné výdavky</w:t>
            </w:r>
            <w:r w:rsidRPr="00AC7EA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FE5CEA" w14:textId="46F344FE"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107 813 939,00</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3F6396" w14:textId="16582683"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118 228 095,00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DC3E84" w14:textId="3B4E593F"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109,66</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5743AB" w14:textId="0E658C0B"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122 444 619,00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FCBB861" w14:textId="493804EC"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103,57</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6D6975" w14:textId="7AC25569"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126 498 255,00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73900A" w14:textId="7FED63E2"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b/>
                <w:bCs/>
                <w:sz w:val="20"/>
                <w:szCs w:val="20"/>
              </w:rPr>
              <w:t>103,31</w:t>
            </w:r>
            <w:r w:rsidRPr="0017537C">
              <w:rPr>
                <w:rFonts w:ascii="Calibri" w:hAnsi="Calibri" w:cs="Calibri"/>
              </w:rPr>
              <w:t xml:space="preserve"> </w:t>
            </w:r>
          </w:p>
        </w:tc>
      </w:tr>
      <w:tr w:rsidR="00263911" w:rsidRPr="00AC7EA9" w14:paraId="1B41832D"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05C448"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sz w:val="20"/>
                <w:szCs w:val="20"/>
                <w:lang w:eastAsia="sk-SK"/>
              </w:rPr>
              <w:t>610</w:t>
            </w:r>
            <w:r w:rsidRPr="00AC7EA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47F7D8"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sz w:val="20"/>
                <w:szCs w:val="20"/>
                <w:lang w:eastAsia="sk-SK"/>
              </w:rPr>
              <w:t>Mzdy, platy, ...</w:t>
            </w:r>
            <w:r w:rsidRPr="00AC7EA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FBCC59" w14:textId="01C634EA"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44 487 135,00</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DB32A0" w14:textId="192F7C3B"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48 693 895,00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431D1C1" w14:textId="7EA0AB50"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109,46</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48CAB5" w14:textId="45668DBF"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50 484 134,00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21954EDB" w14:textId="08B161A0"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103,68</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FEFDDF" w14:textId="0E96F82D"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52 290 533,00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0C5E5DCF" w14:textId="442206A7"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103,58</w:t>
            </w:r>
            <w:r w:rsidRPr="0017537C">
              <w:rPr>
                <w:rFonts w:ascii="Calibri" w:hAnsi="Calibri" w:cs="Calibri"/>
              </w:rPr>
              <w:t xml:space="preserve"> </w:t>
            </w:r>
          </w:p>
        </w:tc>
      </w:tr>
      <w:tr w:rsidR="00263911" w:rsidRPr="00AC7EA9" w14:paraId="759FF61E"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5218EF"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sz w:val="20"/>
                <w:szCs w:val="20"/>
                <w:lang w:eastAsia="sk-SK"/>
              </w:rPr>
              <w:t>620</w:t>
            </w:r>
            <w:r w:rsidRPr="00AC7EA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935C85"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sz w:val="20"/>
                <w:szCs w:val="20"/>
                <w:lang w:eastAsia="sk-SK"/>
              </w:rPr>
              <w:t>Poistné do poisťovní</w:t>
            </w:r>
            <w:r w:rsidRPr="00AC7EA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513009" w14:textId="307AC98D"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16 017 388,00</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AC9B52" w14:textId="2F147BE2"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18 146 868,00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CCF484B" w14:textId="43261505"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113,29</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15453A" w14:textId="73C9E0FF"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18 784 027,00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60DB623" w14:textId="27EF2769"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103,51</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111E0D" w14:textId="32B41E37"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19 198 992,00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6BAC18B" w14:textId="3F0D903F"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102,21</w:t>
            </w:r>
            <w:r w:rsidRPr="0017537C">
              <w:rPr>
                <w:rFonts w:ascii="Calibri" w:hAnsi="Calibri" w:cs="Calibri"/>
              </w:rPr>
              <w:t xml:space="preserve"> </w:t>
            </w:r>
          </w:p>
        </w:tc>
      </w:tr>
      <w:tr w:rsidR="00263911" w:rsidRPr="00AC7EA9" w14:paraId="4DDF383C"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B1CA39"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sz w:val="20"/>
                <w:szCs w:val="20"/>
                <w:lang w:eastAsia="sk-SK"/>
              </w:rPr>
              <w:t>630</w:t>
            </w:r>
            <w:r w:rsidRPr="00AC7EA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A7A0C9"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sz w:val="20"/>
                <w:szCs w:val="20"/>
                <w:lang w:eastAsia="sk-SK"/>
              </w:rPr>
              <w:t>Tovary a služby</w:t>
            </w:r>
            <w:r w:rsidRPr="00AC7EA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CFFBB6" w14:textId="34A9D4F6"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19 400 097,00</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5F853E7" w14:textId="4277A574"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21 810 891,00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2B79624" w14:textId="12E7DCE4"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112,43</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07B905" w14:textId="1BC42168"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22 473 301,00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B51DBC4" w14:textId="625423B4"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103,04</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68DE12" w14:textId="53638CF9"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22 983 934,00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81C39B8" w14:textId="59D605FF"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102,27</w:t>
            </w:r>
            <w:r w:rsidRPr="0017537C">
              <w:rPr>
                <w:rFonts w:ascii="Calibri" w:hAnsi="Calibri" w:cs="Calibri"/>
              </w:rPr>
              <w:t xml:space="preserve"> </w:t>
            </w:r>
          </w:p>
        </w:tc>
      </w:tr>
      <w:tr w:rsidR="00263911" w:rsidRPr="00AC7EA9" w14:paraId="457D9F9E"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77D4153"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sz w:val="20"/>
                <w:szCs w:val="20"/>
                <w:lang w:eastAsia="sk-SK"/>
              </w:rPr>
              <w:t>640</w:t>
            </w:r>
            <w:r w:rsidRPr="00AC7EA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3FB35D" w14:textId="77777777" w:rsidR="00263911" w:rsidRPr="00AC7EA9" w:rsidRDefault="00263911" w:rsidP="00263911">
            <w:pPr>
              <w:spacing w:after="0" w:line="240" w:lineRule="auto"/>
              <w:rPr>
                <w:rFonts w:eastAsia="Times New Roman" w:cstheme="minorHAnsi"/>
                <w:sz w:val="24"/>
                <w:szCs w:val="24"/>
                <w:lang w:eastAsia="sk-SK"/>
              </w:rPr>
            </w:pPr>
            <w:r w:rsidRPr="00AC7EA9">
              <w:rPr>
                <w:rFonts w:eastAsia="Times New Roman" w:cstheme="minorHAnsi"/>
                <w:sz w:val="20"/>
                <w:szCs w:val="20"/>
                <w:lang w:eastAsia="sk-SK"/>
              </w:rPr>
              <w:t>Bežné transfery</w:t>
            </w:r>
            <w:r w:rsidRPr="00AC7EA9">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D0E90E" w14:textId="582E26D3"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27 909 319,00</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8971B6" w14:textId="3F9A3355"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29 576 441,00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5DC32BA" w14:textId="13FDF2B1"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105,97</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92DAB8" w14:textId="08910816"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30 703 157,00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BDD93D2" w14:textId="16502418"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103,81</w:t>
            </w:r>
            <w:r w:rsidRPr="0017537C">
              <w:rPr>
                <w:rFonts w:ascii="Calibri"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7CA400" w14:textId="681B6093"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32 024 796,00</w:t>
            </w:r>
            <w:r w:rsidRPr="0017537C">
              <w:rPr>
                <w:rFonts w:ascii="Calibri" w:hAnsi="Calibri" w:cs="Calibri"/>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EAC5D21" w14:textId="39522481" w:rsidR="00263911" w:rsidRPr="00AC7EA9" w:rsidRDefault="00263911" w:rsidP="00263911">
            <w:pPr>
              <w:spacing w:after="0" w:line="240" w:lineRule="auto"/>
              <w:jc w:val="right"/>
              <w:rPr>
                <w:rFonts w:eastAsia="Times New Roman" w:cstheme="minorHAnsi"/>
                <w:sz w:val="24"/>
                <w:szCs w:val="24"/>
                <w:lang w:eastAsia="sk-SK"/>
              </w:rPr>
            </w:pPr>
            <w:r w:rsidRPr="0017537C">
              <w:rPr>
                <w:rFonts w:ascii="Calibri" w:hAnsi="Calibri" w:cs="Calibri"/>
                <w:sz w:val="20"/>
                <w:szCs w:val="20"/>
              </w:rPr>
              <w:t>104,30</w:t>
            </w:r>
            <w:r w:rsidRPr="0017537C">
              <w:rPr>
                <w:rFonts w:ascii="Calibri" w:hAnsi="Calibri" w:cs="Calibri"/>
              </w:rPr>
              <w:t xml:space="preserve"> </w:t>
            </w:r>
          </w:p>
        </w:tc>
      </w:tr>
    </w:tbl>
    <w:p w14:paraId="7F614810" w14:textId="77777777" w:rsidR="00AC7EA9" w:rsidRPr="00AC7EA9" w:rsidRDefault="00AC7EA9" w:rsidP="00AC7EA9">
      <w:pPr>
        <w:spacing w:after="0" w:line="240" w:lineRule="auto"/>
        <w:rPr>
          <w:rFonts w:eastAsiaTheme="minorEastAsia" w:cstheme="minorHAns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31"/>
        <w:gridCol w:w="2031"/>
        <w:gridCol w:w="2031"/>
        <w:gridCol w:w="2046"/>
      </w:tblGrid>
      <w:tr w:rsidR="00AC7EA9" w:rsidRPr="00AC7EA9" w14:paraId="01B820C9"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167B95" w14:textId="77777777" w:rsidR="00AC7EA9" w:rsidRPr="00AC7EA9" w:rsidRDefault="00AC7EA9" w:rsidP="00AC7EA9">
            <w:pPr>
              <w:spacing w:after="0" w:line="240" w:lineRule="auto"/>
              <w:rPr>
                <w:rFonts w:eastAsia="Times New Roman" w:cstheme="minorHAnsi"/>
                <w:sz w:val="24"/>
                <w:szCs w:val="24"/>
                <w:lang w:eastAsia="sk-SK"/>
              </w:rPr>
            </w:pPr>
            <w:r w:rsidRPr="00AC7EA9">
              <w:rPr>
                <w:rFonts w:eastAsia="Times New Roman" w:cstheme="minorHAns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8FE104" w14:textId="77777777" w:rsidR="00AC7EA9" w:rsidRPr="00AC7EA9" w:rsidRDefault="00AC7EA9" w:rsidP="00AC7EA9">
            <w:pPr>
              <w:spacing w:after="0" w:line="240" w:lineRule="auto"/>
              <w:rPr>
                <w:rFonts w:eastAsia="Times New Roman" w:cstheme="minorHAnsi"/>
                <w:sz w:val="24"/>
                <w:szCs w:val="24"/>
                <w:lang w:eastAsia="sk-SK"/>
              </w:rPr>
            </w:pPr>
            <w:r w:rsidRPr="00AC7EA9">
              <w:rPr>
                <w:rFonts w:eastAsia="Times New Roman" w:cstheme="minorHAnsi"/>
                <w:b/>
                <w:bCs/>
                <w:sz w:val="24"/>
                <w:szCs w:val="24"/>
                <w:lang w:eastAsia="sk-SK"/>
              </w:rPr>
              <w:t>Zabezpečiť plynulý výchovno-vzdelávací proces, ubytovanie, stravovanie a voľnočasové aktivity pre žiakov</w:t>
            </w:r>
          </w:p>
        </w:tc>
      </w:tr>
      <w:tr w:rsidR="00AC7EA9" w:rsidRPr="00AC7EA9" w14:paraId="6B9D0218"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CE79B1" w14:textId="77777777" w:rsidR="00AC7EA9" w:rsidRPr="00AC7EA9" w:rsidRDefault="00AC7EA9" w:rsidP="00AC7EA9">
            <w:pPr>
              <w:spacing w:after="0" w:line="240" w:lineRule="auto"/>
              <w:rPr>
                <w:rFonts w:eastAsia="Times New Roman" w:cstheme="minorHAnsi"/>
                <w:sz w:val="24"/>
                <w:szCs w:val="24"/>
                <w:lang w:eastAsia="sk-SK"/>
              </w:rPr>
            </w:pPr>
            <w:r w:rsidRPr="00AC7EA9">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1F3764" w14:textId="77777777" w:rsidR="00AC7EA9" w:rsidRPr="00AC7EA9" w:rsidRDefault="00AC7EA9" w:rsidP="00AC7EA9">
            <w:pPr>
              <w:spacing w:after="0" w:line="240" w:lineRule="auto"/>
              <w:rPr>
                <w:rFonts w:eastAsia="Times New Roman" w:cstheme="minorHAnsi"/>
                <w:sz w:val="24"/>
                <w:szCs w:val="24"/>
                <w:lang w:eastAsia="sk-SK"/>
              </w:rPr>
            </w:pPr>
            <w:r w:rsidRPr="00AC7EA9">
              <w:rPr>
                <w:rFonts w:eastAsia="Times New Roman" w:cstheme="minorHAnsi"/>
                <w:sz w:val="24"/>
                <w:szCs w:val="24"/>
                <w:lang w:eastAsia="sk-SK"/>
              </w:rPr>
              <w:t>Počet žiakov</w:t>
            </w:r>
          </w:p>
        </w:tc>
      </w:tr>
      <w:tr w:rsidR="00AE7ACA" w:rsidRPr="00AC7EA9" w14:paraId="6A11AAF2"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663BD9" w14:textId="77777777" w:rsidR="00AE7ACA" w:rsidRPr="00AC7EA9" w:rsidRDefault="00AE7ACA" w:rsidP="00AE7ACA">
            <w:pPr>
              <w:spacing w:after="0" w:line="240" w:lineRule="auto"/>
              <w:rPr>
                <w:rFonts w:eastAsia="Times New Roman" w:cstheme="minorHAnsi"/>
                <w:sz w:val="24"/>
                <w:szCs w:val="24"/>
                <w:lang w:eastAsia="sk-SK"/>
              </w:rPr>
            </w:pPr>
            <w:r w:rsidRPr="00AC7EA9">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12A150" w14:textId="6EC96D9D" w:rsidR="00AE7ACA" w:rsidRPr="00AC7EA9" w:rsidRDefault="00AE7ACA" w:rsidP="00AE7ACA">
            <w:pPr>
              <w:spacing w:after="0" w:line="240" w:lineRule="auto"/>
              <w:jc w:val="center"/>
              <w:rPr>
                <w:rFonts w:eastAsia="Times New Roman" w:cstheme="minorHAnsi"/>
                <w:sz w:val="24"/>
                <w:szCs w:val="24"/>
                <w:lang w:eastAsia="sk-SK"/>
              </w:rPr>
            </w:pPr>
            <w:r w:rsidRPr="0017537C">
              <w:rPr>
                <w:rFonts w:ascii="Calibri" w:hAnsi="Calibri" w:cs="Calibr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C35DB8" w14:textId="63A95F03" w:rsidR="00AE7ACA" w:rsidRPr="00AC7EA9" w:rsidRDefault="00AE7ACA" w:rsidP="00AE7ACA">
            <w:pPr>
              <w:spacing w:after="0" w:line="240" w:lineRule="auto"/>
              <w:jc w:val="center"/>
              <w:rPr>
                <w:rFonts w:eastAsia="Times New Roman" w:cstheme="minorHAnsi"/>
                <w:sz w:val="24"/>
                <w:szCs w:val="24"/>
                <w:lang w:eastAsia="sk-SK"/>
              </w:rPr>
            </w:pPr>
            <w:r w:rsidRPr="0017537C">
              <w:rPr>
                <w:rFonts w:ascii="Calibri" w:hAnsi="Calibri" w:cs="Calibr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EF311D" w14:textId="16E6F28E" w:rsidR="00AE7ACA" w:rsidRPr="00AC7EA9" w:rsidRDefault="00AE7ACA" w:rsidP="00AE7ACA">
            <w:pPr>
              <w:spacing w:after="0" w:line="240" w:lineRule="auto"/>
              <w:jc w:val="center"/>
              <w:rPr>
                <w:rFonts w:eastAsia="Times New Roman" w:cstheme="minorHAnsi"/>
                <w:sz w:val="24"/>
                <w:szCs w:val="24"/>
                <w:lang w:eastAsia="sk-SK"/>
              </w:rPr>
            </w:pPr>
            <w:r w:rsidRPr="0017537C">
              <w:rPr>
                <w:rFonts w:ascii="Calibri" w:hAnsi="Calibri" w:cs="Calibr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3BF422" w14:textId="0D1757EF" w:rsidR="00AE7ACA" w:rsidRPr="00AC7EA9" w:rsidRDefault="00AE7ACA" w:rsidP="00AE7ACA">
            <w:pPr>
              <w:spacing w:after="0" w:line="240" w:lineRule="auto"/>
              <w:jc w:val="center"/>
              <w:rPr>
                <w:rFonts w:eastAsia="Times New Roman" w:cstheme="minorHAnsi"/>
                <w:sz w:val="24"/>
                <w:szCs w:val="24"/>
                <w:lang w:eastAsia="sk-SK"/>
              </w:rPr>
            </w:pPr>
            <w:r w:rsidRPr="0017537C">
              <w:rPr>
                <w:rFonts w:ascii="Calibri" w:hAnsi="Calibri" w:cs="Calibri"/>
              </w:rPr>
              <w:t>2027</w:t>
            </w:r>
          </w:p>
        </w:tc>
      </w:tr>
      <w:tr w:rsidR="00157692" w:rsidRPr="00AC7EA9" w14:paraId="00C1D7B6"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D7E3A6" w14:textId="77777777" w:rsidR="00157692" w:rsidRPr="00AC7EA9" w:rsidRDefault="00157692" w:rsidP="00157692">
            <w:pPr>
              <w:spacing w:after="0" w:line="240" w:lineRule="auto"/>
              <w:rPr>
                <w:rFonts w:eastAsia="Times New Roman" w:cstheme="minorHAnsi"/>
                <w:sz w:val="24"/>
                <w:szCs w:val="24"/>
                <w:lang w:eastAsia="sk-SK"/>
              </w:rPr>
            </w:pPr>
            <w:r w:rsidRPr="00AC7EA9">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453A0F" w14:textId="5CB6F865" w:rsidR="00157692" w:rsidRPr="00AC7EA9" w:rsidRDefault="00157692" w:rsidP="00157692">
            <w:pPr>
              <w:spacing w:after="0" w:line="240" w:lineRule="auto"/>
              <w:jc w:val="center"/>
              <w:rPr>
                <w:rFonts w:eastAsia="Times New Roman" w:cstheme="minorHAnsi"/>
                <w:sz w:val="24"/>
                <w:szCs w:val="24"/>
                <w:lang w:eastAsia="sk-SK"/>
              </w:rPr>
            </w:pPr>
            <w:r w:rsidRPr="0017537C">
              <w:rPr>
                <w:rFonts w:ascii="Calibri" w:hAnsi="Calibri" w:cs="Calibri"/>
              </w:rPr>
              <w:t> 33 074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D13AB9" w14:textId="0842EB3E" w:rsidR="00157692" w:rsidRPr="00AC7EA9" w:rsidRDefault="00157692" w:rsidP="00157692">
            <w:pPr>
              <w:spacing w:after="0" w:line="240" w:lineRule="auto"/>
              <w:jc w:val="center"/>
              <w:rPr>
                <w:rFonts w:eastAsia="Times New Roman" w:cstheme="minorHAnsi"/>
                <w:sz w:val="24"/>
                <w:szCs w:val="24"/>
                <w:lang w:eastAsia="sk-SK"/>
              </w:rPr>
            </w:pPr>
            <w:r w:rsidRPr="0017537C">
              <w:rPr>
                <w:rFonts w:ascii="Calibri" w:hAnsi="Calibri" w:cs="Calibri"/>
                <w:b/>
                <w:bCs/>
              </w:rPr>
              <w:t> 34 1</w:t>
            </w:r>
            <w:r>
              <w:rPr>
                <w:rFonts w:ascii="Calibri" w:hAnsi="Calibri" w:cs="Calibri"/>
                <w:b/>
                <w:bCs/>
              </w:rPr>
              <w:t>51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C6ACFC" w14:textId="6C54F6DD" w:rsidR="00157692" w:rsidRPr="00AC7EA9" w:rsidRDefault="00157692" w:rsidP="00157692">
            <w:pPr>
              <w:spacing w:after="0" w:line="240" w:lineRule="auto"/>
              <w:jc w:val="center"/>
              <w:rPr>
                <w:rFonts w:eastAsia="Times New Roman" w:cstheme="minorHAnsi"/>
                <w:sz w:val="24"/>
                <w:szCs w:val="24"/>
                <w:lang w:eastAsia="sk-SK"/>
              </w:rPr>
            </w:pPr>
            <w:r w:rsidRPr="0017537C">
              <w:rPr>
                <w:rFonts w:ascii="Calibri" w:hAnsi="Calibri" w:cs="Calibri"/>
              </w:rPr>
              <w:t> 34 1</w:t>
            </w:r>
            <w:r>
              <w:rPr>
                <w:rFonts w:ascii="Calibri" w:hAnsi="Calibri" w:cs="Calibri"/>
              </w:rPr>
              <w:t>51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E74152" w14:textId="223DC079" w:rsidR="00157692" w:rsidRPr="00AC7EA9" w:rsidRDefault="00157692" w:rsidP="00157692">
            <w:pPr>
              <w:spacing w:after="0" w:line="240" w:lineRule="auto"/>
              <w:jc w:val="center"/>
              <w:rPr>
                <w:rFonts w:eastAsia="Times New Roman" w:cstheme="minorHAnsi"/>
                <w:sz w:val="24"/>
                <w:szCs w:val="24"/>
                <w:lang w:eastAsia="sk-SK"/>
              </w:rPr>
            </w:pPr>
            <w:r w:rsidRPr="0017537C">
              <w:rPr>
                <w:rFonts w:ascii="Calibri" w:hAnsi="Calibri" w:cs="Calibri"/>
              </w:rPr>
              <w:t> 34 1</w:t>
            </w:r>
            <w:r>
              <w:rPr>
                <w:rFonts w:ascii="Calibri" w:hAnsi="Calibri" w:cs="Calibri"/>
              </w:rPr>
              <w:t>51</w:t>
            </w:r>
          </w:p>
        </w:tc>
      </w:tr>
      <w:tr w:rsidR="00AC7EA9" w:rsidRPr="00AC7EA9" w14:paraId="00F750B4"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7D0A54" w14:textId="77777777" w:rsidR="00AC7EA9" w:rsidRPr="00AC7EA9" w:rsidRDefault="00AC7EA9" w:rsidP="00AC7EA9">
            <w:pPr>
              <w:spacing w:after="0" w:line="240" w:lineRule="auto"/>
              <w:rPr>
                <w:rFonts w:eastAsia="Times New Roman" w:cstheme="minorHAnsi"/>
                <w:sz w:val="24"/>
                <w:szCs w:val="24"/>
                <w:lang w:eastAsia="sk-SK"/>
              </w:rPr>
            </w:pPr>
            <w:r w:rsidRPr="00AC7EA9">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020E9D" w14:textId="77777777" w:rsidR="00AC7EA9" w:rsidRPr="00AC7EA9" w:rsidRDefault="00AC7EA9" w:rsidP="00AC7EA9">
            <w:pPr>
              <w:spacing w:after="0" w:line="240" w:lineRule="auto"/>
              <w:rPr>
                <w:rFonts w:eastAsia="Times New Roman" w:cstheme="minorHAnsi"/>
                <w:sz w:val="24"/>
                <w:szCs w:val="24"/>
                <w:lang w:eastAsia="sk-SK"/>
              </w:rPr>
            </w:pPr>
            <w:r w:rsidRPr="00AC7EA9">
              <w:rPr>
                <w:rFonts w:eastAsia="Times New Roman" w:cstheme="minorHAnsi"/>
                <w:sz w:val="24"/>
                <w:szCs w:val="24"/>
                <w:lang w:eastAsia="sk-SK"/>
              </w:rPr>
              <w:t>Počet škôl a školských zariadení</w:t>
            </w:r>
          </w:p>
        </w:tc>
      </w:tr>
      <w:tr w:rsidR="001922B7" w:rsidRPr="00AC7EA9" w14:paraId="70BF0815"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DFB2F1" w14:textId="77777777" w:rsidR="001922B7" w:rsidRPr="00AC7EA9" w:rsidRDefault="001922B7" w:rsidP="001922B7">
            <w:pPr>
              <w:spacing w:after="0" w:line="240" w:lineRule="auto"/>
              <w:rPr>
                <w:rFonts w:eastAsia="Times New Roman" w:cstheme="minorHAnsi"/>
                <w:sz w:val="24"/>
                <w:szCs w:val="24"/>
                <w:lang w:eastAsia="sk-SK"/>
              </w:rPr>
            </w:pPr>
            <w:r w:rsidRPr="00AC7EA9">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E09A74" w14:textId="37253393" w:rsidR="001922B7" w:rsidRPr="00AC7EA9" w:rsidRDefault="001922B7" w:rsidP="001922B7">
            <w:pPr>
              <w:spacing w:after="0" w:line="240" w:lineRule="auto"/>
              <w:jc w:val="center"/>
              <w:rPr>
                <w:rFonts w:eastAsia="Times New Roman" w:cstheme="minorHAnsi"/>
                <w:sz w:val="24"/>
                <w:szCs w:val="24"/>
                <w:lang w:eastAsia="sk-SK"/>
              </w:rPr>
            </w:pPr>
            <w:r w:rsidRPr="0017537C">
              <w:rPr>
                <w:rFonts w:ascii="Calibri" w:hAnsi="Calibri" w:cs="Calibri"/>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922D74" w14:textId="73012FD5" w:rsidR="001922B7" w:rsidRPr="00AC7EA9" w:rsidRDefault="001922B7" w:rsidP="001922B7">
            <w:pPr>
              <w:spacing w:after="0" w:line="240" w:lineRule="auto"/>
              <w:jc w:val="center"/>
              <w:rPr>
                <w:rFonts w:eastAsia="Times New Roman" w:cstheme="minorHAnsi"/>
                <w:sz w:val="24"/>
                <w:szCs w:val="24"/>
                <w:lang w:eastAsia="sk-SK"/>
              </w:rPr>
            </w:pPr>
            <w:r w:rsidRPr="0017537C">
              <w:rPr>
                <w:rFonts w:ascii="Calibri" w:hAnsi="Calibri" w:cs="Calibri"/>
                <w:b/>
                <w:bCs/>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E6A8C3" w14:textId="5FFD82A3" w:rsidR="001922B7" w:rsidRPr="00AC7EA9" w:rsidRDefault="001922B7" w:rsidP="001922B7">
            <w:pPr>
              <w:spacing w:after="0" w:line="240" w:lineRule="auto"/>
              <w:jc w:val="center"/>
              <w:rPr>
                <w:rFonts w:eastAsia="Times New Roman" w:cstheme="minorHAnsi"/>
                <w:sz w:val="24"/>
                <w:szCs w:val="24"/>
                <w:lang w:eastAsia="sk-SK"/>
              </w:rPr>
            </w:pPr>
            <w:r w:rsidRPr="0017537C">
              <w:rPr>
                <w:rFonts w:ascii="Calibri" w:hAnsi="Calibri" w:cs="Calibri"/>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E510B6" w14:textId="0598E2B8" w:rsidR="001922B7" w:rsidRPr="00AC7EA9" w:rsidRDefault="001922B7" w:rsidP="001922B7">
            <w:pPr>
              <w:spacing w:after="0" w:line="240" w:lineRule="auto"/>
              <w:jc w:val="center"/>
              <w:rPr>
                <w:rFonts w:eastAsia="Times New Roman" w:cstheme="minorHAnsi"/>
                <w:sz w:val="24"/>
                <w:szCs w:val="24"/>
                <w:lang w:eastAsia="sk-SK"/>
              </w:rPr>
            </w:pPr>
            <w:r w:rsidRPr="0017537C">
              <w:rPr>
                <w:rFonts w:ascii="Calibri" w:hAnsi="Calibri" w:cs="Calibri"/>
              </w:rPr>
              <w:t>2027</w:t>
            </w:r>
          </w:p>
        </w:tc>
      </w:tr>
      <w:tr w:rsidR="001922B7" w:rsidRPr="00AC7EA9" w14:paraId="5A25A362" w14:textId="77777777" w:rsidTr="005D28D3">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A5F21B" w14:textId="77777777" w:rsidR="001922B7" w:rsidRPr="00AC7EA9" w:rsidRDefault="001922B7" w:rsidP="001922B7">
            <w:pPr>
              <w:spacing w:after="0" w:line="240" w:lineRule="auto"/>
              <w:rPr>
                <w:rFonts w:eastAsia="Times New Roman" w:cstheme="minorHAnsi"/>
                <w:sz w:val="24"/>
                <w:szCs w:val="24"/>
                <w:lang w:eastAsia="sk-SK"/>
              </w:rPr>
            </w:pPr>
            <w:r w:rsidRPr="00AC7EA9">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45E5FA" w14:textId="53D9E8C8" w:rsidR="001922B7" w:rsidRPr="00AC7EA9" w:rsidRDefault="001922B7" w:rsidP="001922B7">
            <w:pPr>
              <w:spacing w:after="0" w:line="240" w:lineRule="auto"/>
              <w:jc w:val="center"/>
              <w:rPr>
                <w:rFonts w:eastAsia="Times New Roman" w:cstheme="minorHAnsi"/>
                <w:sz w:val="24"/>
                <w:szCs w:val="24"/>
                <w:lang w:eastAsia="sk-SK"/>
              </w:rPr>
            </w:pPr>
            <w:r w:rsidRPr="0017537C">
              <w:rPr>
                <w:rFonts w:ascii="Calibri" w:hAnsi="Calibri" w:cs="Calibri"/>
              </w:rPr>
              <w:t> 139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947E84" w14:textId="2386E852" w:rsidR="001922B7" w:rsidRPr="00AC7EA9" w:rsidRDefault="001922B7" w:rsidP="001922B7">
            <w:pPr>
              <w:spacing w:after="0" w:line="240" w:lineRule="auto"/>
              <w:jc w:val="center"/>
              <w:rPr>
                <w:rFonts w:eastAsia="Times New Roman" w:cstheme="minorHAnsi"/>
                <w:sz w:val="24"/>
                <w:szCs w:val="24"/>
                <w:lang w:eastAsia="sk-SK"/>
              </w:rPr>
            </w:pPr>
            <w:r w:rsidRPr="0017537C">
              <w:rPr>
                <w:rFonts w:ascii="Calibri" w:hAnsi="Calibri" w:cs="Calibri"/>
                <w:b/>
                <w:bCs/>
              </w:rPr>
              <w:t> 138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C64780" w14:textId="3F6E6D8E" w:rsidR="001922B7" w:rsidRPr="00AC7EA9" w:rsidRDefault="001922B7" w:rsidP="001922B7">
            <w:pPr>
              <w:spacing w:after="0" w:line="240" w:lineRule="auto"/>
              <w:jc w:val="center"/>
              <w:rPr>
                <w:rFonts w:eastAsia="Times New Roman" w:cstheme="minorHAnsi"/>
                <w:sz w:val="24"/>
                <w:szCs w:val="24"/>
                <w:lang w:eastAsia="sk-SK"/>
              </w:rPr>
            </w:pPr>
            <w:r w:rsidRPr="0017537C">
              <w:rPr>
                <w:rFonts w:ascii="Calibri" w:hAnsi="Calibri" w:cs="Calibri"/>
              </w:rPr>
              <w:t> 138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B1C028" w14:textId="2F78CF0E" w:rsidR="001922B7" w:rsidRPr="00AC7EA9" w:rsidRDefault="001922B7" w:rsidP="001922B7">
            <w:pPr>
              <w:spacing w:after="0" w:line="240" w:lineRule="auto"/>
              <w:jc w:val="center"/>
              <w:rPr>
                <w:rFonts w:eastAsia="Times New Roman" w:cstheme="minorHAnsi"/>
                <w:sz w:val="24"/>
                <w:szCs w:val="24"/>
                <w:lang w:eastAsia="sk-SK"/>
              </w:rPr>
            </w:pPr>
            <w:r w:rsidRPr="0017537C">
              <w:rPr>
                <w:rFonts w:ascii="Calibri" w:hAnsi="Calibri" w:cs="Calibri"/>
              </w:rPr>
              <w:t> 138</w:t>
            </w:r>
          </w:p>
        </w:tc>
      </w:tr>
    </w:tbl>
    <w:p w14:paraId="07FC292B" w14:textId="54A3BDB2" w:rsidR="00425625" w:rsidRDefault="00AC7EA9" w:rsidP="00AC7EA9">
      <w:pPr>
        <w:spacing w:before="100" w:beforeAutospacing="1" w:after="100" w:afterAutospacing="1" w:line="240" w:lineRule="auto"/>
        <w:jc w:val="both"/>
        <w:rPr>
          <w:rFonts w:eastAsiaTheme="minorEastAsia" w:cstheme="minorHAnsi"/>
          <w:sz w:val="24"/>
          <w:szCs w:val="24"/>
          <w:lang w:eastAsia="sk-SK"/>
        </w:rPr>
      </w:pPr>
      <w:r w:rsidRPr="00AC7EA9">
        <w:rPr>
          <w:rFonts w:eastAsiaTheme="minorEastAsia" w:cstheme="minorHAnsi"/>
          <w:b/>
          <w:bCs/>
          <w:sz w:val="24"/>
          <w:szCs w:val="24"/>
          <w:lang w:eastAsia="sk-SK"/>
        </w:rPr>
        <w:t xml:space="preserve">Komentár: </w:t>
      </w:r>
      <w:r w:rsidRPr="00AC7EA9">
        <w:rPr>
          <w:rFonts w:eastAsiaTheme="minorEastAsia" w:cstheme="minorHAnsi"/>
          <w:sz w:val="24"/>
          <w:szCs w:val="24"/>
          <w:lang w:eastAsia="sk-SK"/>
        </w:rPr>
        <w:t>Hlavnou úlohou BSK v oblasti vzdelávania je schopnosť pripravovať kvalifikovaných stredoškolsky vzdelaných odborníkov pre potreby praxe, remeslá a aj pre vysokoškolské štúdium doma i v zahraničí. Regionálna samospráva má najväčší podiel zodpovednosti na fungovaní národného hospodárstva, pretože zabezpečuje vyškolených pracovníkov a zároveň pripravuje podmienky pre študentov na ďalšie vzdelávanie. Pre uplatnenie sa na trhu práce a začlenenia sa do spoločnosti dáva regionálne školstvo základ pre fungovanie priemyslu, poľnohospodárstva, rozvoj remesiel a duševný rozvoj nielen mladých ľudí, ale ľudí všetkých vekových kategórií prostredníctvom podpory celoživotného vzdelávania. Vzhľadom na rastúce kvalifikačné nároky je stredoškolské vzdelanie základným predpokladom úspešného uplatnenia sa na trhu práce. Jednou z priorít kraja na roky 202</w:t>
      </w:r>
      <w:r w:rsidR="00CF17B4">
        <w:rPr>
          <w:rFonts w:eastAsiaTheme="minorEastAsia" w:cstheme="minorHAnsi"/>
          <w:sz w:val="24"/>
          <w:szCs w:val="24"/>
          <w:lang w:eastAsia="sk-SK"/>
        </w:rPr>
        <w:t>5</w:t>
      </w:r>
      <w:r w:rsidRPr="00AC7EA9">
        <w:rPr>
          <w:rFonts w:eastAsiaTheme="minorEastAsia" w:cstheme="minorHAnsi"/>
          <w:sz w:val="24"/>
          <w:szCs w:val="24"/>
          <w:lang w:eastAsia="sk-SK"/>
        </w:rPr>
        <w:t xml:space="preserve"> - 202</w:t>
      </w:r>
      <w:r w:rsidR="00CF17B4">
        <w:rPr>
          <w:rFonts w:eastAsiaTheme="minorEastAsia" w:cstheme="minorHAnsi"/>
          <w:sz w:val="24"/>
          <w:szCs w:val="24"/>
          <w:lang w:eastAsia="sk-SK"/>
        </w:rPr>
        <w:t>7</w:t>
      </w:r>
      <w:r w:rsidRPr="00AC7EA9">
        <w:rPr>
          <w:rFonts w:eastAsiaTheme="minorEastAsia" w:cstheme="minorHAnsi"/>
          <w:sz w:val="24"/>
          <w:szCs w:val="24"/>
          <w:lang w:eastAsia="sk-SK"/>
        </w:rPr>
        <w:t xml:space="preserve"> je podpora celoživotného vzdelávania. </w:t>
      </w:r>
    </w:p>
    <w:p w14:paraId="70F9D32C" w14:textId="1075CCAE" w:rsidR="00AC7EA9" w:rsidRDefault="00AC7EA9" w:rsidP="00AC7EA9">
      <w:pPr>
        <w:spacing w:before="100" w:beforeAutospacing="1" w:after="100" w:afterAutospacing="1" w:line="240" w:lineRule="auto"/>
        <w:jc w:val="both"/>
        <w:rPr>
          <w:rFonts w:eastAsiaTheme="minorEastAsia" w:cstheme="minorHAnsi"/>
          <w:sz w:val="24"/>
          <w:szCs w:val="24"/>
          <w:lang w:eastAsia="sk-SK"/>
        </w:rPr>
      </w:pPr>
      <w:r w:rsidRPr="00AC7EA9">
        <w:rPr>
          <w:rFonts w:eastAsiaTheme="minorEastAsia" w:cstheme="minorHAnsi"/>
          <w:sz w:val="24"/>
          <w:szCs w:val="24"/>
          <w:lang w:eastAsia="sk-SK"/>
        </w:rPr>
        <w:t>Projekty celoživotného vzdelávania sa rozvíjajú v týchto centrách</w:t>
      </w:r>
      <w:r w:rsidR="005461D9">
        <w:rPr>
          <w:rFonts w:eastAsiaTheme="minorEastAsia" w:cstheme="minorHAnsi"/>
          <w:sz w:val="24"/>
          <w:szCs w:val="24"/>
          <w:lang w:eastAsia="sk-SK"/>
        </w:rPr>
        <w:t xml:space="preserve"> (COVP)</w:t>
      </w:r>
      <w:r w:rsidRPr="00AC7EA9">
        <w:rPr>
          <w:rFonts w:eastAsiaTheme="minorEastAsia" w:cstheme="minorHAnsi"/>
          <w:sz w:val="24"/>
          <w:szCs w:val="24"/>
          <w:lang w:eastAsia="sk-SK"/>
        </w:rPr>
        <w:t>:</w:t>
      </w:r>
    </w:p>
    <w:p w14:paraId="1FB26B2E" w14:textId="77777777" w:rsidR="00AF1030" w:rsidRPr="002A14F0" w:rsidRDefault="00AF1030" w:rsidP="00794A14">
      <w:pPr>
        <w:pStyle w:val="Odsekzoznamu"/>
        <w:numPr>
          <w:ilvl w:val="0"/>
          <w:numId w:val="8"/>
        </w:numPr>
        <w:spacing w:after="0"/>
        <w:jc w:val="both"/>
        <w:rPr>
          <w:rFonts w:asciiTheme="minorHAnsi" w:eastAsiaTheme="minorEastAsia" w:hAnsiTheme="minorHAnsi" w:cstheme="minorHAnsi"/>
        </w:rPr>
      </w:pPr>
      <w:r w:rsidRPr="002A14F0">
        <w:rPr>
          <w:rFonts w:asciiTheme="minorHAnsi" w:eastAsiaTheme="minorEastAsia" w:hAnsiTheme="minorHAnsi" w:cstheme="minorHAnsi"/>
        </w:rPr>
        <w:t>Centrum odborného vzdelávania a prípravy pre oblasť poľnohospodárstva a rozvoja vidieka v Spojenej škole, SNP 30, Ivanka pri Dunaji od 01. 09. 2012</w:t>
      </w:r>
    </w:p>
    <w:p w14:paraId="1AC685BA" w14:textId="77777777" w:rsidR="00AF1030" w:rsidRPr="002A14F0" w:rsidRDefault="00AF1030" w:rsidP="00794A14">
      <w:pPr>
        <w:pStyle w:val="Odsekzoznamu"/>
        <w:numPr>
          <w:ilvl w:val="0"/>
          <w:numId w:val="8"/>
        </w:numPr>
        <w:spacing w:after="0"/>
        <w:jc w:val="both"/>
        <w:rPr>
          <w:rFonts w:asciiTheme="minorHAnsi" w:eastAsiaTheme="minorEastAsia" w:hAnsiTheme="minorHAnsi" w:cstheme="minorHAnsi"/>
        </w:rPr>
      </w:pPr>
      <w:r w:rsidRPr="002A14F0">
        <w:rPr>
          <w:rFonts w:asciiTheme="minorHAnsi" w:eastAsiaTheme="minorEastAsia" w:hAnsiTheme="minorHAnsi" w:cstheme="minorHAnsi"/>
        </w:rPr>
        <w:t>Centrum odborného vzdelávania a prípravy pre oblasť elektrotechniky a informačných technológií v SOŠ informačných technológií, Hlinická 1 v Bratislave od 01. 09. 2012</w:t>
      </w:r>
    </w:p>
    <w:p w14:paraId="4D04E505" w14:textId="77777777" w:rsidR="00AF1030" w:rsidRPr="002A14F0" w:rsidRDefault="00AF1030" w:rsidP="00794A14">
      <w:pPr>
        <w:pStyle w:val="Odsekzoznamu"/>
        <w:numPr>
          <w:ilvl w:val="0"/>
          <w:numId w:val="8"/>
        </w:numPr>
        <w:spacing w:after="0"/>
        <w:jc w:val="both"/>
        <w:rPr>
          <w:rFonts w:asciiTheme="minorHAnsi" w:eastAsiaTheme="minorEastAsia" w:hAnsiTheme="minorHAnsi" w:cstheme="minorHAnsi"/>
        </w:rPr>
      </w:pPr>
      <w:r w:rsidRPr="002A14F0">
        <w:rPr>
          <w:rFonts w:asciiTheme="minorHAnsi" w:eastAsiaTheme="minorEastAsia" w:hAnsiTheme="minorHAnsi" w:cstheme="minorHAnsi"/>
        </w:rPr>
        <w:t xml:space="preserve">Centrum odborného vzdelávania a prípravy pre oblasť stavebníctva v SOŠ, </w:t>
      </w:r>
      <w:proofErr w:type="spellStart"/>
      <w:r w:rsidRPr="002A14F0">
        <w:rPr>
          <w:rFonts w:asciiTheme="minorHAnsi" w:eastAsiaTheme="minorEastAsia" w:hAnsiTheme="minorHAnsi" w:cstheme="minorHAnsi"/>
        </w:rPr>
        <w:t>Ivanská</w:t>
      </w:r>
      <w:proofErr w:type="spellEnd"/>
      <w:r w:rsidRPr="002A14F0">
        <w:rPr>
          <w:rFonts w:asciiTheme="minorHAnsi" w:eastAsiaTheme="minorEastAsia" w:hAnsiTheme="minorHAnsi" w:cstheme="minorHAnsi"/>
        </w:rPr>
        <w:t xml:space="preserve"> cesta 21, 823 75 Bratislava od 01. 01. 2015</w:t>
      </w:r>
    </w:p>
    <w:p w14:paraId="4FD2D059" w14:textId="77777777" w:rsidR="00AF1030" w:rsidRPr="002A14F0" w:rsidRDefault="00AF1030" w:rsidP="00794A14">
      <w:pPr>
        <w:pStyle w:val="Odsekzoznamu"/>
        <w:numPr>
          <w:ilvl w:val="0"/>
          <w:numId w:val="8"/>
        </w:numPr>
        <w:spacing w:after="0"/>
        <w:jc w:val="both"/>
        <w:rPr>
          <w:rFonts w:asciiTheme="minorHAnsi" w:eastAsiaTheme="minorEastAsia" w:hAnsiTheme="minorHAnsi" w:cstheme="minorHAnsi"/>
        </w:rPr>
      </w:pPr>
      <w:r w:rsidRPr="002A14F0">
        <w:rPr>
          <w:rFonts w:asciiTheme="minorHAnsi" w:eastAsiaTheme="minorEastAsia" w:hAnsiTheme="minorHAnsi" w:cstheme="minorHAnsi"/>
        </w:rPr>
        <w:t>Centrum odborného vzdelávania a prípravy pre oblasť polygrafie a médií v SOŠ polygrafickej, Račianska 190, Bratislava od 01. 07. 2015</w:t>
      </w:r>
    </w:p>
    <w:p w14:paraId="658FD6DF" w14:textId="77777777" w:rsidR="00AF1030" w:rsidRPr="002A14F0" w:rsidRDefault="00AF1030" w:rsidP="00794A14">
      <w:pPr>
        <w:pStyle w:val="Odsekzoznamu"/>
        <w:numPr>
          <w:ilvl w:val="0"/>
          <w:numId w:val="8"/>
        </w:numPr>
        <w:spacing w:after="0"/>
        <w:jc w:val="both"/>
        <w:rPr>
          <w:rFonts w:asciiTheme="minorHAnsi" w:eastAsiaTheme="minorEastAsia" w:hAnsiTheme="minorHAnsi" w:cstheme="minorHAnsi"/>
        </w:rPr>
      </w:pPr>
      <w:r w:rsidRPr="002A14F0">
        <w:rPr>
          <w:rFonts w:asciiTheme="minorHAnsi" w:eastAsiaTheme="minorEastAsia" w:hAnsiTheme="minorHAnsi" w:cstheme="minorHAnsi"/>
        </w:rPr>
        <w:t>Centrum odborného vzdelávania a prípravy pre oblasť potravinárstva v SOŠ gastronómie a hotelových služieb, Farského 9, Bratislava od 01. 05. 2013</w:t>
      </w:r>
    </w:p>
    <w:p w14:paraId="5A332278" w14:textId="77777777" w:rsidR="00AF1030" w:rsidRPr="002A14F0" w:rsidRDefault="00AF1030" w:rsidP="00794A14">
      <w:pPr>
        <w:pStyle w:val="Odsekzoznamu"/>
        <w:numPr>
          <w:ilvl w:val="0"/>
          <w:numId w:val="8"/>
        </w:numPr>
        <w:spacing w:after="0"/>
        <w:jc w:val="both"/>
        <w:rPr>
          <w:rFonts w:asciiTheme="minorHAnsi" w:eastAsiaTheme="minorEastAsia" w:hAnsiTheme="minorHAnsi" w:cstheme="minorHAnsi"/>
        </w:rPr>
      </w:pPr>
      <w:r w:rsidRPr="002A14F0">
        <w:rPr>
          <w:rFonts w:asciiTheme="minorHAnsi" w:eastAsiaTheme="minorEastAsia" w:hAnsiTheme="minorHAnsi" w:cstheme="minorHAnsi"/>
        </w:rPr>
        <w:t xml:space="preserve">Centrum odborného vzdelávania a prípravy pre oblasť osobných služieb pri SOŠ </w:t>
      </w:r>
      <w:proofErr w:type="spellStart"/>
      <w:r w:rsidRPr="002A14F0">
        <w:rPr>
          <w:rFonts w:asciiTheme="minorHAnsi" w:eastAsiaTheme="minorEastAsia" w:hAnsiTheme="minorHAnsi" w:cstheme="minorHAnsi"/>
        </w:rPr>
        <w:t>beauty</w:t>
      </w:r>
      <w:proofErr w:type="spellEnd"/>
      <w:r w:rsidRPr="002A14F0">
        <w:rPr>
          <w:rFonts w:asciiTheme="minorHAnsi" w:eastAsiaTheme="minorEastAsia" w:hAnsiTheme="minorHAnsi" w:cstheme="minorHAnsi"/>
        </w:rPr>
        <w:t xml:space="preserve"> služieb, Račianska 105, Bratislava od 01. 03. 2016</w:t>
      </w:r>
    </w:p>
    <w:p w14:paraId="76BE404A" w14:textId="77777777" w:rsidR="00AF1030" w:rsidRPr="002A14F0" w:rsidRDefault="00AF1030" w:rsidP="00794A14">
      <w:pPr>
        <w:pStyle w:val="Odsekzoznamu"/>
        <w:numPr>
          <w:ilvl w:val="0"/>
          <w:numId w:val="8"/>
        </w:numPr>
        <w:spacing w:after="0"/>
        <w:jc w:val="both"/>
        <w:rPr>
          <w:rFonts w:asciiTheme="minorHAnsi" w:eastAsiaTheme="minorEastAsia" w:hAnsiTheme="minorHAnsi" w:cstheme="minorHAnsi"/>
        </w:rPr>
      </w:pPr>
      <w:r w:rsidRPr="002A14F0">
        <w:rPr>
          <w:rFonts w:asciiTheme="minorHAnsi" w:eastAsiaTheme="minorEastAsia" w:hAnsiTheme="minorHAnsi" w:cstheme="minorHAnsi"/>
        </w:rPr>
        <w:lastRenderedPageBreak/>
        <w:t>Centrum odborného vzdelávania a prípravy pre oblasť obchodu a služieb s ním spojených pri SOŠ obchodu a služieb S. Jurkoviča, Sklenárova 1, Bratislava od 1. 9. 2016</w:t>
      </w:r>
    </w:p>
    <w:p w14:paraId="7BB549E5" w14:textId="77777777" w:rsidR="00AF1030" w:rsidRDefault="00AF1030" w:rsidP="00794A14">
      <w:pPr>
        <w:pStyle w:val="Odsekzoznamu"/>
        <w:numPr>
          <w:ilvl w:val="0"/>
          <w:numId w:val="8"/>
        </w:numPr>
        <w:jc w:val="both"/>
        <w:rPr>
          <w:rFonts w:asciiTheme="minorHAnsi" w:eastAsiaTheme="minorEastAsia" w:hAnsiTheme="minorHAnsi" w:cstheme="minorHAnsi"/>
        </w:rPr>
      </w:pPr>
      <w:r w:rsidRPr="002A14F0">
        <w:rPr>
          <w:rFonts w:asciiTheme="minorHAnsi" w:eastAsiaTheme="minorEastAsia" w:hAnsiTheme="minorHAnsi" w:cstheme="minorHAnsi"/>
        </w:rPr>
        <w:t>Centrum odborného vzdelávania a prípravy pre oblasť technickej a aplikovanej chémie pri SOŠ chemickej, Vlčie hrdlo 50, Bratislava od 1. 9. 2016.</w:t>
      </w:r>
    </w:p>
    <w:p w14:paraId="0A8AD5F4" w14:textId="1DB58E01" w:rsidR="0077389E" w:rsidRDefault="00763B53" w:rsidP="00794A14">
      <w:pPr>
        <w:pStyle w:val="Odsekzoznamu"/>
        <w:numPr>
          <w:ilvl w:val="0"/>
          <w:numId w:val="8"/>
        </w:numPr>
        <w:jc w:val="both"/>
        <w:rPr>
          <w:rFonts w:asciiTheme="minorHAnsi" w:eastAsiaTheme="minorEastAsia" w:hAnsiTheme="minorHAnsi" w:cstheme="minorHAnsi"/>
        </w:rPr>
      </w:pPr>
      <w:r w:rsidRPr="0017537C">
        <w:rPr>
          <w:rFonts w:ascii="Calibri" w:hAnsi="Calibri" w:cs="Calibri"/>
        </w:rPr>
        <w:t>Centrum odborného vzdelávania a prípravy pre ekonomiku, financie a administratívu pri Obchodnej akadémii, Račianska 107, Bratislava od 31. 10. 2022</w:t>
      </w:r>
    </w:p>
    <w:p w14:paraId="17D3DB03" w14:textId="3DD409DA" w:rsidR="008B4B2F" w:rsidRPr="00A94210" w:rsidRDefault="008B4B2F" w:rsidP="00794A14">
      <w:pPr>
        <w:pStyle w:val="Odsekzoznamu"/>
        <w:numPr>
          <w:ilvl w:val="0"/>
          <w:numId w:val="8"/>
        </w:numPr>
        <w:jc w:val="both"/>
        <w:rPr>
          <w:rFonts w:asciiTheme="minorHAnsi" w:eastAsiaTheme="minorEastAsia" w:hAnsiTheme="minorHAnsi" w:cstheme="minorHAnsi"/>
        </w:rPr>
      </w:pPr>
      <w:r w:rsidRPr="00A94210">
        <w:rPr>
          <w:rFonts w:asciiTheme="minorHAnsi" w:eastAsiaTheme="minorEastAsia" w:hAnsiTheme="minorHAnsi" w:cstheme="minorHAnsi"/>
        </w:rPr>
        <w:t xml:space="preserve">Centrum odborného vzdelávania a prípravy pre gastronómiu, hotelierstvo a cestovný ruch pri Hotelovej akadémii, </w:t>
      </w:r>
      <w:proofErr w:type="spellStart"/>
      <w:r w:rsidRPr="00A94210">
        <w:rPr>
          <w:rFonts w:asciiTheme="minorHAnsi" w:eastAsiaTheme="minorEastAsia" w:hAnsiTheme="minorHAnsi" w:cstheme="minorHAnsi"/>
        </w:rPr>
        <w:t>Mikovíniho</w:t>
      </w:r>
      <w:proofErr w:type="spellEnd"/>
      <w:r w:rsidRPr="00A94210">
        <w:rPr>
          <w:rFonts w:asciiTheme="minorHAnsi" w:eastAsiaTheme="minorEastAsia" w:hAnsiTheme="minorHAnsi" w:cstheme="minorHAnsi"/>
        </w:rPr>
        <w:t xml:space="preserve"> 1, Bratislava od 02. 11. 2022</w:t>
      </w:r>
    </w:p>
    <w:p w14:paraId="3585BB7D" w14:textId="28B14370" w:rsidR="008B4B2F" w:rsidRDefault="008B4B2F" w:rsidP="00794A14">
      <w:pPr>
        <w:pStyle w:val="Odsekzoznamu"/>
        <w:numPr>
          <w:ilvl w:val="0"/>
          <w:numId w:val="8"/>
        </w:numPr>
        <w:jc w:val="both"/>
        <w:rPr>
          <w:rFonts w:asciiTheme="minorHAnsi" w:eastAsiaTheme="minorEastAsia" w:hAnsiTheme="minorHAnsi" w:cstheme="minorHAnsi"/>
        </w:rPr>
      </w:pPr>
      <w:r w:rsidRPr="00A94210">
        <w:rPr>
          <w:rFonts w:asciiTheme="minorHAnsi" w:eastAsiaTheme="minorEastAsia" w:hAnsiTheme="minorHAnsi" w:cstheme="minorHAnsi"/>
        </w:rPr>
        <w:t xml:space="preserve">Centrum odborného vzdelávania a prípravy pre oblasť informačných a komunikačných technológií pri Strednej priemyselnej škole elektrotechnickej, </w:t>
      </w:r>
      <w:proofErr w:type="spellStart"/>
      <w:r w:rsidRPr="00A94210">
        <w:rPr>
          <w:rFonts w:asciiTheme="minorHAnsi" w:eastAsiaTheme="minorEastAsia" w:hAnsiTheme="minorHAnsi" w:cstheme="minorHAnsi"/>
        </w:rPr>
        <w:t>Hálova</w:t>
      </w:r>
      <w:proofErr w:type="spellEnd"/>
      <w:r w:rsidRPr="00A94210">
        <w:rPr>
          <w:rFonts w:asciiTheme="minorHAnsi" w:eastAsiaTheme="minorEastAsia" w:hAnsiTheme="minorHAnsi" w:cstheme="minorHAnsi"/>
        </w:rPr>
        <w:t xml:space="preserve"> 16, Bratislava od 01. 02. 2023</w:t>
      </w:r>
    </w:p>
    <w:p w14:paraId="798C37E3" w14:textId="77777777" w:rsidR="00AC7EA9" w:rsidRPr="00AC7EA9" w:rsidRDefault="00AC7EA9" w:rsidP="00AC7EA9">
      <w:pPr>
        <w:spacing w:before="100" w:beforeAutospacing="1" w:after="100" w:afterAutospacing="1" w:line="240" w:lineRule="auto"/>
        <w:jc w:val="both"/>
        <w:rPr>
          <w:rFonts w:eastAsiaTheme="minorEastAsia" w:cstheme="minorHAnsi"/>
          <w:sz w:val="24"/>
          <w:szCs w:val="24"/>
          <w:lang w:eastAsia="sk-SK"/>
        </w:rPr>
      </w:pPr>
      <w:r w:rsidRPr="00AC7EA9">
        <w:rPr>
          <w:rFonts w:eastAsiaTheme="minorEastAsia" w:cstheme="minorHAnsi"/>
          <w:sz w:val="24"/>
          <w:szCs w:val="24"/>
          <w:lang w:eastAsia="sk-SK"/>
        </w:rPr>
        <w:t xml:space="preserve">Na zabezpečenie všetkých aktivít a činností v rámci programu Vzdelávanie financuje BSK nasledovné podprogramy: Školský úrad, Všeobecné vzdelávanie, Odborné vzdelávanie, Školské stravovanie, Školské ubytovanie, Voľno-časové aktivity, Ostatní zriaďovatelia JŠ a školských zariadení, Strediská odbornej praxe a Ostatné výdavky na školstvo. </w:t>
      </w:r>
    </w:p>
    <w:p w14:paraId="074E431B" w14:textId="77777777" w:rsidR="009A3990" w:rsidRPr="0017537C" w:rsidRDefault="009A3990" w:rsidP="009A3990">
      <w:pPr>
        <w:pStyle w:val="Normlnywebov"/>
        <w:jc w:val="both"/>
        <w:rPr>
          <w:rFonts w:ascii="Calibri" w:hAnsi="Calibri" w:cs="Calibri"/>
        </w:rPr>
      </w:pPr>
      <w:r w:rsidRPr="0017537C">
        <w:rPr>
          <w:rFonts w:ascii="Calibri" w:hAnsi="Calibri" w:cs="Calibri"/>
        </w:rPr>
        <w:t xml:space="preserve">Na zabezpečenie všetkých aktivít a činností v rámci programu Vzdelávanie financuje BSK nasledovné podprogramy: Školský úrad, Všeobecné vzdelávanie, Odborné vzdelávanie, Školské stravovanie, Školské ubytovanie, Voľno-časové aktivity, Ostatní zriaďovatelia JŠ a školských zariadení, Strediská odbornej praxe a Ostatné výdavky na školstvo. Výška rozpočtov je v podprograme Všeobecné vzdelávanie a Odborné vzdelávanie napočítaná v súlade s platnou legislatívou. V podprogramoch Školské stravovanie, Školské ubytovanie, Voľno-časové aktivity a Strediská odbornej praxe sú rozpočty napočítané v zmysle aktuálneho všeobecne záväzného nariadenia, schváleného Zastupiteľstvom BSK. V podprograme Ostatní zriaďovatelia JŠ a školských zariadení sa financovanie riadi zákonom č. 596/2003 Z. z. o štátnej správe v školstve a školskej samospráve a o zmene a doplnení niektorých zákonov v znení neskorších predpisov. </w:t>
      </w:r>
    </w:p>
    <w:p w14:paraId="60710E91" w14:textId="77777777" w:rsidR="009A3990" w:rsidRDefault="009A3990" w:rsidP="009A3990">
      <w:pPr>
        <w:pStyle w:val="Normlnywebov"/>
        <w:jc w:val="both"/>
        <w:rPr>
          <w:rFonts w:ascii="Calibri" w:hAnsi="Calibri" w:cs="Calibri"/>
        </w:rPr>
      </w:pPr>
      <w:r w:rsidRPr="0017537C">
        <w:rPr>
          <w:rFonts w:ascii="Calibri" w:hAnsi="Calibri" w:cs="Calibri"/>
        </w:rPr>
        <w:t>Podprogram Ostatné výdavky na školstvo tvoria finančné prostriedky na originálne kompetencie. Zahŕňa finančné prostriedky, ktoré budú použité na financovanie školských súťaží, spolufinancovanie projektov, nákladov v súvislosti s optimalizáciou siete škôl a školských zariadení, výročia škôl, dane z nehnuteľností, nových výkonov, vybavenia škôl a školských zariadení, a iné aktivity škôl. Súčasťou Ostatných výdavkov je plnenie priorít BSK v zmysle usmernení, ktoré upravujú poskytovanie benefitov pre zamestnancov škôl a školských zariadení, podpora realizácie medzinárodného vzdelávacieho programu na Spojenej škole, Pankúchova 6, Bratislava, podpora sociálne znevýhodnených žiakov a pod.</w:t>
      </w:r>
    </w:p>
    <w:p w14:paraId="6C48AD82" w14:textId="77777777" w:rsidR="009A3990" w:rsidRPr="006D55A8" w:rsidRDefault="009A3990" w:rsidP="009A3990">
      <w:pPr>
        <w:jc w:val="both"/>
        <w:rPr>
          <w:rFonts w:ascii="Calibri" w:hAnsi="Calibri" w:cs="Calibri"/>
        </w:rPr>
      </w:pPr>
      <w:r w:rsidRPr="006D55A8">
        <w:rPr>
          <w:rFonts w:ascii="Calibri" w:hAnsi="Calibri" w:cs="Calibri"/>
        </w:rPr>
        <w:t>Súčasťou materiálu k návrhu rozpočtu na roky 202</w:t>
      </w:r>
      <w:r>
        <w:rPr>
          <w:rFonts w:ascii="Calibri" w:hAnsi="Calibri" w:cs="Calibri"/>
        </w:rPr>
        <w:t>5</w:t>
      </w:r>
      <w:r w:rsidRPr="006D55A8">
        <w:rPr>
          <w:rFonts w:ascii="Calibri" w:hAnsi="Calibri" w:cs="Calibri"/>
        </w:rPr>
        <w:t xml:space="preserve"> – 202</w:t>
      </w:r>
      <w:r>
        <w:rPr>
          <w:rFonts w:ascii="Calibri" w:hAnsi="Calibri" w:cs="Calibri"/>
        </w:rPr>
        <w:t>7</w:t>
      </w:r>
      <w:r w:rsidRPr="006D55A8">
        <w:rPr>
          <w:rFonts w:ascii="Calibri" w:hAnsi="Calibri" w:cs="Calibri"/>
        </w:rPr>
        <w:t xml:space="preserve"> sú vypracované tabuľky o komplexnom prehľade rozpočtovaných finančných prostriedkoch (tabuľka 1 – 5). Uvedený prehľad obsahuje členenie na prenesené kompetencie – dotáciu zo štátneho rozpočtu, ďalej členenie podľa dotácie pre školské zariadenia, vlastné príjmy organizácií, ktoré sú zároveň rozpočtované vo výdavkoch a na rozpočte rozpočtových organizácií sa od 1. 1. 2018 usmernením MF SR podieľajú aj ostatné zdroje (napr. rozpočtované stravovacie účty, projekty, dary, podnikateľská činnosť).</w:t>
      </w:r>
    </w:p>
    <w:p w14:paraId="691F28C7" w14:textId="77777777" w:rsidR="00AC7EA9" w:rsidRPr="00AC7EA9" w:rsidRDefault="00AC7EA9" w:rsidP="00AC7EA9">
      <w:pPr>
        <w:spacing w:after="0" w:line="240" w:lineRule="auto"/>
        <w:jc w:val="both"/>
        <w:rPr>
          <w:rFonts w:eastAsia="Times New Roman" w:cstheme="minorHAnsi"/>
          <w:sz w:val="24"/>
          <w:szCs w:val="24"/>
          <w:lang w:eastAsia="sk-SK"/>
        </w:rPr>
      </w:pPr>
    </w:p>
    <w:p w14:paraId="63BB02F5" w14:textId="57455F3E"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Tabuľka č. 1 – komplexný prehľad návrhu rozpočtu na roky 2025 – 2027 pre školy a školské zariadenia v zriaďovateľskej pôsobnosti BSK:</w:t>
      </w:r>
    </w:p>
    <w:p w14:paraId="186D5F00" w14:textId="37026DC5"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Times New Roman" w:eastAsia="Times New Roman" w:hAnsi="Times New Roman" w:cs="Times New Roman"/>
          <w:noProof/>
          <w:sz w:val="24"/>
          <w:szCs w:val="24"/>
          <w:lang w:eastAsia="sk-SK"/>
        </w:rPr>
        <w:lastRenderedPageBreak/>
        <w:drawing>
          <wp:inline distT="0" distB="0" distL="0" distR="0" wp14:anchorId="12D57CDA" wp14:editId="4A054283">
            <wp:extent cx="6667500" cy="8648303"/>
            <wp:effectExtent l="0" t="0" r="0" b="635"/>
            <wp:docPr id="77988839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71902" cy="8654012"/>
                    </a:xfrm>
                    <a:prstGeom prst="rect">
                      <a:avLst/>
                    </a:prstGeom>
                    <a:noFill/>
                    <a:ln>
                      <a:noFill/>
                    </a:ln>
                  </pic:spPr>
                </pic:pic>
              </a:graphicData>
            </a:graphic>
          </wp:inline>
        </w:drawing>
      </w:r>
    </w:p>
    <w:p w14:paraId="36E24F5A" w14:textId="2EC3515E" w:rsidR="00A1066F" w:rsidRPr="00A1066F" w:rsidRDefault="00A1066F" w:rsidP="00A1066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A1066F">
        <w:rPr>
          <w:rFonts w:ascii="Times New Roman" w:eastAsia="Times New Roman" w:hAnsi="Times New Roman" w:cs="Times New Roman"/>
          <w:noProof/>
          <w:sz w:val="24"/>
          <w:szCs w:val="24"/>
          <w:lang w:eastAsia="sk-SK"/>
        </w:rPr>
        <w:lastRenderedPageBreak/>
        <w:drawing>
          <wp:inline distT="0" distB="0" distL="0" distR="0" wp14:anchorId="2323656E" wp14:editId="66A3A379">
            <wp:extent cx="6638925" cy="247650"/>
            <wp:effectExtent l="0" t="0" r="9525" b="0"/>
            <wp:docPr id="623453769"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247650"/>
                    </a:xfrm>
                    <a:prstGeom prst="rect">
                      <a:avLst/>
                    </a:prstGeom>
                    <a:noFill/>
                    <a:ln>
                      <a:noFill/>
                    </a:ln>
                  </pic:spPr>
                </pic:pic>
              </a:graphicData>
            </a:graphic>
          </wp:inline>
        </w:drawing>
      </w:r>
      <w:r w:rsidRPr="00A1066F">
        <w:rPr>
          <w:rFonts w:ascii="Times New Roman" w:eastAsia="Times New Roman" w:hAnsi="Times New Roman" w:cs="Times New Roman"/>
          <w:sz w:val="24"/>
          <w:szCs w:val="24"/>
          <w:lang w:eastAsia="sk-SK"/>
        </w:rPr>
        <w:t xml:space="preserve"> </w:t>
      </w:r>
      <w:r w:rsidRPr="00A1066F">
        <w:rPr>
          <w:rFonts w:ascii="Times New Roman" w:eastAsia="Times New Roman" w:hAnsi="Times New Roman" w:cs="Times New Roman"/>
          <w:noProof/>
          <w:sz w:val="24"/>
          <w:szCs w:val="24"/>
          <w:lang w:eastAsia="sk-SK"/>
        </w:rPr>
        <w:drawing>
          <wp:inline distT="0" distB="0" distL="0" distR="0" wp14:anchorId="1FF6E336" wp14:editId="035ADDE4">
            <wp:extent cx="6638925" cy="9001125"/>
            <wp:effectExtent l="0" t="0" r="9525" b="9525"/>
            <wp:docPr id="1331906679"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38925" cy="9001125"/>
                    </a:xfrm>
                    <a:prstGeom prst="rect">
                      <a:avLst/>
                    </a:prstGeom>
                    <a:noFill/>
                    <a:ln>
                      <a:noFill/>
                    </a:ln>
                  </pic:spPr>
                </pic:pic>
              </a:graphicData>
            </a:graphic>
          </wp:inline>
        </w:drawing>
      </w:r>
    </w:p>
    <w:p w14:paraId="7A00B85C"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sz w:val="24"/>
          <w:szCs w:val="24"/>
          <w:lang w:eastAsia="sk-SK"/>
        </w:rPr>
        <w:lastRenderedPageBreak/>
        <w:t>Tabuľka č. 2 – prehľad o finančných prostriedkoch na prenesený výkon štátnej správy</w:t>
      </w:r>
    </w:p>
    <w:p w14:paraId="08AD9F4E" w14:textId="151CCFCE"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Times New Roman" w:eastAsia="Times New Roman" w:hAnsi="Times New Roman" w:cs="Times New Roman"/>
          <w:noProof/>
          <w:sz w:val="24"/>
          <w:szCs w:val="24"/>
          <w:lang w:eastAsia="sk-SK"/>
        </w:rPr>
        <w:drawing>
          <wp:inline distT="0" distB="0" distL="0" distR="0" wp14:anchorId="5D775593" wp14:editId="1AECBEAB">
            <wp:extent cx="6349983" cy="9001125"/>
            <wp:effectExtent l="0" t="0" r="0" b="0"/>
            <wp:docPr id="864833728"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1576" cy="9003383"/>
                    </a:xfrm>
                    <a:prstGeom prst="rect">
                      <a:avLst/>
                    </a:prstGeom>
                    <a:noFill/>
                    <a:ln>
                      <a:noFill/>
                    </a:ln>
                  </pic:spPr>
                </pic:pic>
              </a:graphicData>
            </a:graphic>
          </wp:inline>
        </w:drawing>
      </w:r>
    </w:p>
    <w:p w14:paraId="07C52CCF" w14:textId="1EFF585E" w:rsidR="00A1066F" w:rsidRPr="00A1066F" w:rsidRDefault="00A1066F" w:rsidP="00A1066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A1066F">
        <w:rPr>
          <w:rFonts w:ascii="Times New Roman" w:eastAsia="Times New Roman" w:hAnsi="Times New Roman" w:cs="Times New Roman"/>
          <w:noProof/>
          <w:sz w:val="24"/>
          <w:szCs w:val="24"/>
          <w:lang w:eastAsia="sk-SK"/>
        </w:rPr>
        <w:lastRenderedPageBreak/>
        <w:drawing>
          <wp:inline distT="0" distB="0" distL="0" distR="0" wp14:anchorId="461AC2C4" wp14:editId="1AF0B292">
            <wp:extent cx="6638925" cy="247650"/>
            <wp:effectExtent l="0" t="0" r="9525" b="0"/>
            <wp:docPr id="332207393"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38925" cy="247650"/>
                    </a:xfrm>
                    <a:prstGeom prst="rect">
                      <a:avLst/>
                    </a:prstGeom>
                    <a:noFill/>
                    <a:ln>
                      <a:noFill/>
                    </a:ln>
                  </pic:spPr>
                </pic:pic>
              </a:graphicData>
            </a:graphic>
          </wp:inline>
        </w:drawing>
      </w:r>
      <w:r w:rsidRPr="00A1066F">
        <w:rPr>
          <w:rFonts w:ascii="Times New Roman" w:eastAsia="Times New Roman" w:hAnsi="Times New Roman" w:cs="Times New Roman"/>
          <w:sz w:val="24"/>
          <w:szCs w:val="24"/>
          <w:lang w:eastAsia="sk-SK"/>
        </w:rPr>
        <w:t xml:space="preserve"> </w:t>
      </w:r>
      <w:r w:rsidRPr="00A1066F">
        <w:rPr>
          <w:rFonts w:ascii="Times New Roman" w:eastAsia="Times New Roman" w:hAnsi="Times New Roman" w:cs="Times New Roman"/>
          <w:noProof/>
          <w:sz w:val="24"/>
          <w:szCs w:val="24"/>
          <w:lang w:eastAsia="sk-SK"/>
        </w:rPr>
        <w:drawing>
          <wp:inline distT="0" distB="0" distL="0" distR="0" wp14:anchorId="0BAEB54B" wp14:editId="3DF1B04A">
            <wp:extent cx="6638925" cy="1905000"/>
            <wp:effectExtent l="0" t="0" r="9525" b="0"/>
            <wp:docPr id="372224458"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38925" cy="1905000"/>
                    </a:xfrm>
                    <a:prstGeom prst="rect">
                      <a:avLst/>
                    </a:prstGeom>
                    <a:noFill/>
                    <a:ln>
                      <a:noFill/>
                    </a:ln>
                  </pic:spPr>
                </pic:pic>
              </a:graphicData>
            </a:graphic>
          </wp:inline>
        </w:drawing>
      </w:r>
    </w:p>
    <w:p w14:paraId="3254C0E4"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Tabuľka č. 3 – prehľad o rozpočtovaných naplnených príjmoch RO vo výdavkoch</w:t>
      </w:r>
    </w:p>
    <w:p w14:paraId="7878AD70" w14:textId="57F30A2C" w:rsidR="00A1066F" w:rsidRPr="00A1066F" w:rsidRDefault="00A1066F" w:rsidP="00A1066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A1066F">
        <w:rPr>
          <w:rFonts w:ascii="Times New Roman" w:eastAsia="Times New Roman" w:hAnsi="Times New Roman" w:cs="Times New Roman"/>
          <w:noProof/>
          <w:sz w:val="24"/>
          <w:szCs w:val="24"/>
          <w:lang w:eastAsia="sk-SK"/>
        </w:rPr>
        <w:drawing>
          <wp:inline distT="0" distB="0" distL="0" distR="0" wp14:anchorId="486DBACA" wp14:editId="68FF8555">
            <wp:extent cx="6667500" cy="6506210"/>
            <wp:effectExtent l="0" t="0" r="0" b="8890"/>
            <wp:docPr id="1114636026"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79266" cy="6517691"/>
                    </a:xfrm>
                    <a:prstGeom prst="rect">
                      <a:avLst/>
                    </a:prstGeom>
                    <a:noFill/>
                    <a:ln>
                      <a:noFill/>
                    </a:ln>
                  </pic:spPr>
                </pic:pic>
              </a:graphicData>
            </a:graphic>
          </wp:inline>
        </w:drawing>
      </w:r>
    </w:p>
    <w:p w14:paraId="48A28DE2" w14:textId="30555D29" w:rsidR="00A1066F" w:rsidRPr="00A1066F" w:rsidRDefault="00A1066F" w:rsidP="00A1066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A1066F">
        <w:rPr>
          <w:rFonts w:ascii="Times New Roman" w:eastAsia="Times New Roman" w:hAnsi="Times New Roman" w:cs="Times New Roman"/>
          <w:noProof/>
          <w:sz w:val="24"/>
          <w:szCs w:val="24"/>
          <w:lang w:eastAsia="sk-SK"/>
        </w:rPr>
        <w:lastRenderedPageBreak/>
        <w:drawing>
          <wp:inline distT="0" distB="0" distL="0" distR="0" wp14:anchorId="34A3A83B" wp14:editId="1C2E1E84">
            <wp:extent cx="6638925" cy="247650"/>
            <wp:effectExtent l="0" t="0" r="9525" b="0"/>
            <wp:docPr id="518545693"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38925" cy="247650"/>
                    </a:xfrm>
                    <a:prstGeom prst="rect">
                      <a:avLst/>
                    </a:prstGeom>
                    <a:noFill/>
                    <a:ln>
                      <a:noFill/>
                    </a:ln>
                  </pic:spPr>
                </pic:pic>
              </a:graphicData>
            </a:graphic>
          </wp:inline>
        </w:drawing>
      </w:r>
      <w:r w:rsidRPr="00A1066F">
        <w:rPr>
          <w:rFonts w:ascii="Times New Roman" w:eastAsia="Times New Roman" w:hAnsi="Times New Roman" w:cs="Times New Roman"/>
          <w:sz w:val="24"/>
          <w:szCs w:val="24"/>
          <w:lang w:eastAsia="sk-SK"/>
        </w:rPr>
        <w:t xml:space="preserve"> </w:t>
      </w:r>
      <w:r w:rsidRPr="00A1066F">
        <w:rPr>
          <w:rFonts w:ascii="Times New Roman" w:eastAsia="Times New Roman" w:hAnsi="Times New Roman" w:cs="Times New Roman"/>
          <w:noProof/>
          <w:sz w:val="24"/>
          <w:szCs w:val="24"/>
          <w:lang w:eastAsia="sk-SK"/>
        </w:rPr>
        <w:drawing>
          <wp:inline distT="0" distB="0" distL="0" distR="0" wp14:anchorId="0579B8E7" wp14:editId="2830642D">
            <wp:extent cx="6619875" cy="8762365"/>
            <wp:effectExtent l="0" t="0" r="9525" b="635"/>
            <wp:docPr id="559777441"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22725" cy="8766138"/>
                    </a:xfrm>
                    <a:prstGeom prst="rect">
                      <a:avLst/>
                    </a:prstGeom>
                    <a:noFill/>
                    <a:ln>
                      <a:noFill/>
                    </a:ln>
                  </pic:spPr>
                </pic:pic>
              </a:graphicData>
            </a:graphic>
          </wp:inline>
        </w:drawing>
      </w:r>
    </w:p>
    <w:p w14:paraId="1F29FC08" w14:textId="4E8A55BF" w:rsidR="00A1066F" w:rsidRPr="00A1066F" w:rsidRDefault="00A1066F" w:rsidP="00A1066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A1066F">
        <w:rPr>
          <w:rFonts w:ascii="Times New Roman" w:eastAsia="Times New Roman" w:hAnsi="Times New Roman" w:cs="Times New Roman"/>
          <w:noProof/>
          <w:sz w:val="24"/>
          <w:szCs w:val="24"/>
          <w:lang w:eastAsia="sk-SK"/>
        </w:rPr>
        <w:lastRenderedPageBreak/>
        <w:drawing>
          <wp:inline distT="0" distB="0" distL="0" distR="0" wp14:anchorId="29B724C0" wp14:editId="24E70A7E">
            <wp:extent cx="6638925" cy="247650"/>
            <wp:effectExtent l="0" t="0" r="9525" b="0"/>
            <wp:docPr id="576420072"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38925" cy="247650"/>
                    </a:xfrm>
                    <a:prstGeom prst="rect">
                      <a:avLst/>
                    </a:prstGeom>
                    <a:noFill/>
                    <a:ln>
                      <a:noFill/>
                    </a:ln>
                  </pic:spPr>
                </pic:pic>
              </a:graphicData>
            </a:graphic>
          </wp:inline>
        </w:drawing>
      </w:r>
      <w:r w:rsidRPr="00A1066F">
        <w:rPr>
          <w:rFonts w:ascii="Times New Roman" w:eastAsia="Times New Roman" w:hAnsi="Times New Roman" w:cs="Times New Roman"/>
          <w:sz w:val="24"/>
          <w:szCs w:val="24"/>
          <w:lang w:eastAsia="sk-SK"/>
        </w:rPr>
        <w:t xml:space="preserve"> </w:t>
      </w:r>
      <w:r w:rsidRPr="00A1066F">
        <w:rPr>
          <w:rFonts w:ascii="Times New Roman" w:eastAsia="Times New Roman" w:hAnsi="Times New Roman" w:cs="Times New Roman"/>
          <w:noProof/>
          <w:sz w:val="24"/>
          <w:szCs w:val="24"/>
          <w:lang w:eastAsia="sk-SK"/>
        </w:rPr>
        <w:drawing>
          <wp:inline distT="0" distB="0" distL="0" distR="0" wp14:anchorId="7209A161" wp14:editId="52842EF8">
            <wp:extent cx="6638925" cy="1762125"/>
            <wp:effectExtent l="0" t="0" r="9525" b="9525"/>
            <wp:docPr id="388455709"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38925" cy="1762125"/>
                    </a:xfrm>
                    <a:prstGeom prst="rect">
                      <a:avLst/>
                    </a:prstGeom>
                    <a:noFill/>
                    <a:ln>
                      <a:noFill/>
                    </a:ln>
                  </pic:spPr>
                </pic:pic>
              </a:graphicData>
            </a:graphic>
          </wp:inline>
        </w:drawing>
      </w:r>
    </w:p>
    <w:p w14:paraId="28B68C16"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Tabuľka č. 4 – prehľad o rozpočtovaných ostatných zdrojoch rozpočtových organizácií</w:t>
      </w:r>
    </w:p>
    <w:p w14:paraId="7E28DEE9" w14:textId="1793BB49" w:rsidR="00A1066F" w:rsidRPr="00A1066F" w:rsidRDefault="00A1066F" w:rsidP="00A1066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A1066F">
        <w:rPr>
          <w:rFonts w:ascii="Times New Roman" w:eastAsia="Times New Roman" w:hAnsi="Times New Roman" w:cs="Times New Roman"/>
          <w:noProof/>
          <w:sz w:val="24"/>
          <w:szCs w:val="24"/>
          <w:lang w:eastAsia="sk-SK"/>
        </w:rPr>
        <w:drawing>
          <wp:inline distT="0" distB="0" distL="0" distR="0" wp14:anchorId="7680F8F3" wp14:editId="6D1EA2C3">
            <wp:extent cx="6496050" cy="6840891"/>
            <wp:effectExtent l="0" t="0" r="0" b="0"/>
            <wp:docPr id="209284234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98748" cy="6843732"/>
                    </a:xfrm>
                    <a:prstGeom prst="rect">
                      <a:avLst/>
                    </a:prstGeom>
                    <a:noFill/>
                    <a:ln>
                      <a:noFill/>
                    </a:ln>
                  </pic:spPr>
                </pic:pic>
              </a:graphicData>
            </a:graphic>
          </wp:inline>
        </w:drawing>
      </w:r>
    </w:p>
    <w:p w14:paraId="00FC9652" w14:textId="2D5D48A1" w:rsidR="00A1066F" w:rsidRPr="00A1066F" w:rsidRDefault="00A1066F" w:rsidP="00A1066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A1066F">
        <w:rPr>
          <w:rFonts w:ascii="Times New Roman" w:eastAsia="Times New Roman" w:hAnsi="Times New Roman" w:cs="Times New Roman"/>
          <w:noProof/>
          <w:sz w:val="24"/>
          <w:szCs w:val="24"/>
          <w:lang w:eastAsia="sk-SK"/>
        </w:rPr>
        <w:lastRenderedPageBreak/>
        <w:drawing>
          <wp:inline distT="0" distB="0" distL="0" distR="0" wp14:anchorId="4CDB8613" wp14:editId="22FBB50C">
            <wp:extent cx="6638925" cy="247650"/>
            <wp:effectExtent l="0" t="0" r="9525" b="0"/>
            <wp:docPr id="1082288333"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38925" cy="247650"/>
                    </a:xfrm>
                    <a:prstGeom prst="rect">
                      <a:avLst/>
                    </a:prstGeom>
                    <a:noFill/>
                    <a:ln>
                      <a:noFill/>
                    </a:ln>
                  </pic:spPr>
                </pic:pic>
              </a:graphicData>
            </a:graphic>
          </wp:inline>
        </w:drawing>
      </w:r>
      <w:r w:rsidRPr="00A1066F">
        <w:rPr>
          <w:rFonts w:ascii="Times New Roman" w:eastAsia="Times New Roman" w:hAnsi="Times New Roman" w:cs="Times New Roman"/>
          <w:sz w:val="24"/>
          <w:szCs w:val="24"/>
          <w:lang w:eastAsia="sk-SK"/>
        </w:rPr>
        <w:t xml:space="preserve"> </w:t>
      </w:r>
      <w:r w:rsidRPr="00A1066F">
        <w:rPr>
          <w:rFonts w:ascii="Times New Roman" w:eastAsia="Times New Roman" w:hAnsi="Times New Roman" w:cs="Times New Roman"/>
          <w:noProof/>
          <w:sz w:val="24"/>
          <w:szCs w:val="24"/>
          <w:lang w:eastAsia="sk-SK"/>
        </w:rPr>
        <w:drawing>
          <wp:inline distT="0" distB="0" distL="0" distR="0" wp14:anchorId="1CB3743A" wp14:editId="7CF370DF">
            <wp:extent cx="6600825" cy="9058012"/>
            <wp:effectExtent l="0" t="0" r="0" b="0"/>
            <wp:docPr id="787640003"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04638" cy="9063244"/>
                    </a:xfrm>
                    <a:prstGeom prst="rect">
                      <a:avLst/>
                    </a:prstGeom>
                    <a:noFill/>
                    <a:ln>
                      <a:noFill/>
                    </a:ln>
                  </pic:spPr>
                </pic:pic>
              </a:graphicData>
            </a:graphic>
          </wp:inline>
        </w:drawing>
      </w:r>
    </w:p>
    <w:p w14:paraId="751F7D0F" w14:textId="157AB1AA" w:rsidR="00A1066F" w:rsidRPr="00A1066F" w:rsidRDefault="00A1066F" w:rsidP="00A1066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A1066F">
        <w:rPr>
          <w:rFonts w:ascii="Times New Roman" w:eastAsia="Times New Roman" w:hAnsi="Times New Roman" w:cs="Times New Roman"/>
          <w:noProof/>
          <w:sz w:val="24"/>
          <w:szCs w:val="24"/>
          <w:lang w:eastAsia="sk-SK"/>
        </w:rPr>
        <w:lastRenderedPageBreak/>
        <w:drawing>
          <wp:inline distT="0" distB="0" distL="0" distR="0" wp14:anchorId="2B7E8912" wp14:editId="32A59610">
            <wp:extent cx="6638925" cy="247650"/>
            <wp:effectExtent l="0" t="0" r="9525" b="0"/>
            <wp:docPr id="41753900"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38925" cy="247650"/>
                    </a:xfrm>
                    <a:prstGeom prst="rect">
                      <a:avLst/>
                    </a:prstGeom>
                    <a:noFill/>
                    <a:ln>
                      <a:noFill/>
                    </a:ln>
                  </pic:spPr>
                </pic:pic>
              </a:graphicData>
            </a:graphic>
          </wp:inline>
        </w:drawing>
      </w:r>
      <w:r w:rsidRPr="00A1066F">
        <w:rPr>
          <w:rFonts w:ascii="Times New Roman" w:eastAsia="Times New Roman" w:hAnsi="Times New Roman" w:cs="Times New Roman"/>
          <w:sz w:val="24"/>
          <w:szCs w:val="24"/>
          <w:lang w:eastAsia="sk-SK"/>
        </w:rPr>
        <w:t xml:space="preserve"> </w:t>
      </w:r>
      <w:r w:rsidRPr="00A1066F">
        <w:rPr>
          <w:rFonts w:ascii="Times New Roman" w:eastAsia="Times New Roman" w:hAnsi="Times New Roman" w:cs="Times New Roman"/>
          <w:noProof/>
          <w:sz w:val="24"/>
          <w:szCs w:val="24"/>
          <w:lang w:eastAsia="sk-SK"/>
        </w:rPr>
        <w:drawing>
          <wp:inline distT="0" distB="0" distL="0" distR="0" wp14:anchorId="305D53A1" wp14:editId="17C1E6FA">
            <wp:extent cx="6638925" cy="1952625"/>
            <wp:effectExtent l="0" t="0" r="9525" b="9525"/>
            <wp:docPr id="1927743678"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38925" cy="1952625"/>
                    </a:xfrm>
                    <a:prstGeom prst="rect">
                      <a:avLst/>
                    </a:prstGeom>
                    <a:noFill/>
                    <a:ln>
                      <a:noFill/>
                    </a:ln>
                  </pic:spPr>
                </pic:pic>
              </a:graphicData>
            </a:graphic>
          </wp:inline>
        </w:drawing>
      </w:r>
    </w:p>
    <w:p w14:paraId="540DAE45"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Tabuľka č. 5 – prehľad o finančných prostriedkoch na fungovanie školských zariadení</w:t>
      </w:r>
    </w:p>
    <w:p w14:paraId="2BE3822E" w14:textId="232CA359" w:rsidR="00A1066F" w:rsidRPr="00A1066F" w:rsidRDefault="00A1066F" w:rsidP="00A1066F">
      <w:pPr>
        <w:spacing w:before="100" w:beforeAutospacing="1" w:after="100" w:afterAutospacing="1" w:line="240" w:lineRule="auto"/>
        <w:jc w:val="both"/>
        <w:rPr>
          <w:rFonts w:ascii="Times New Roman" w:eastAsia="Times New Roman" w:hAnsi="Times New Roman" w:cs="Times New Roman"/>
          <w:sz w:val="24"/>
          <w:szCs w:val="24"/>
          <w:lang w:eastAsia="sk-SK"/>
        </w:rPr>
      </w:pPr>
      <w:r w:rsidRPr="00A1066F">
        <w:rPr>
          <w:rFonts w:ascii="Times New Roman" w:eastAsia="Times New Roman" w:hAnsi="Times New Roman" w:cs="Times New Roman"/>
          <w:noProof/>
          <w:sz w:val="24"/>
          <w:szCs w:val="24"/>
          <w:lang w:eastAsia="sk-SK"/>
        </w:rPr>
        <w:drawing>
          <wp:inline distT="0" distB="0" distL="0" distR="0" wp14:anchorId="075E0409" wp14:editId="5ABABF6F">
            <wp:extent cx="6496050" cy="6625590"/>
            <wp:effectExtent l="0" t="0" r="0" b="3810"/>
            <wp:docPr id="361472186"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01729" cy="6631382"/>
                    </a:xfrm>
                    <a:prstGeom prst="rect">
                      <a:avLst/>
                    </a:prstGeom>
                    <a:noFill/>
                    <a:ln>
                      <a:noFill/>
                    </a:ln>
                  </pic:spPr>
                </pic:pic>
              </a:graphicData>
            </a:graphic>
          </wp:inline>
        </w:drawing>
      </w:r>
    </w:p>
    <w:p w14:paraId="5205F4E1" w14:textId="7D6D53EF"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Times New Roman" w:eastAsia="Times New Roman" w:hAnsi="Times New Roman" w:cs="Times New Roman"/>
          <w:noProof/>
          <w:sz w:val="24"/>
          <w:szCs w:val="24"/>
          <w:lang w:eastAsia="sk-SK"/>
        </w:rPr>
        <w:lastRenderedPageBreak/>
        <w:drawing>
          <wp:inline distT="0" distB="0" distL="0" distR="0" wp14:anchorId="3CCD77C1" wp14:editId="7E0E15F5">
            <wp:extent cx="6638925" cy="247650"/>
            <wp:effectExtent l="0" t="0" r="9525" b="0"/>
            <wp:docPr id="109242445"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38925" cy="247650"/>
                    </a:xfrm>
                    <a:prstGeom prst="rect">
                      <a:avLst/>
                    </a:prstGeom>
                    <a:noFill/>
                    <a:ln>
                      <a:noFill/>
                    </a:ln>
                  </pic:spPr>
                </pic:pic>
              </a:graphicData>
            </a:graphic>
          </wp:inline>
        </w:drawing>
      </w:r>
      <w:r w:rsidRPr="00A1066F">
        <w:rPr>
          <w:rFonts w:ascii="Times New Roman" w:eastAsia="Times New Roman" w:hAnsi="Times New Roman" w:cs="Times New Roman"/>
          <w:sz w:val="24"/>
          <w:szCs w:val="24"/>
          <w:lang w:eastAsia="sk-SK"/>
        </w:rPr>
        <w:t xml:space="preserve"> </w:t>
      </w:r>
      <w:r w:rsidRPr="00A1066F">
        <w:rPr>
          <w:rFonts w:ascii="Times New Roman" w:eastAsia="Times New Roman" w:hAnsi="Times New Roman" w:cs="Times New Roman"/>
          <w:noProof/>
          <w:sz w:val="24"/>
          <w:szCs w:val="24"/>
          <w:lang w:eastAsia="sk-SK"/>
        </w:rPr>
        <w:drawing>
          <wp:inline distT="0" distB="0" distL="0" distR="0" wp14:anchorId="31780094" wp14:editId="5B316965">
            <wp:extent cx="6638925" cy="1504950"/>
            <wp:effectExtent l="0" t="0" r="9525" b="0"/>
            <wp:docPr id="1684523991"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38925" cy="1504950"/>
                    </a:xfrm>
                    <a:prstGeom prst="rect">
                      <a:avLst/>
                    </a:prstGeom>
                    <a:noFill/>
                    <a:ln>
                      <a:noFill/>
                    </a:ln>
                  </pic:spPr>
                </pic:pic>
              </a:graphicData>
            </a:graphic>
          </wp:inline>
        </w:drawing>
      </w:r>
    </w:p>
    <w:p w14:paraId="4990313B" w14:textId="77777777" w:rsidR="00A1066F" w:rsidRPr="00A1066F" w:rsidRDefault="00A1066F" w:rsidP="00A1066F">
      <w:pPr>
        <w:spacing w:before="100" w:beforeAutospacing="1" w:after="100" w:afterAutospacing="1" w:line="240" w:lineRule="auto"/>
        <w:outlineLvl w:val="2"/>
        <w:rPr>
          <w:rFonts w:ascii="Calibri" w:eastAsia="Times New Roman" w:hAnsi="Calibri" w:cs="Calibri"/>
          <w:b/>
          <w:bCs/>
          <w:sz w:val="27"/>
          <w:szCs w:val="27"/>
          <w:lang w:eastAsia="sk-SK"/>
        </w:rPr>
      </w:pPr>
      <w:r w:rsidRPr="00A1066F">
        <w:rPr>
          <w:rFonts w:ascii="Calibri" w:eastAsia="Times New Roman" w:hAnsi="Calibri" w:cs="Calibri"/>
          <w:b/>
          <w:bCs/>
          <w:color w:val="0000FF"/>
          <w:sz w:val="27"/>
          <w:szCs w:val="27"/>
          <w:lang w:eastAsia="sk-SK"/>
        </w:rPr>
        <w:t>Podprogram 8.1: Školský úrad</w:t>
      </w:r>
      <w:r w:rsidRPr="00A1066F">
        <w:rPr>
          <w:rFonts w:ascii="Calibri" w:eastAsia="Times New Roman" w:hAnsi="Calibri" w:cs="Calibri"/>
          <w:b/>
          <w:bCs/>
          <w:sz w:val="27"/>
          <w:szCs w:val="27"/>
          <w:lang w:eastAsia="sk-SK"/>
        </w:rPr>
        <w:t xml:space="preserve"> </w:t>
      </w:r>
    </w:p>
    <w:p w14:paraId="3BBD87F0" w14:textId="77777777" w:rsidR="00A1066F" w:rsidRPr="00A1066F" w:rsidRDefault="00A1066F" w:rsidP="00A1066F">
      <w:pPr>
        <w:spacing w:before="100" w:beforeAutospacing="1" w:after="100" w:afterAutospacing="1"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Zámer: </w:t>
      </w:r>
      <w:r w:rsidRPr="00A1066F">
        <w:rPr>
          <w:rFonts w:ascii="Calibri" w:eastAsia="Times New Roman" w:hAnsi="Calibri" w:cs="Calibri"/>
          <w:sz w:val="24"/>
          <w:szCs w:val="24"/>
          <w:lang w:eastAsia="sk-SK"/>
        </w:rPr>
        <w:t>Koncepčný a metodicky riadený výchovno-vzdelávací systém v sieti škôl a školských zariadení</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9"/>
        <w:gridCol w:w="2215"/>
        <w:gridCol w:w="1416"/>
        <w:gridCol w:w="1416"/>
        <w:gridCol w:w="649"/>
        <w:gridCol w:w="1416"/>
        <w:gridCol w:w="649"/>
        <w:gridCol w:w="1416"/>
        <w:gridCol w:w="664"/>
      </w:tblGrid>
      <w:tr w:rsidR="00A1066F" w:rsidRPr="00A1066F" w14:paraId="498BBBBB"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114E46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43F8F23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0ADCD4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6A8D62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62DCE8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658B17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39DD4D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8FAFA1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F5866C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D6B726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1197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0840740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709C3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25D65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9C210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73 977,00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AB81C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77 206,00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9D80C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104,36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6277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82 809,00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8704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107,26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C2ED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88 844,00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23B76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107,29</w:t>
            </w:r>
            <w:r w:rsidRPr="00A1066F">
              <w:rPr>
                <w:rFonts w:ascii="Calibri" w:eastAsia="Times New Roman" w:hAnsi="Calibri" w:cs="Calibri"/>
                <w:sz w:val="24"/>
                <w:szCs w:val="24"/>
                <w:lang w:eastAsia="sk-SK"/>
              </w:rPr>
              <w:t xml:space="preserve"> </w:t>
            </w:r>
          </w:p>
        </w:tc>
      </w:tr>
      <w:tr w:rsidR="00A1066F" w:rsidRPr="00A1066F" w14:paraId="3B1F688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B07A4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4EC23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7C9C9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73 977,00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8FBE3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77 206,00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8240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104,36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F5BD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82 809,00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62527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107,26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03A3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88 844,00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A4961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107,29</w:t>
            </w:r>
            <w:r w:rsidRPr="00A1066F">
              <w:rPr>
                <w:rFonts w:ascii="Calibri" w:eastAsia="Times New Roman" w:hAnsi="Calibri" w:cs="Calibri"/>
                <w:sz w:val="24"/>
                <w:szCs w:val="24"/>
                <w:lang w:eastAsia="sk-SK"/>
              </w:rPr>
              <w:t xml:space="preserve"> </w:t>
            </w:r>
          </w:p>
        </w:tc>
      </w:tr>
      <w:tr w:rsidR="00A1066F" w:rsidRPr="00A1066F" w14:paraId="30B3555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F9809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C63B1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3D63B0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41 362,00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CA3223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43 213,00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9641A9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104,48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5D6D7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46 670,00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B3E7C0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728D8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50 403,00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50D77A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108,00</w:t>
            </w:r>
            <w:r w:rsidRPr="00A1066F">
              <w:rPr>
                <w:rFonts w:ascii="Calibri" w:eastAsia="Times New Roman" w:hAnsi="Calibri" w:cs="Calibri"/>
                <w:sz w:val="24"/>
                <w:szCs w:val="24"/>
                <w:lang w:eastAsia="sk-SK"/>
              </w:rPr>
              <w:t xml:space="preserve"> </w:t>
            </w:r>
          </w:p>
        </w:tc>
      </w:tr>
      <w:tr w:rsidR="00A1066F" w:rsidRPr="00A1066F" w14:paraId="7891A5A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DD11F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070F2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FDCAC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21 485,00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FDEDE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22 529,00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4179CD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104,86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E7FF6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24 331,00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73DE77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E57A0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26 278,00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A862DA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108,00</w:t>
            </w:r>
            <w:r w:rsidRPr="00A1066F">
              <w:rPr>
                <w:rFonts w:ascii="Calibri" w:eastAsia="Times New Roman" w:hAnsi="Calibri" w:cs="Calibri"/>
                <w:sz w:val="24"/>
                <w:szCs w:val="24"/>
                <w:lang w:eastAsia="sk-SK"/>
              </w:rPr>
              <w:t xml:space="preserve"> </w:t>
            </w:r>
          </w:p>
        </w:tc>
      </w:tr>
      <w:tr w:rsidR="00A1066F" w:rsidRPr="00A1066F" w14:paraId="240C7C4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8DA11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6893B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F8AAF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11 130,00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C31EB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11 464,00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E7D6B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846B6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11 808,00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F18CC6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661C3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12 163,00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954C4B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103,01</w:t>
            </w:r>
            <w:r w:rsidRPr="00A1066F">
              <w:rPr>
                <w:rFonts w:ascii="Calibri" w:eastAsia="Times New Roman" w:hAnsi="Calibri" w:cs="Calibri"/>
                <w:sz w:val="24"/>
                <w:szCs w:val="24"/>
                <w:lang w:eastAsia="sk-SK"/>
              </w:rPr>
              <w:t xml:space="preserve"> </w:t>
            </w:r>
          </w:p>
        </w:tc>
      </w:tr>
    </w:tbl>
    <w:p w14:paraId="0E095032"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73"/>
        <w:gridCol w:w="1432"/>
        <w:gridCol w:w="2010"/>
        <w:gridCol w:w="2010"/>
        <w:gridCol w:w="2025"/>
      </w:tblGrid>
      <w:tr w:rsidR="00A1066F" w:rsidRPr="00A1066F" w14:paraId="745AB518"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5646D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E7595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Odbor školstva, mládeže a športu</w:t>
            </w:r>
          </w:p>
        </w:tc>
      </w:tr>
      <w:tr w:rsidR="00A1066F" w:rsidRPr="00A1066F" w14:paraId="28761240"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E241C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02EE2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organizačné riadenie škôl a školských zariadení</w:t>
            </w:r>
          </w:p>
        </w:tc>
      </w:tr>
      <w:tr w:rsidR="00A1066F" w:rsidRPr="00A1066F" w14:paraId="075B33FD"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A6E5C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CB17C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realizovaných seminárov a školení spolu za rok</w:t>
            </w:r>
          </w:p>
        </w:tc>
      </w:tr>
      <w:tr w:rsidR="00A1066F" w:rsidRPr="00A1066F" w14:paraId="1BDA274F"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E6217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67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9EA0A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8713D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1211A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3B092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C401B48"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22BF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67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285E8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BF2C9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1DBA7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87A13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w:t>
            </w:r>
          </w:p>
        </w:tc>
      </w:tr>
      <w:tr w:rsidR="00A1066F" w:rsidRPr="00A1066F" w14:paraId="53460AD0"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639FB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F3851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pracovných porád s riaditeľmi škôl a školských zariadení spolu za rok</w:t>
            </w:r>
          </w:p>
        </w:tc>
      </w:tr>
      <w:tr w:rsidR="00A1066F" w:rsidRPr="00A1066F" w14:paraId="36CA6A62"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19BB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67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4020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1F2E8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488BC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27BEA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9073ACA"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5FF74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67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9E828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01B10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F0764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F5CEB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w:t>
            </w:r>
          </w:p>
        </w:tc>
      </w:tr>
    </w:tbl>
    <w:p w14:paraId="45670CBB"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Úlohou školského úradu je vytvárať koncepčné predpoklady pre vývoj škôl a školských zariadení v rámci kraja a realizovať úlohy vyplývajúce z preneseného výkonu štátnej správy v školstve. Nástrojmi, akými sa tento cieľ dosahuje, sú realizované semináre, školenia a pracovné porady s riaditeľmi škôl a školských zariadení, zamerané na metodické usmerňovanie škôl a školských zariadení.</w:t>
      </w:r>
    </w:p>
    <w:p w14:paraId="1D60485D" w14:textId="77777777" w:rsidR="00A1066F" w:rsidRPr="00A1066F" w:rsidRDefault="00A1066F" w:rsidP="00A1066F">
      <w:pPr>
        <w:spacing w:before="100" w:beforeAutospacing="1" w:after="100" w:afterAutospacing="1" w:line="240" w:lineRule="auto"/>
        <w:outlineLvl w:val="2"/>
        <w:rPr>
          <w:rFonts w:ascii="Calibri" w:eastAsia="Times New Roman" w:hAnsi="Calibri" w:cs="Calibri"/>
          <w:b/>
          <w:bCs/>
          <w:sz w:val="27"/>
          <w:szCs w:val="27"/>
          <w:lang w:eastAsia="sk-SK"/>
        </w:rPr>
      </w:pPr>
      <w:r w:rsidRPr="00A1066F">
        <w:rPr>
          <w:rFonts w:ascii="Calibri" w:eastAsia="Times New Roman" w:hAnsi="Calibri" w:cs="Calibri"/>
          <w:b/>
          <w:bCs/>
          <w:color w:val="0000FF"/>
          <w:sz w:val="27"/>
          <w:szCs w:val="27"/>
          <w:lang w:eastAsia="sk-SK"/>
        </w:rPr>
        <w:t>Podprogram 8.2: Všeobecné vzdelávanie</w:t>
      </w:r>
      <w:r w:rsidRPr="00A1066F">
        <w:rPr>
          <w:rFonts w:ascii="Calibri" w:eastAsia="Times New Roman" w:hAnsi="Calibri" w:cs="Calibri"/>
          <w:b/>
          <w:bCs/>
          <w:sz w:val="27"/>
          <w:szCs w:val="27"/>
          <w:lang w:eastAsia="sk-SK"/>
        </w:rPr>
        <w:t xml:space="preserve"> </w:t>
      </w:r>
    </w:p>
    <w:p w14:paraId="11C4D6E1" w14:textId="77777777" w:rsidR="00A1066F" w:rsidRPr="00A1066F" w:rsidRDefault="00A1066F" w:rsidP="00A1066F">
      <w:pPr>
        <w:spacing w:before="100" w:beforeAutospacing="1" w:after="100" w:afterAutospacing="1"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Zámer: </w:t>
      </w:r>
      <w:r w:rsidRPr="00A1066F">
        <w:rPr>
          <w:rFonts w:ascii="Calibri" w:eastAsia="Times New Roman" w:hAnsi="Calibri" w:cs="Calibri"/>
          <w:sz w:val="24"/>
          <w:szCs w:val="24"/>
          <w:lang w:eastAsia="sk-SK"/>
        </w:rPr>
        <w:t>Vysokokvalitné služby vo všeobecnom vzdelávaní</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70"/>
        <w:gridCol w:w="2116"/>
        <w:gridCol w:w="1475"/>
        <w:gridCol w:w="1475"/>
        <w:gridCol w:w="649"/>
        <w:gridCol w:w="1476"/>
        <w:gridCol w:w="649"/>
        <w:gridCol w:w="1476"/>
        <w:gridCol w:w="664"/>
      </w:tblGrid>
      <w:tr w:rsidR="00A1066F" w:rsidRPr="00A1066F" w14:paraId="4E07B888"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7426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60077CC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93F1B5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089B9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645D88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090A9B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8CC39F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D9443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31B2A1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2A264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00AF93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602AFBA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4B01A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8AA32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A200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23 339 098,00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F2BB2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26 818 114,00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039D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114,91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BBC7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27 758 525,00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E8FB1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F56BC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28 524 286,00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33D97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102,76</w:t>
            </w:r>
            <w:r w:rsidRPr="00A1066F">
              <w:rPr>
                <w:rFonts w:ascii="Calibri" w:eastAsia="Times New Roman" w:hAnsi="Calibri" w:cs="Calibri"/>
                <w:sz w:val="24"/>
                <w:szCs w:val="24"/>
                <w:lang w:eastAsia="sk-SK"/>
              </w:rPr>
              <w:t xml:space="preserve"> </w:t>
            </w:r>
          </w:p>
        </w:tc>
      </w:tr>
      <w:tr w:rsidR="00A1066F" w:rsidRPr="00A1066F" w14:paraId="5F97672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0529C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21C0E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F1CAD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23 339 098,00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FE5B3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26 818 114,00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FD212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114,91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EE5B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27 758 525,00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3BB3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D4FD5D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28 524 286,00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CC02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102,76</w:t>
            </w:r>
            <w:r w:rsidRPr="00A1066F">
              <w:rPr>
                <w:rFonts w:ascii="Calibri" w:eastAsia="Times New Roman" w:hAnsi="Calibri" w:cs="Calibri"/>
                <w:sz w:val="24"/>
                <w:szCs w:val="24"/>
                <w:lang w:eastAsia="sk-SK"/>
              </w:rPr>
              <w:t xml:space="preserve"> </w:t>
            </w:r>
          </w:p>
        </w:tc>
      </w:tr>
      <w:tr w:rsidR="00A1066F" w:rsidRPr="00A1066F" w14:paraId="376B091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E5D0ED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0F5FD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FDCA01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14 221 794,00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F726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16 042 203,00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D85CA9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112,80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B9E28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16 673 881,00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634A05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103,94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F761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17 276 738,00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0C7674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103,62</w:t>
            </w:r>
            <w:r w:rsidRPr="00A1066F">
              <w:rPr>
                <w:rFonts w:ascii="Calibri" w:eastAsia="Times New Roman" w:hAnsi="Calibri" w:cs="Calibri"/>
                <w:sz w:val="24"/>
                <w:szCs w:val="24"/>
                <w:lang w:eastAsia="sk-SK"/>
              </w:rPr>
              <w:t xml:space="preserve"> </w:t>
            </w:r>
          </w:p>
        </w:tc>
      </w:tr>
      <w:tr w:rsidR="00A1066F" w:rsidRPr="00A1066F" w14:paraId="3DA32B7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4817B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C36E7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71F6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4 954 466,00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0548E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5 896 971,00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24CA3D6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119,02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A170F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6 064 553,00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35771BC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102,84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7090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6 080 409,00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3A572E9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100,26</w:t>
            </w:r>
            <w:r w:rsidRPr="00A1066F">
              <w:rPr>
                <w:rFonts w:ascii="Calibri" w:eastAsia="Times New Roman" w:hAnsi="Calibri" w:cs="Calibri"/>
                <w:sz w:val="24"/>
                <w:szCs w:val="24"/>
                <w:lang w:eastAsia="sk-SK"/>
              </w:rPr>
              <w:t xml:space="preserve"> </w:t>
            </w:r>
          </w:p>
        </w:tc>
      </w:tr>
      <w:tr w:rsidR="00A1066F" w:rsidRPr="00A1066F" w14:paraId="7B70E36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C6B76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lastRenderedPageBreak/>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763E4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4050E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4 125 719,00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6BCA3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4 767 990,00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438765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115,57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520DED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4 915 531,00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910D16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103,09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3DBE8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5 059 819,00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CC2E25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102,94</w:t>
            </w:r>
            <w:r w:rsidRPr="00A1066F">
              <w:rPr>
                <w:rFonts w:ascii="Calibri" w:eastAsia="Times New Roman" w:hAnsi="Calibri" w:cs="Calibri"/>
                <w:sz w:val="24"/>
                <w:szCs w:val="24"/>
                <w:lang w:eastAsia="sk-SK"/>
              </w:rPr>
              <w:t xml:space="preserve"> </w:t>
            </w:r>
          </w:p>
        </w:tc>
      </w:tr>
      <w:tr w:rsidR="00A1066F" w:rsidRPr="00A1066F" w14:paraId="7D68951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D136D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32C91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C58C35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37 119,00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4B51A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110 950,00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888341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298,90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C43D1B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104 560,00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0D2290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94,24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7C1A6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107 320,00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590DB1B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102,64</w:t>
            </w:r>
            <w:r w:rsidRPr="00A1066F">
              <w:rPr>
                <w:rFonts w:ascii="Calibri" w:eastAsia="Times New Roman" w:hAnsi="Calibri" w:cs="Calibri"/>
                <w:sz w:val="24"/>
                <w:szCs w:val="24"/>
                <w:lang w:eastAsia="sk-SK"/>
              </w:rPr>
              <w:t xml:space="preserve"> </w:t>
            </w:r>
          </w:p>
        </w:tc>
      </w:tr>
    </w:tbl>
    <w:p w14:paraId="302BC595"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73"/>
        <w:gridCol w:w="2038"/>
        <w:gridCol w:w="1808"/>
        <w:gridCol w:w="1808"/>
        <w:gridCol w:w="1823"/>
      </w:tblGrid>
      <w:tr w:rsidR="00A1066F" w:rsidRPr="00A1066F" w14:paraId="5F446BC5"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47AA4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5CA57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Odbor školstva, mládeže a športu</w:t>
            </w:r>
          </w:p>
        </w:tc>
      </w:tr>
      <w:tr w:rsidR="00A1066F" w:rsidRPr="00A1066F" w14:paraId="1855BE6C"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E73E7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54CD5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Zabezpečiť všeobecný výchovno-vzdelávací proces </w:t>
            </w:r>
          </w:p>
        </w:tc>
      </w:tr>
      <w:tr w:rsidR="00A1066F" w:rsidRPr="00A1066F" w14:paraId="265B5E32"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7703D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DAF0F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xml:space="preserve">Počet škôl so všeobecným vzdelávaním spolu </w:t>
            </w:r>
          </w:p>
        </w:tc>
      </w:tr>
      <w:tr w:rsidR="00A1066F" w:rsidRPr="00A1066F" w14:paraId="6635E49B"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3960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3CF0B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EC138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B5AA2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4CCB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3F5F205"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8FE9C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0908A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9CFA4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3B58E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CD81B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18</w:t>
            </w:r>
          </w:p>
        </w:tc>
      </w:tr>
      <w:tr w:rsidR="00A1066F" w:rsidRPr="00A1066F" w14:paraId="2003D6DC"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52678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5BA63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xml:space="preserve">Počet žiakov so všeobecným vzdelávaním spolu </w:t>
            </w:r>
          </w:p>
        </w:tc>
      </w:tr>
      <w:tr w:rsidR="00A1066F" w:rsidRPr="00A1066F" w14:paraId="466D7333"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5671B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55515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1F85D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5DC11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C5C6E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FA813D1"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E9441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E61B0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7 755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A7619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7 895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5892D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7 895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06DF1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7 895</w:t>
            </w:r>
          </w:p>
        </w:tc>
      </w:tr>
    </w:tbl>
    <w:p w14:paraId="6E0D432B"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V rámci tohto podprogramu Bratislavský samosprávny kraj financuje päť základných škôl: školu pre mimoriadne nadané deti, využívajúcu nové alternatívne formy výučby, základnú školu s vyučovacím jazykom maďarským, základnú školu na Pankúchovej 6, ktorá realizuje aj medzinárodný vzdelávací program, základnú školu na </w:t>
      </w:r>
      <w:proofErr w:type="spellStart"/>
      <w:r w:rsidRPr="00A1066F">
        <w:rPr>
          <w:rFonts w:ascii="Calibri" w:eastAsia="Times New Roman" w:hAnsi="Calibri" w:cs="Calibri"/>
          <w:sz w:val="24"/>
          <w:szCs w:val="24"/>
          <w:lang w:eastAsia="sk-SK"/>
        </w:rPr>
        <w:t>Ostredkovej</w:t>
      </w:r>
      <w:proofErr w:type="spellEnd"/>
      <w:r w:rsidRPr="00A1066F">
        <w:rPr>
          <w:rFonts w:ascii="Calibri" w:eastAsia="Times New Roman" w:hAnsi="Calibri" w:cs="Calibri"/>
          <w:sz w:val="24"/>
          <w:szCs w:val="24"/>
          <w:lang w:eastAsia="sk-SK"/>
        </w:rPr>
        <w:t xml:space="preserve"> 10 s rozšírenou športovou prípravou a základnú školu na Bratislavskej 44 v </w:t>
      </w:r>
      <w:proofErr w:type="spellStart"/>
      <w:r w:rsidRPr="00A1066F">
        <w:rPr>
          <w:rFonts w:ascii="Calibri" w:eastAsia="Times New Roman" w:hAnsi="Calibri" w:cs="Calibri"/>
          <w:sz w:val="24"/>
          <w:szCs w:val="24"/>
          <w:lang w:eastAsia="sk-SK"/>
        </w:rPr>
        <w:t>Malinove</w:t>
      </w:r>
      <w:proofErr w:type="spellEnd"/>
      <w:r w:rsidRPr="00A1066F">
        <w:rPr>
          <w:rFonts w:ascii="Calibri" w:eastAsia="Times New Roman" w:hAnsi="Calibri" w:cs="Calibri"/>
          <w:sz w:val="24"/>
          <w:szCs w:val="24"/>
          <w:lang w:eastAsia="sk-SK"/>
        </w:rPr>
        <w:t xml:space="preserve">. Všeobecné vzdelávanie zabezpečujú gymnáziá, ktoré poskytujú v širokom a hlbokom zábere vzdelanostných oblastí znalosti a zvyšovanie ich kvality. Avšak kľúčovou úlohou gymnázia je predovšetkým pripraviť študentov na ďalšie vzdelávanie na vysokej škole. Tento podprogram obsahuje 13 gymnázií. Financovanie v podprograme Všeobecné vzdelávanie sa riadi platnou legislatívou v oblasti školstva. Jedným z merateľných ukazovateľov pri všetkých prvkoch tohto podprogramu je počet žiakov, ktorý sa upravuje podľa skutočnosti uvedenej v štatistickom výkaze o strednej škole - </w:t>
      </w:r>
      <w:proofErr w:type="spellStart"/>
      <w:r w:rsidRPr="00A1066F">
        <w:rPr>
          <w:rFonts w:ascii="Calibri" w:eastAsia="Times New Roman" w:hAnsi="Calibri" w:cs="Calibri"/>
          <w:sz w:val="24"/>
          <w:szCs w:val="24"/>
          <w:lang w:eastAsia="sk-SK"/>
        </w:rPr>
        <w:t>Škol</w:t>
      </w:r>
      <w:proofErr w:type="spellEnd"/>
      <w:r w:rsidRPr="00A1066F">
        <w:rPr>
          <w:rFonts w:ascii="Calibri" w:eastAsia="Times New Roman" w:hAnsi="Calibri" w:cs="Calibri"/>
          <w:sz w:val="24"/>
          <w:szCs w:val="24"/>
          <w:lang w:eastAsia="sk-SK"/>
        </w:rPr>
        <w:t xml:space="preserve"> 2-01 - Výkaz o strednej škole k 15. septembru nového školského roka.</w:t>
      </w:r>
    </w:p>
    <w:p w14:paraId="0DD6B2F3"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8.2.1: Základná škola s vyuč. jazykom maďarským, Dunajská 13,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21"/>
        <w:gridCol w:w="2116"/>
        <w:gridCol w:w="1315"/>
        <w:gridCol w:w="1512"/>
        <w:gridCol w:w="649"/>
        <w:gridCol w:w="1512"/>
        <w:gridCol w:w="649"/>
        <w:gridCol w:w="1512"/>
        <w:gridCol w:w="664"/>
      </w:tblGrid>
      <w:tr w:rsidR="00A1066F" w:rsidRPr="00A1066F" w14:paraId="71DB1956"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9BBE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60DAA20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67EE6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31DC0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D2E70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F7279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3B63FC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BA1F3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C4C845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7D74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DE40D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D7B868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8704B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CCCB5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A1301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835 360,00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BF46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FE0D3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123,04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4E626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21FED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39FD0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ADED7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4DC6A1B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6E3FD5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7BFEA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E612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835 360,00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61C38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96B6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123,04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E56AD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41192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6F56B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5EB15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AE62B2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37938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7242B1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94F06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594 000,00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D7BF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64E1B1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102,69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1562C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2203F24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C71648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52A82B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C40FDF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1274A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12CDE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72655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166 160,00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9A6CA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224 300,00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EC36D3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134,99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41BAA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224 300,00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36A1C92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AF5B2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224 300,00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D499E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99E798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5BAAC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B330B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5FCA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75 200,00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D7F13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193 550,00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C4E0C0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257,38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2F0BE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193 550,00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CE7933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06EB0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193 550,00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53748EF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0FA8B597"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35"/>
        <w:gridCol w:w="1984"/>
        <w:gridCol w:w="1872"/>
        <w:gridCol w:w="1872"/>
        <w:gridCol w:w="1887"/>
      </w:tblGrid>
      <w:tr w:rsidR="00A1066F" w:rsidRPr="00A1066F" w14:paraId="731C88E6"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4B264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611"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07D25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639BF14B"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BCDC1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611"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540D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základnej škole</w:t>
            </w:r>
          </w:p>
        </w:tc>
      </w:tr>
      <w:tr w:rsidR="00A1066F" w:rsidRPr="00A1066F" w14:paraId="2EA147DC"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84A46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611"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A3312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1ABE57DB"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4EA09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4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734FE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CDB1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1E7DB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C8F07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0A069FD"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3D36B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4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69C3C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261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87ADD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256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23D13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256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1DFDD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256</w:t>
            </w:r>
          </w:p>
        </w:tc>
      </w:tr>
      <w:tr w:rsidR="00A1066F" w:rsidRPr="00A1066F" w14:paraId="2A987ED4"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0EE7E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611"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E440D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7F8F4565"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46551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4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3C526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318EC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3F814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50170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AFB9AC0"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66313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4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7A2E9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261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5A587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254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0149A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254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73D69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254</w:t>
            </w:r>
          </w:p>
        </w:tc>
      </w:tr>
    </w:tbl>
    <w:p w14:paraId="716C66F4"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Plno organizovaná základná škola, ktorá poskytuje vzdelanie v 1.-9. ročníku v maďarskom jazyku. </w:t>
      </w:r>
    </w:p>
    <w:p w14:paraId="03B6FBB9"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lastRenderedPageBreak/>
        <w:t>Prvok 8.2.2: Škola pre mimoriadne nadané deti, Teplická 7, BA - základná škola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2"/>
        <w:gridCol w:w="2215"/>
        <w:gridCol w:w="1295"/>
        <w:gridCol w:w="1492"/>
        <w:gridCol w:w="649"/>
        <w:gridCol w:w="1492"/>
        <w:gridCol w:w="649"/>
        <w:gridCol w:w="1492"/>
        <w:gridCol w:w="664"/>
      </w:tblGrid>
      <w:tr w:rsidR="00A1066F" w:rsidRPr="00A1066F" w14:paraId="41B2A4E8"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DE3A80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1BBFB6E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6D3C3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ACAF7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5D4A18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945997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E1CAFB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8DB84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0E3497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874E7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3DA60C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2013DC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D91C5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209CE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2F3F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985 875,00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B0648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1 111 700,00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0E92C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112,76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2275A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1 111 700,00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083D7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2AE81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1 111 700,00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172C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9A6EA2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AB0D9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35836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FF7BB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985 875,00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3AA9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1 111 700,00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7DB1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112,76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0CCD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1 111 700,00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3A9A2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339524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1 111 700,00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16C59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8154A1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370B74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33D69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BD2B3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583 800,00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D3093B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B9F6AB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CD876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0D173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4729F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B20E59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1CCABD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3C84BF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16327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9BF2B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204 040,00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BB93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248 000,00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80621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121,54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E2D332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248 000,00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71028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1EC8F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248 000,00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B5C5F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A550CF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E8D1C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C4E9D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4B53B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198 035,00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D85ED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221 700,00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9BA33C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111,95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61D1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221 700,00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EB2FF8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00A35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221 700,00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786681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4286DF8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DEE67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13C972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C7ED1C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41FA9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6371C2E"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40DE1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295CA5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8124B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06AF6B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4B3B4312"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98"/>
        <w:gridCol w:w="1860"/>
        <w:gridCol w:w="1859"/>
        <w:gridCol w:w="1859"/>
        <w:gridCol w:w="1874"/>
      </w:tblGrid>
      <w:tr w:rsidR="00A1066F" w:rsidRPr="00A1066F" w14:paraId="698D3CA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88E66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FACCB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r w:rsidRPr="00A1066F">
              <w:rPr>
                <w:rFonts w:ascii="Calibri" w:eastAsia="Times New Roman" w:hAnsi="Calibri" w:cs="Calibri"/>
                <w:sz w:val="24"/>
                <w:szCs w:val="24"/>
                <w:lang w:eastAsia="sk-SK"/>
              </w:rPr>
              <w:br/>
            </w:r>
          </w:p>
        </w:tc>
      </w:tr>
      <w:tr w:rsidR="00A1066F" w:rsidRPr="00A1066F" w14:paraId="7EFA260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5CFC9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539EA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základnej škole</w:t>
            </w:r>
          </w:p>
        </w:tc>
      </w:tr>
      <w:tr w:rsidR="00A1066F" w:rsidRPr="00A1066F" w14:paraId="793B643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9312E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48C85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5183AC8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804FF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87D92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A23F5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66250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A7981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39C3AC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7EE48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10EF7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296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BEC64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297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CA42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297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6144E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297</w:t>
            </w:r>
          </w:p>
        </w:tc>
      </w:tr>
      <w:tr w:rsidR="00A1066F" w:rsidRPr="00A1066F" w14:paraId="5CA51A4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88231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B5E1D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1595E0F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EE836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3377F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8DC9A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7E92E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D612A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2C7D34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E33C5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8EB7A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296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29ABD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297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B2F75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297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C82F3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297</w:t>
            </w:r>
          </w:p>
        </w:tc>
      </w:tr>
    </w:tbl>
    <w:p w14:paraId="37022317"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Škola má 1.-5. ročník základnej školy, je zameraná na výchovu a vzdelávanie žiakov so všeobecným intelektovým nadaním. Žiaci sú prijímaní na základe diagnostikovaného nadania a škola je z hľadiska normatívneho financovania zaradená medzi školy so špeciálnym vzdelávaním.</w:t>
      </w:r>
    </w:p>
    <w:p w14:paraId="6808F555"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8.2.3: Gymnázium s vyuč. jazykom maďarským, Dunajská 13,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21"/>
        <w:gridCol w:w="2116"/>
        <w:gridCol w:w="1315"/>
        <w:gridCol w:w="1512"/>
        <w:gridCol w:w="649"/>
        <w:gridCol w:w="1512"/>
        <w:gridCol w:w="649"/>
        <w:gridCol w:w="1512"/>
        <w:gridCol w:w="664"/>
      </w:tblGrid>
      <w:tr w:rsidR="00A1066F" w:rsidRPr="00A1066F" w14:paraId="57AF735C"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B89EC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5F95B0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E9661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4FD654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822489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648270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0F23D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4DEF48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58B25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DBDB94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2788E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795735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25D09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C021C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DC78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994 060,00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07C2F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1 262 000,00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CEFF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126,95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2DD12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1 262 000,00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BE4F2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EFD15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1 262 000,00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3F546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6C0D9E8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76C9E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2CF2D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6D245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994 060,00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179E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1 262 000,00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36FB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126,95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48F47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1 262 000,00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D83B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5E1AD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1 262 000,00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37ADA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90F688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87B07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89457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3A61E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538 500,00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CA06C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655 000,00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972B4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121,63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813D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655 000,00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0910DC9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EA784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655 000,00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C14E7D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F9A051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F2A67E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DFCBD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9D1F8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241 260,00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CE44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245 250,00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E1926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101,65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EE39A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245 250,00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0F2798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1F0E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245 250,00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2B7481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02E96C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2C11BA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4F355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BDB8E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214 300,00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6C14A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361 750,00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2C61C3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168,81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8D6F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361 750,00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5E86EF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0F7339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361 750,00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5682BA3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465B8FCF"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7"/>
        <w:gridCol w:w="1829"/>
        <w:gridCol w:w="1967"/>
        <w:gridCol w:w="1846"/>
        <w:gridCol w:w="1861"/>
      </w:tblGrid>
      <w:tr w:rsidR="00A1066F" w:rsidRPr="00A1066F" w14:paraId="3C6AC16B"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A8DC8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21093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059E572B"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8B022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DF968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1543CC32"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82C0F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32CF3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77DBCF7"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FD468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87560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FC873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DC0AB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930D9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109AF77"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C7186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00555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197</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D6418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210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9D5D0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06557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210</w:t>
            </w:r>
          </w:p>
        </w:tc>
      </w:tr>
      <w:tr w:rsidR="00A1066F" w:rsidRPr="00A1066F" w14:paraId="10A860EA"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9D3E0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61453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0E5CE889"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9AAB0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9F0F7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213AB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D693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EBAD1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4561CCD"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518FB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0204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197</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63C63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195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B7057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195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5A756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195</w:t>
            </w:r>
          </w:p>
        </w:tc>
      </w:tr>
    </w:tbl>
    <w:p w14:paraId="769BA309"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 xml:space="preserve">Komentár: </w:t>
      </w:r>
      <w:r w:rsidRPr="00A1066F">
        <w:rPr>
          <w:rFonts w:ascii="Calibri" w:eastAsia="Times New Roman" w:hAnsi="Calibri" w:cs="Calibri"/>
          <w:sz w:val="24"/>
          <w:szCs w:val="24"/>
          <w:lang w:eastAsia="sk-SK"/>
        </w:rPr>
        <w:t>Gymnázium poskytuje všeobecné vzdelanie v jazyku národnostnej menšiny. Forma štúdia -                4-ročná, denná.</w:t>
      </w:r>
    </w:p>
    <w:p w14:paraId="4BCA83CF"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8.2.4: Škola pre mimoriadne nadané deti, Teplická 7, BA - gymnázium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3F5A2919"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2F79A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4AA631E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E7777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DF638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6FA149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2F42B3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C2B82E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C4A87C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46BFC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38AFE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CC2077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34B952B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D66A6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BCBD5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3B7CCB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1 868 832,00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34EE0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2 075 700,00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29C7E2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111,07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8A152F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2 075 700,00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FF7FC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9EE4F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2 075 700,00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C2942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848524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A5F33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70778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A705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1 868 832,00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8289A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2 075 700,00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E888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111,07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CDD60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2 075 700,00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C99F4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3D71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2 075 700,00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3E0B6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8F02AB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98A0C5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07700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62300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1 142 150,00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DA96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1 255 500,00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1BA57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109,92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BE4B6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1 255 500,00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35EFC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0A2E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1 255 500,00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7B3D4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911498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A41B6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BC25B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00D65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409 672,00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2CC70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464 000,00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EDBA96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113,26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FE190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464 000,00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E11ED4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C8227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464 000,00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8E01EF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72942F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3F227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A790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A148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317 010,00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56CE8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323 200,00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93DF1C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101,95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7125F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323 200,00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7C9C02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DC9E8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323 200,00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7BBB55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682A49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FBE96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37150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F2E6EE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6096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B7CF09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25FE3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3962A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D7CC5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BC66E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2CF1112B"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6"/>
        <w:gridCol w:w="1994"/>
        <w:gridCol w:w="1803"/>
        <w:gridCol w:w="1846"/>
        <w:gridCol w:w="1861"/>
      </w:tblGrid>
      <w:tr w:rsidR="00A1066F" w:rsidRPr="00A1066F" w14:paraId="6BE9EBC4"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2C701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D4270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4374DCBA"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06AF3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7BE7B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29078D48"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449A7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E6D1B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D4D54F9"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C3C10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4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D1C48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6E0AE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A3E8F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2C873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0DA05DE"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C1D38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4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DD0B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462</w:t>
            </w:r>
          </w:p>
        </w:tc>
        <w:tc>
          <w:tcPr>
            <w:tcW w:w="8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FC163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ECB7D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564D2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436</w:t>
            </w:r>
          </w:p>
        </w:tc>
      </w:tr>
      <w:tr w:rsidR="00A1066F" w:rsidRPr="00A1066F" w14:paraId="75AFA3BD"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1FDA6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0BA46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6C9BC46B"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29881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4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55B82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85E6F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FA59D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54505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EB09465"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CB256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4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667C8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462</w:t>
            </w:r>
          </w:p>
        </w:tc>
        <w:tc>
          <w:tcPr>
            <w:tcW w:w="8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C3B23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98AE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7647E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423</w:t>
            </w:r>
          </w:p>
        </w:tc>
      </w:tr>
    </w:tbl>
    <w:p w14:paraId="0739EB18"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Gymnázium so zameraním na výchovu a vzdelávanie žiakov so všeobecným intelektovým nadaním. Má len 8-ročnú formu štúdia. Žiaci sú prijímaní na základe diagnostikovaného nadania a škola je zaradená medzi školy so špeciálnym vzdelávaním.</w:t>
      </w:r>
    </w:p>
    <w:p w14:paraId="53FCA9B2"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8.2.7: Gymnázium, </w:t>
      </w:r>
      <w:proofErr w:type="spellStart"/>
      <w:r w:rsidRPr="00A1066F">
        <w:rPr>
          <w:rFonts w:ascii="Calibri" w:eastAsia="Times New Roman" w:hAnsi="Calibri" w:cs="Calibri"/>
          <w:b/>
          <w:bCs/>
          <w:color w:val="0000FF"/>
          <w:sz w:val="24"/>
          <w:szCs w:val="24"/>
          <w:lang w:eastAsia="sk-SK"/>
        </w:rPr>
        <w:t>Grösslingová</w:t>
      </w:r>
      <w:proofErr w:type="spellEnd"/>
      <w:r w:rsidRPr="00A1066F">
        <w:rPr>
          <w:rFonts w:ascii="Calibri" w:eastAsia="Times New Roman" w:hAnsi="Calibri" w:cs="Calibri"/>
          <w:b/>
          <w:bCs/>
          <w:color w:val="0000FF"/>
          <w:sz w:val="24"/>
          <w:szCs w:val="24"/>
          <w:lang w:eastAsia="sk-SK"/>
        </w:rPr>
        <w:t xml:space="preserve"> 18,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68689B51"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F06F16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619B885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01B5F8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52C5D2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1FDF0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F35D0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445240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84AAE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9DA2A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975E4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BC372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27DB1CA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6CA308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B5348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AC74A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2 293 226,00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034C0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2 611 489,00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88BF4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113,88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1FB22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2 734 124,00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018EE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104,70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D50C5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2 869 029,00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4825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104,93</w:t>
            </w:r>
            <w:r w:rsidRPr="00A1066F">
              <w:rPr>
                <w:rFonts w:ascii="Calibri" w:eastAsia="Times New Roman" w:hAnsi="Calibri" w:cs="Calibri"/>
                <w:sz w:val="24"/>
                <w:szCs w:val="24"/>
                <w:lang w:eastAsia="sk-SK"/>
              </w:rPr>
              <w:t xml:space="preserve"> </w:t>
            </w:r>
          </w:p>
        </w:tc>
      </w:tr>
      <w:tr w:rsidR="00A1066F" w:rsidRPr="00A1066F" w14:paraId="2D76B4C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E7A16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2747E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FF3DB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2 293 226,00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EE8D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2 611 489,00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A5750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113,88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87507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2 734 124,00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2653D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104,70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6B804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2 869 029,00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24F27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104,93</w:t>
            </w:r>
            <w:r w:rsidRPr="00A1066F">
              <w:rPr>
                <w:rFonts w:ascii="Calibri" w:eastAsia="Times New Roman" w:hAnsi="Calibri" w:cs="Calibri"/>
                <w:sz w:val="24"/>
                <w:szCs w:val="24"/>
                <w:lang w:eastAsia="sk-SK"/>
              </w:rPr>
              <w:t xml:space="preserve"> </w:t>
            </w:r>
          </w:p>
        </w:tc>
      </w:tr>
      <w:tr w:rsidR="00A1066F" w:rsidRPr="00A1066F" w14:paraId="7E7ACD7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02A95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28118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3633F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1 419 860,00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74CA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1 513 803,00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C99960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106,62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1E542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1 636 438,00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58F376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4E59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1 771 343,00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2DD4A5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108,24</w:t>
            </w:r>
            <w:r w:rsidRPr="00A1066F">
              <w:rPr>
                <w:rFonts w:ascii="Calibri" w:eastAsia="Times New Roman" w:hAnsi="Calibri" w:cs="Calibri"/>
                <w:sz w:val="24"/>
                <w:szCs w:val="24"/>
                <w:lang w:eastAsia="sk-SK"/>
              </w:rPr>
              <w:t xml:space="preserve"> </w:t>
            </w:r>
          </w:p>
        </w:tc>
      </w:tr>
      <w:tr w:rsidR="00A1066F" w:rsidRPr="00A1066F" w14:paraId="43B072E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2A305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8D7B2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FBA898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476 102,00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3B756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585 223,00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E14F85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122,92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890E3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585 223,00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5F2DBD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E8F07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585 223,00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35D0C6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108C60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33D77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DDACC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39F8C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386 330,00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09C3C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499 663,00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9A7BEA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129,34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4A943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499 663,00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F23EF1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99518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499 663,00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4D8823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C8D972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A20E6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0E613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EB5AF2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10 934,00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0CB84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206E24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117,07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2366C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22AC7D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E4184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2853D4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2EEC8764"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7"/>
        <w:gridCol w:w="1829"/>
        <w:gridCol w:w="1967"/>
        <w:gridCol w:w="1846"/>
        <w:gridCol w:w="1861"/>
      </w:tblGrid>
      <w:tr w:rsidR="00A1066F" w:rsidRPr="00A1066F" w14:paraId="68400D6E"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12C11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86B7A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3E7421EF"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5022A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4E5DE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4FD5C733"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46933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8A39B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1341016D"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47CA9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32EAB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64ABE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249DC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C4DC3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1C902CF"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E0651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935A4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717</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FA583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707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16FF5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4E596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707</w:t>
            </w:r>
          </w:p>
        </w:tc>
      </w:tr>
      <w:tr w:rsidR="00A1066F" w:rsidRPr="00A1066F" w14:paraId="7D2E5300"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7DAE1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8CA1F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6F87D879"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3311C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3DACA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144BE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B14F6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3F5AB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5A4BDFB"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888A6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3343C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717</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BCDEE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703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BFE5B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703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DC4DE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703</w:t>
            </w:r>
          </w:p>
        </w:tc>
      </w:tr>
    </w:tbl>
    <w:p w14:paraId="6C1908B8"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Poskytuje všeobecné vzdelanie v 4-ročnej, 5-ročnej (bilingválne štúdium v anglickom jazyku)           a 8-ročnej forme štúdia so zameraním na matematiku. </w:t>
      </w:r>
    </w:p>
    <w:p w14:paraId="17706013"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8.2.8: Gymnázium A. Einsteina, Einsteinova 35,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7"/>
        <w:gridCol w:w="1448"/>
        <w:gridCol w:w="649"/>
        <w:gridCol w:w="1448"/>
        <w:gridCol w:w="664"/>
      </w:tblGrid>
      <w:tr w:rsidR="00A1066F" w:rsidRPr="00A1066F" w14:paraId="3EEEFC87"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227BA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0EBB6D1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15AA3B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D480AD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FD570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A3CD7B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B2C8D3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32CCA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2E2E42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558C90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A24BEE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19BD00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75503C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7E4C1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392E8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1 394 952,00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BA98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1 354 823,00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71C9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97,12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3B7E2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1 488 633,00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62492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109,88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9D012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1 614 483,00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41566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108,45</w:t>
            </w:r>
            <w:r w:rsidRPr="00A1066F">
              <w:rPr>
                <w:rFonts w:ascii="Calibri" w:eastAsia="Times New Roman" w:hAnsi="Calibri" w:cs="Calibri"/>
                <w:sz w:val="24"/>
                <w:szCs w:val="24"/>
                <w:lang w:eastAsia="sk-SK"/>
              </w:rPr>
              <w:t xml:space="preserve"> </w:t>
            </w:r>
          </w:p>
        </w:tc>
      </w:tr>
      <w:tr w:rsidR="00A1066F" w:rsidRPr="00A1066F" w14:paraId="74F7BAC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899D0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58E2D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0323C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1 394 952,00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806E2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1 354 823,00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0FDD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97,12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C3EF6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1 488 633,00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C3261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109,88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9A2A7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1 614 483,00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5CB7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108,45</w:t>
            </w:r>
            <w:r w:rsidRPr="00A1066F">
              <w:rPr>
                <w:rFonts w:ascii="Calibri" w:eastAsia="Times New Roman" w:hAnsi="Calibri" w:cs="Calibri"/>
                <w:sz w:val="24"/>
                <w:szCs w:val="24"/>
                <w:lang w:eastAsia="sk-SK"/>
              </w:rPr>
              <w:t xml:space="preserve"> </w:t>
            </w:r>
          </w:p>
        </w:tc>
      </w:tr>
      <w:tr w:rsidR="00A1066F" w:rsidRPr="00A1066F" w14:paraId="2E5AEA4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C46C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8859B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E5C92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833 872,00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62753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712 000,00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F37CB0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85,38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A746B6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818 000,00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F4896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114,89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C0795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926 000,00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8FAF3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113,20</w:t>
            </w:r>
            <w:r w:rsidRPr="00A1066F">
              <w:rPr>
                <w:rFonts w:ascii="Calibri" w:eastAsia="Times New Roman" w:hAnsi="Calibri" w:cs="Calibri"/>
                <w:sz w:val="24"/>
                <w:szCs w:val="24"/>
                <w:lang w:eastAsia="sk-SK"/>
              </w:rPr>
              <w:t xml:space="preserve"> </w:t>
            </w:r>
          </w:p>
        </w:tc>
      </w:tr>
      <w:tr w:rsidR="00A1066F" w:rsidRPr="00A1066F" w14:paraId="4077256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0DB968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2A1A2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3AEA1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297 847,00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345C7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360 600,00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FCBF38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121,07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E49979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363 100,00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84891A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100,69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09B1A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365 600,00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5F12DC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100,69</w:t>
            </w:r>
            <w:r w:rsidRPr="00A1066F">
              <w:rPr>
                <w:rFonts w:ascii="Calibri" w:eastAsia="Times New Roman" w:hAnsi="Calibri" w:cs="Calibri"/>
                <w:sz w:val="24"/>
                <w:szCs w:val="24"/>
                <w:lang w:eastAsia="sk-SK"/>
              </w:rPr>
              <w:t xml:space="preserve"> </w:t>
            </w:r>
          </w:p>
        </w:tc>
      </w:tr>
      <w:tr w:rsidR="00A1066F" w:rsidRPr="00A1066F" w14:paraId="0A70D6D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E1E9A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CDAFB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D9F51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258 533,00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39C3A6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267 223,00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B78C9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103,36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3CF409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301 033,00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0ED2A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112,65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8B48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315 883,00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B788AC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104,93</w:t>
            </w:r>
            <w:r w:rsidRPr="00A1066F">
              <w:rPr>
                <w:rFonts w:ascii="Calibri" w:eastAsia="Times New Roman" w:hAnsi="Calibri" w:cs="Calibri"/>
                <w:sz w:val="24"/>
                <w:szCs w:val="24"/>
                <w:lang w:eastAsia="sk-SK"/>
              </w:rPr>
              <w:t xml:space="preserve"> </w:t>
            </w:r>
          </w:p>
        </w:tc>
      </w:tr>
      <w:tr w:rsidR="00A1066F" w:rsidRPr="00A1066F" w14:paraId="0EA2C48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EFA0F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001FC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CF86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4 700,00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74711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22480A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319,15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67C6E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146760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43,33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2A591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EA86E7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107,69</w:t>
            </w:r>
            <w:r w:rsidRPr="00A1066F">
              <w:rPr>
                <w:rFonts w:ascii="Calibri" w:eastAsia="Times New Roman" w:hAnsi="Calibri" w:cs="Calibri"/>
                <w:sz w:val="24"/>
                <w:szCs w:val="24"/>
                <w:lang w:eastAsia="sk-SK"/>
              </w:rPr>
              <w:t xml:space="preserve"> </w:t>
            </w:r>
          </w:p>
        </w:tc>
      </w:tr>
    </w:tbl>
    <w:p w14:paraId="155ABEE6"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7"/>
        <w:gridCol w:w="1829"/>
        <w:gridCol w:w="1967"/>
        <w:gridCol w:w="1846"/>
        <w:gridCol w:w="1861"/>
      </w:tblGrid>
      <w:tr w:rsidR="00A1066F" w:rsidRPr="00A1066F" w14:paraId="3EA8A75F"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5A2C1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5A1A1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3D36637A"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29C3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3BE7B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395D5EB5"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93180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0DED8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48DE2222"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070E5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BEB9A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E4705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B78B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5CA2C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CDD8326"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D04AC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D127E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500</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F5B06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489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7E0CB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BA3DB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489</w:t>
            </w:r>
          </w:p>
        </w:tc>
      </w:tr>
      <w:tr w:rsidR="00A1066F" w:rsidRPr="00A1066F" w14:paraId="5A77F915"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FD061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DFB6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dennej forme</w:t>
            </w:r>
          </w:p>
        </w:tc>
      </w:tr>
      <w:tr w:rsidR="00A1066F" w:rsidRPr="00A1066F" w14:paraId="0E93C539"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9B739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AD72D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1AA06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887F8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90943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C5D57E5"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01E61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E5A82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500</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717E5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483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07DD9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CBCBF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483</w:t>
            </w:r>
          </w:p>
        </w:tc>
      </w:tr>
    </w:tbl>
    <w:p w14:paraId="44019B65"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Gymnázium poskytuje všeobecné vzdelanie v 4-ročnej forme štúdia so zameraním na prírodné vedy a zároveň 5-ročné bilingválne štúdium v ruskom jazyku. </w:t>
      </w:r>
    </w:p>
    <w:p w14:paraId="0CB35C2B"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8.2.9: Gymnázium J. </w:t>
      </w:r>
      <w:proofErr w:type="spellStart"/>
      <w:r w:rsidRPr="00A1066F">
        <w:rPr>
          <w:rFonts w:ascii="Calibri" w:eastAsia="Times New Roman" w:hAnsi="Calibri" w:cs="Calibri"/>
          <w:b/>
          <w:bCs/>
          <w:color w:val="0000FF"/>
          <w:sz w:val="24"/>
          <w:szCs w:val="24"/>
          <w:lang w:eastAsia="sk-SK"/>
        </w:rPr>
        <w:t>Papánka</w:t>
      </w:r>
      <w:proofErr w:type="spellEnd"/>
      <w:r w:rsidRPr="00A1066F">
        <w:rPr>
          <w:rFonts w:ascii="Calibri" w:eastAsia="Times New Roman" w:hAnsi="Calibri" w:cs="Calibri"/>
          <w:b/>
          <w:bCs/>
          <w:color w:val="0000FF"/>
          <w:sz w:val="24"/>
          <w:szCs w:val="24"/>
          <w:lang w:eastAsia="sk-SK"/>
        </w:rPr>
        <w:t xml:space="preserve">, </w:t>
      </w:r>
      <w:proofErr w:type="spellStart"/>
      <w:r w:rsidRPr="00A1066F">
        <w:rPr>
          <w:rFonts w:ascii="Calibri" w:eastAsia="Times New Roman" w:hAnsi="Calibri" w:cs="Calibri"/>
          <w:b/>
          <w:bCs/>
          <w:color w:val="0000FF"/>
          <w:sz w:val="24"/>
          <w:szCs w:val="24"/>
          <w:lang w:eastAsia="sk-SK"/>
        </w:rPr>
        <w:t>Vazovova</w:t>
      </w:r>
      <w:proofErr w:type="spellEnd"/>
      <w:r w:rsidRPr="00A1066F">
        <w:rPr>
          <w:rFonts w:ascii="Calibri" w:eastAsia="Times New Roman" w:hAnsi="Calibri" w:cs="Calibri"/>
          <w:b/>
          <w:bCs/>
          <w:color w:val="0000FF"/>
          <w:sz w:val="24"/>
          <w:szCs w:val="24"/>
          <w:lang w:eastAsia="sk-SK"/>
        </w:rPr>
        <w:t xml:space="preserve"> 6,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50E61662"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E3955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3D08C5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F5824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69374A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1EEC72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05A8AD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C8C4C9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D622C0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A3F916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3B9471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5E882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64BE51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2A420D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8BFBD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4A5CD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1 856 200,00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D8CB9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2 214 800,00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06789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119,32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4DA0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2 326 300,00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17537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105,03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E9F16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2 396 300,00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DF73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103,01</w:t>
            </w:r>
            <w:r w:rsidRPr="00A1066F">
              <w:rPr>
                <w:rFonts w:ascii="Calibri" w:eastAsia="Times New Roman" w:hAnsi="Calibri" w:cs="Calibri"/>
                <w:sz w:val="24"/>
                <w:szCs w:val="24"/>
                <w:lang w:eastAsia="sk-SK"/>
              </w:rPr>
              <w:t xml:space="preserve"> </w:t>
            </w:r>
          </w:p>
        </w:tc>
      </w:tr>
      <w:tr w:rsidR="00A1066F" w:rsidRPr="00A1066F" w14:paraId="3AC9045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A0D3F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F0631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15C0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1 856 200,00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87886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2 214 800,00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87D7F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119,32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74F9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2 326 300,00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9BE8C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105,03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3DB5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2 396 300,00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79B95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103,01</w:t>
            </w:r>
            <w:r w:rsidRPr="00A1066F">
              <w:rPr>
                <w:rFonts w:ascii="Calibri" w:eastAsia="Times New Roman" w:hAnsi="Calibri" w:cs="Calibri"/>
                <w:sz w:val="24"/>
                <w:szCs w:val="24"/>
                <w:lang w:eastAsia="sk-SK"/>
              </w:rPr>
              <w:t xml:space="preserve"> </w:t>
            </w:r>
          </w:p>
        </w:tc>
      </w:tr>
      <w:tr w:rsidR="00A1066F" w:rsidRPr="00A1066F" w14:paraId="7506E6C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B787F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E8083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8F042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1 123 000,00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9E7F5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1 291 000,00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3890C0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114,96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9EF1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1 373 000,00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BA7C6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106,35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7E1F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1 425 000,00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7925D0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103,79</w:t>
            </w:r>
            <w:r w:rsidRPr="00A1066F">
              <w:rPr>
                <w:rFonts w:ascii="Calibri" w:eastAsia="Times New Roman" w:hAnsi="Calibri" w:cs="Calibri"/>
                <w:sz w:val="24"/>
                <w:szCs w:val="24"/>
                <w:lang w:eastAsia="sk-SK"/>
              </w:rPr>
              <w:t xml:space="preserve"> </w:t>
            </w:r>
          </w:p>
        </w:tc>
      </w:tr>
      <w:tr w:rsidR="00A1066F" w:rsidRPr="00A1066F" w14:paraId="5781A4A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D10E7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254D9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1E699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366 000,00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C536C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495 500,00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ED40D6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135,38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12BB0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525 000,00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19CCAA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105,95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716AEA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543 000,00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C37E61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103,43</w:t>
            </w:r>
            <w:r w:rsidRPr="00A1066F">
              <w:rPr>
                <w:rFonts w:ascii="Calibri" w:eastAsia="Times New Roman" w:hAnsi="Calibri" w:cs="Calibri"/>
                <w:sz w:val="24"/>
                <w:szCs w:val="24"/>
                <w:lang w:eastAsia="sk-SK"/>
              </w:rPr>
              <w:t xml:space="preserve"> </w:t>
            </w:r>
          </w:p>
        </w:tc>
      </w:tr>
      <w:tr w:rsidR="00A1066F" w:rsidRPr="00A1066F" w14:paraId="2B9BBB2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96F81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80DC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CF658F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367 200,00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BF364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428 300,00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F91E6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116,64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4AA2F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428 300,00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95A685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62D66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428 300,00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6C842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1066ADDE"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4"/>
        <w:gridCol w:w="1857"/>
        <w:gridCol w:w="1802"/>
        <w:gridCol w:w="1846"/>
        <w:gridCol w:w="1861"/>
      </w:tblGrid>
      <w:tr w:rsidR="00A1066F" w:rsidRPr="00A1066F" w14:paraId="1C4E4EAA"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28DF0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02323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10C5AC3C"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2C96F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A7647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0C393C62"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6D281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A8510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41335D66"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CE2FF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13626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B23E4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0B896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A3E27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81FAD0D"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92E30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1D512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690</w:t>
            </w:r>
          </w:p>
        </w:tc>
        <w:tc>
          <w:tcPr>
            <w:tcW w:w="8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BE059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714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E8C72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714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2CC21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714</w:t>
            </w:r>
          </w:p>
        </w:tc>
      </w:tr>
      <w:tr w:rsidR="00A1066F" w:rsidRPr="00A1066F" w14:paraId="6E456B4C"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3E8F6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0F7D4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191C3150"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323B7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Rok</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2043F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DCE8D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DD9F8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3ED27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246DF39"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9C91F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99A58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690</w:t>
            </w:r>
          </w:p>
        </w:tc>
        <w:tc>
          <w:tcPr>
            <w:tcW w:w="8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6EEC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714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6F06A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714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5EFE1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714</w:t>
            </w:r>
          </w:p>
        </w:tc>
      </w:tr>
    </w:tbl>
    <w:p w14:paraId="13EE54E4"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Gymnázium poskytuje všeobecné vzdelanie v 4-ročnej a 8-ročnej forme štúdia so zameraním na matematiku. Od 1. 9. 2019 poskytuje aj 5 ročné bilingválne vzdelávanie v anglickom jazyku.</w:t>
      </w:r>
    </w:p>
    <w:p w14:paraId="396D3705"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8.2.10: Gymnázium L. Novomeského, Tomášikova 2,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36AEB11E"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E49ED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6CDC3AE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6CD8DE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6C9FE7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33AE0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FA87FE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E3F018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22A7E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34866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9C22B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FED477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330D33C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7CDC95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B1619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F917E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1 879 152,00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15AD2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2 007 670,00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0A1E8D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106,84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6EA19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2 007 670,00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396EF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6245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2 007 670,00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114E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E9DBF2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896D0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27C0E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20AD0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1 879 152,00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9A74C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2 007 670,00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7DE51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106,84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7CA2FB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2 007 670,00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957E8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25102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2 007 670,00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4EACB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6A0631E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BA16C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08963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770E8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1 082 532,00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74148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1 202 100,00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844323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111,05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476A9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1 202 100,00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DD0A0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AE494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1 202 100,00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43E030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770F18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B4498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7569C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67D7C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387 000,00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CEAB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427 400,00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596AAD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110,44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24C35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427 400,00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D6599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B6CC2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427 400,00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8C2E2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267069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ED9E8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E88C5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5DE9B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405 620,00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DCA73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374 170,00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908B61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92,25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E3F400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374 170,00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B88A0B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8B5C1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374 170,00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458815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4F48205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742E0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16FA0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834B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F8BB2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13077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53E3D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C57CEA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A07F1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B3870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1D0CEAD1"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7"/>
        <w:gridCol w:w="1829"/>
        <w:gridCol w:w="1967"/>
        <w:gridCol w:w="1846"/>
        <w:gridCol w:w="1861"/>
      </w:tblGrid>
      <w:tr w:rsidR="00A1066F" w:rsidRPr="00A1066F" w14:paraId="66DDAFCA"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99258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41581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3154EDA4"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ADCA3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32DCF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759D71D5"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2D7F9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84F45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3E4BD7B"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24F13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478A8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9B117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F9348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61116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4450B95"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46129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431A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609</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5586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609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23CC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609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74289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609</w:t>
            </w:r>
          </w:p>
        </w:tc>
      </w:tr>
      <w:tr w:rsidR="00A1066F" w:rsidRPr="00A1066F" w14:paraId="513B1C5A"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DA22D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77E93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456D1DB0"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BB911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B93A5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006E3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91979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72352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38CD598"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18B59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FB34B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610</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22995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603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625DD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603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B833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603</w:t>
            </w:r>
          </w:p>
        </w:tc>
      </w:tr>
    </w:tbl>
    <w:p w14:paraId="0CEAF2B3"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Poskytuje všeobecné vzdelanie v 4-ročnej a 8-ročnej forme štúdia so zameraním na cudzie jazyky a informatiku. Gymnázium prevádzkuje bazén, na ktorého prevádzku dostáva príspevok aj z Ministerstva školstva, výskumu, vývoja a mládeže SR.</w:t>
      </w:r>
    </w:p>
    <w:p w14:paraId="2C6D85A2"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8.2.11: Gymnázium, Hubeného 23,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72A0C453"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AC721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2904686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C988F4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3BE589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85A382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28339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94EF28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BB0F5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49595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F4864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6CFB2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34F0486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2563A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6CAE4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676F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1 124 110,00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1B3C1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1 255 000,00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DCB19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111,64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96D8E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1 313 050,00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30B31D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104,63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F82DEF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1 370 000,00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B1755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104,34</w:t>
            </w:r>
            <w:r w:rsidRPr="00A1066F">
              <w:rPr>
                <w:rFonts w:ascii="Calibri" w:eastAsia="Times New Roman" w:hAnsi="Calibri" w:cs="Calibri"/>
                <w:sz w:val="24"/>
                <w:szCs w:val="24"/>
                <w:lang w:eastAsia="sk-SK"/>
              </w:rPr>
              <w:t xml:space="preserve"> </w:t>
            </w:r>
          </w:p>
        </w:tc>
      </w:tr>
      <w:tr w:rsidR="00A1066F" w:rsidRPr="00A1066F" w14:paraId="322A915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1571A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B6DBC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1A4A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1 124 110,00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AE69C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1 255 000,00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1BF02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111,64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D7BB6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1 313 050,00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3CB4E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104,63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F5105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1 370 000,00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8158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104,34</w:t>
            </w:r>
            <w:r w:rsidRPr="00A1066F">
              <w:rPr>
                <w:rFonts w:ascii="Calibri" w:eastAsia="Times New Roman" w:hAnsi="Calibri" w:cs="Calibri"/>
                <w:sz w:val="24"/>
                <w:szCs w:val="24"/>
                <w:lang w:eastAsia="sk-SK"/>
              </w:rPr>
              <w:t xml:space="preserve"> </w:t>
            </w:r>
          </w:p>
        </w:tc>
      </w:tr>
      <w:tr w:rsidR="00A1066F" w:rsidRPr="00A1066F" w14:paraId="4C470D7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156EA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41AB5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562F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719 000,00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614D8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879 000,00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DE8027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122,25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8B47C6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920 000,00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F166DF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104,66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8472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961 000,00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61DB21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104,46</w:t>
            </w:r>
            <w:r w:rsidRPr="00A1066F">
              <w:rPr>
                <w:rFonts w:ascii="Calibri" w:eastAsia="Times New Roman" w:hAnsi="Calibri" w:cs="Calibri"/>
                <w:sz w:val="24"/>
                <w:szCs w:val="24"/>
                <w:lang w:eastAsia="sk-SK"/>
              </w:rPr>
              <w:t xml:space="preserve"> </w:t>
            </w:r>
          </w:p>
        </w:tc>
      </w:tr>
      <w:tr w:rsidR="00A1066F" w:rsidRPr="00A1066F" w14:paraId="2CA4999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DBEBD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F362A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31BBE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270 500,00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A5FE3D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299 800,00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BB4897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110,83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0A9C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315 600,00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A29A2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105,27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40099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330 300,00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5BDC7B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104,66</w:t>
            </w:r>
            <w:r w:rsidRPr="00A1066F">
              <w:rPr>
                <w:rFonts w:ascii="Calibri" w:eastAsia="Times New Roman" w:hAnsi="Calibri" w:cs="Calibri"/>
                <w:sz w:val="24"/>
                <w:szCs w:val="24"/>
                <w:lang w:eastAsia="sk-SK"/>
              </w:rPr>
              <w:t xml:space="preserve"> </w:t>
            </w:r>
          </w:p>
        </w:tc>
      </w:tr>
      <w:tr w:rsidR="00A1066F" w:rsidRPr="00A1066F" w14:paraId="64E1A02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1A5205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D6149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E21D5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134 610,00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8D272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76 200,00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02460C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56,61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A2A3E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77 450,00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077231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101,64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8B31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78 700,00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7EF5D7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101,61</w:t>
            </w:r>
            <w:r w:rsidRPr="00A1066F">
              <w:rPr>
                <w:rFonts w:ascii="Calibri" w:eastAsia="Times New Roman" w:hAnsi="Calibri" w:cs="Calibri"/>
                <w:sz w:val="24"/>
                <w:szCs w:val="24"/>
                <w:lang w:eastAsia="sk-SK"/>
              </w:rPr>
              <w:t xml:space="preserve"> </w:t>
            </w:r>
          </w:p>
        </w:tc>
      </w:tr>
    </w:tbl>
    <w:p w14:paraId="3EC9F706"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6"/>
        <w:gridCol w:w="1690"/>
        <w:gridCol w:w="2107"/>
        <w:gridCol w:w="1846"/>
        <w:gridCol w:w="1861"/>
      </w:tblGrid>
      <w:tr w:rsidR="00A1066F" w:rsidRPr="00A1066F" w14:paraId="4918A9CE"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16688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B4406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7D3EF6BD"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37289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1DF4A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571B6252"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8CB59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1EF7F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70C6195"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97C86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F0888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10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B2DD8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E9D4F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9B0B4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935DC4F"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08733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38AF8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448</w:t>
            </w:r>
          </w:p>
        </w:tc>
        <w:tc>
          <w:tcPr>
            <w:tcW w:w="10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B3219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458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1B88C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458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59F5C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458</w:t>
            </w:r>
          </w:p>
        </w:tc>
      </w:tr>
      <w:tr w:rsidR="00A1066F" w:rsidRPr="00A1066F" w14:paraId="3EBA0828"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518B7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5FC94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7D20F9D0"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D7AC1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F0D13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10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97A21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32658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6D108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B763C21"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1CA5C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10E85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448</w:t>
            </w:r>
          </w:p>
        </w:tc>
        <w:tc>
          <w:tcPr>
            <w:tcW w:w="10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AEF14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6A30A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D9D2B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450</w:t>
            </w:r>
          </w:p>
        </w:tc>
      </w:tr>
    </w:tbl>
    <w:p w14:paraId="61EDA2EA"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Poskytuje všeobecné vzdelanie v 4-ročnej a 8-ročnej forme štúdia so zameraním na cudzie jazyky a telesnú výchovu. Od 1. 9. 2019 poskytuje aj 5-ročné bilingválne vzdelávanie v anglickom jazyku.</w:t>
      </w:r>
    </w:p>
    <w:p w14:paraId="748FDE8B"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8.2.12: Gymnázium I. Horvátha, ul. I. Horvátha 14,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9"/>
        <w:gridCol w:w="1448"/>
        <w:gridCol w:w="647"/>
        <w:gridCol w:w="1448"/>
        <w:gridCol w:w="664"/>
      </w:tblGrid>
      <w:tr w:rsidR="00A1066F" w:rsidRPr="00A1066F" w14:paraId="5A4930D3"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E597E2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58531DD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E2F14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4E4C5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3D283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F8DDC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613DB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8A4DB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D3EE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7629B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D2C52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6F1B659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ABEE5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E2318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93DAC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1 404 324,00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43D7F2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1 597 064,00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43DA1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113,72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12F69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1 594 182,00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8B66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99,82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D5426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1 594 182,00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62386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B374CE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145FD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AC9D6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1E84E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1 404 324,00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DC82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1 597 064,00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7ED62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113,72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9E97EE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1 594 182,00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B5AE9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99,82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F6E44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1 594 182,00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A0CF2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40E7429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8E160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EF075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F992C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898 933,00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80FE5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1 026 776,00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4AB0B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114,22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DF662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1 026 776,00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55F5DB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9BAE2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1 026 776,00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D7587C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EDD5F3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2F3444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8F6C0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2F20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328 716,00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096E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376 246,00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1F04A0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114,46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545A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376 246,00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12DA65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537FA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376 246,00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155AD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6F38B30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9B568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52D80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354D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176 675,00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F91DA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194 042,00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EF29D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109,83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9311E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191 160,00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123738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98,51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15133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191 160,00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B8EC56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6D38D182"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7"/>
        <w:gridCol w:w="1829"/>
        <w:gridCol w:w="1967"/>
        <w:gridCol w:w="1846"/>
        <w:gridCol w:w="1861"/>
      </w:tblGrid>
      <w:tr w:rsidR="00A1066F" w:rsidRPr="00A1066F" w14:paraId="54E92CD8"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CA4A7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97497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780BB7A1"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6A4E8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539F1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269F9F37"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90A01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5B3F7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46E659CB"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ABBDB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9B2E2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45E82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E9030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2606F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D2A6AC2"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0FAAB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14425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466</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42992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F9CC2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18BD7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476</w:t>
            </w:r>
          </w:p>
        </w:tc>
      </w:tr>
      <w:tr w:rsidR="00A1066F" w:rsidRPr="00A1066F" w14:paraId="4E748B5E"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4E621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16602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3C8CCC58"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137A0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3C3E9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39487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9D1C5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55619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51F0B14"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882F8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94F71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466</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D6D53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467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BD768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467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77E1D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467</w:t>
            </w:r>
          </w:p>
        </w:tc>
      </w:tr>
    </w:tbl>
    <w:p w14:paraId="42F8FDA5"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Poskytuje všeobecné vzdelanie v 4-ročnej forme štúdia so zameraním na cudzie jazyky a prírodné vedy. Od 1. 9. 2015 má zaradené do siete 5-ročné bilingválne gymnázium v ruskom jazyku. Od  1. 9. 2024 má zaradené do siete odbor 7902 J 05 gymnázium – informatika (experimentálne overovanie).</w:t>
      </w:r>
    </w:p>
    <w:p w14:paraId="652774B0"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8.2.14: Gymnázium K. Štúra, Námestie Slobody 5, Modra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2"/>
        <w:gridCol w:w="2215"/>
        <w:gridCol w:w="1295"/>
        <w:gridCol w:w="1492"/>
        <w:gridCol w:w="649"/>
        <w:gridCol w:w="1492"/>
        <w:gridCol w:w="649"/>
        <w:gridCol w:w="1492"/>
        <w:gridCol w:w="664"/>
      </w:tblGrid>
      <w:tr w:rsidR="00A1066F" w:rsidRPr="00A1066F" w14:paraId="647881B6"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5B4644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85FC5A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E15159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EACA2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F59205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93A86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55898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2CC5C3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4FB965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C4071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51A62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332AD18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2DE32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6FCF9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7CBD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894 523,00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85C1F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1 035 209,00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6EB69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115,73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6065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1 067 966,00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21B4E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103,16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2551D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1 105 462,00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C0813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103,51</w:t>
            </w:r>
            <w:r w:rsidRPr="00A1066F">
              <w:rPr>
                <w:rFonts w:ascii="Calibri" w:eastAsia="Times New Roman" w:hAnsi="Calibri" w:cs="Calibri"/>
                <w:sz w:val="24"/>
                <w:szCs w:val="24"/>
                <w:lang w:eastAsia="sk-SK"/>
              </w:rPr>
              <w:t xml:space="preserve"> </w:t>
            </w:r>
          </w:p>
        </w:tc>
      </w:tr>
      <w:tr w:rsidR="00A1066F" w:rsidRPr="00A1066F" w14:paraId="471E9F4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CB630F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8161A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8C090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894 523,00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44193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1 035 209,00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87C5C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115,73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BBD7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1 067 966,00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52082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103,16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1044C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1 105 462,00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2B09A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103,51</w:t>
            </w:r>
            <w:r w:rsidRPr="00A1066F">
              <w:rPr>
                <w:rFonts w:ascii="Calibri" w:eastAsia="Times New Roman" w:hAnsi="Calibri" w:cs="Calibri"/>
                <w:sz w:val="24"/>
                <w:szCs w:val="24"/>
                <w:lang w:eastAsia="sk-SK"/>
              </w:rPr>
              <w:t xml:space="preserve"> </w:t>
            </w:r>
          </w:p>
        </w:tc>
      </w:tr>
      <w:tr w:rsidR="00A1066F" w:rsidRPr="00A1066F" w14:paraId="3EEF282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D0CBB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25224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A0A0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514 000,00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45124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605 760,00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5DA8C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117,85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C5F173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631 523,00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70B060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104,25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F415D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632 023,00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AF688E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100,08</w:t>
            </w:r>
            <w:r w:rsidRPr="00A1066F">
              <w:rPr>
                <w:rFonts w:ascii="Calibri" w:eastAsia="Times New Roman" w:hAnsi="Calibri" w:cs="Calibri"/>
                <w:sz w:val="24"/>
                <w:szCs w:val="24"/>
                <w:lang w:eastAsia="sk-SK"/>
              </w:rPr>
              <w:t xml:space="preserve"> </w:t>
            </w:r>
          </w:p>
        </w:tc>
      </w:tr>
      <w:tr w:rsidR="00A1066F" w:rsidRPr="00A1066F" w14:paraId="261B604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E3AA3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06089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83CE5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190 762,00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98F98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233 929,00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4D954F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122,63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9E517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222 065,00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4A911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94,93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1568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244 829,00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1535CC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110,25</w:t>
            </w:r>
            <w:r w:rsidRPr="00A1066F">
              <w:rPr>
                <w:rFonts w:ascii="Calibri" w:eastAsia="Times New Roman" w:hAnsi="Calibri" w:cs="Calibri"/>
                <w:sz w:val="24"/>
                <w:szCs w:val="24"/>
                <w:lang w:eastAsia="sk-SK"/>
              </w:rPr>
              <w:t xml:space="preserve"> </w:t>
            </w:r>
          </w:p>
        </w:tc>
      </w:tr>
      <w:tr w:rsidR="00A1066F" w:rsidRPr="00A1066F" w14:paraId="2B88271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49C5A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02FAE0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33CB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186 761,00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0B903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192 520,00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CA81A6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103,08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0A68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210 378,00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268B8F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109,28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8BFC2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223 610,00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35413C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106,29</w:t>
            </w:r>
            <w:r w:rsidRPr="00A1066F">
              <w:rPr>
                <w:rFonts w:ascii="Calibri" w:eastAsia="Times New Roman" w:hAnsi="Calibri" w:cs="Calibri"/>
                <w:sz w:val="24"/>
                <w:szCs w:val="24"/>
                <w:lang w:eastAsia="sk-SK"/>
              </w:rPr>
              <w:t xml:space="preserve"> </w:t>
            </w:r>
          </w:p>
        </w:tc>
      </w:tr>
      <w:tr w:rsidR="00A1066F" w:rsidRPr="00A1066F" w14:paraId="05DC6C4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51719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801AA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8A6BB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53A53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9F64F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95C77B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B68B03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133,33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3C416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4A62B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125,00</w:t>
            </w:r>
            <w:r w:rsidRPr="00A1066F">
              <w:rPr>
                <w:rFonts w:ascii="Calibri" w:eastAsia="Times New Roman" w:hAnsi="Calibri" w:cs="Calibri"/>
                <w:sz w:val="24"/>
                <w:szCs w:val="24"/>
                <w:lang w:eastAsia="sk-SK"/>
              </w:rPr>
              <w:t xml:space="preserve"> </w:t>
            </w:r>
          </w:p>
        </w:tc>
      </w:tr>
    </w:tbl>
    <w:p w14:paraId="7432D9C6"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4"/>
        <w:gridCol w:w="1692"/>
        <w:gridCol w:w="1967"/>
        <w:gridCol w:w="1846"/>
        <w:gridCol w:w="1861"/>
      </w:tblGrid>
      <w:tr w:rsidR="00A1066F" w:rsidRPr="00A1066F" w14:paraId="5B9CB29F"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D9760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925A3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69B8767A"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7D5D4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70F6C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41C30377"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A6110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E7B97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397A6EB9"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68C20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E8393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E704E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B43F0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E1D37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BB902D1"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F677A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Plánovaná hodnota</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59810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328</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B80CA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CA99C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7AD7E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335</w:t>
            </w:r>
          </w:p>
        </w:tc>
      </w:tr>
      <w:tr w:rsidR="00A1066F" w:rsidRPr="00A1066F" w14:paraId="39B7B3BF"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AE069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3F694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3F6A7D23"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777B2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BB8B8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E4EBD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38BEF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021EF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DCE13B3"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4F835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6EF32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328</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7308E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329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28F7F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329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BE3A4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329</w:t>
            </w:r>
          </w:p>
        </w:tc>
      </w:tr>
    </w:tbl>
    <w:p w14:paraId="15D6A16E"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Poskytuje všeobecné vzdelanie v 4-ročnej a 8-ročnej forme štúdia so zameraním na cudzie jazyky. </w:t>
      </w:r>
    </w:p>
    <w:p w14:paraId="65FBC5E9"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8.2.15: Gymnázium A. Bernoláka, </w:t>
      </w:r>
      <w:proofErr w:type="spellStart"/>
      <w:r w:rsidRPr="00A1066F">
        <w:rPr>
          <w:rFonts w:ascii="Calibri" w:eastAsia="Times New Roman" w:hAnsi="Calibri" w:cs="Calibri"/>
          <w:b/>
          <w:bCs/>
          <w:color w:val="0000FF"/>
          <w:sz w:val="24"/>
          <w:szCs w:val="24"/>
          <w:lang w:eastAsia="sk-SK"/>
        </w:rPr>
        <w:t>Lichnerova</w:t>
      </w:r>
      <w:proofErr w:type="spellEnd"/>
      <w:r w:rsidRPr="00A1066F">
        <w:rPr>
          <w:rFonts w:ascii="Calibri" w:eastAsia="Times New Roman" w:hAnsi="Calibri" w:cs="Calibri"/>
          <w:b/>
          <w:bCs/>
          <w:color w:val="0000FF"/>
          <w:sz w:val="24"/>
          <w:szCs w:val="24"/>
          <w:lang w:eastAsia="sk-SK"/>
        </w:rPr>
        <w:t xml:space="preserve"> 69, Senec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03D243A4"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6E46A6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92D01C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799EB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8CB2F9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5EDB4E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B4113B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9D8C7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921EA2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51F990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3D8AD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C050F6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601CD9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AA89A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6EF13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29350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1 104 493,00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E5450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1 400 510,00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F953F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126,80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A99A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1 474 715,00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86D5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B7DE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1 556 041,00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D8AA1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105,51</w:t>
            </w:r>
            <w:r w:rsidRPr="00A1066F">
              <w:rPr>
                <w:rFonts w:ascii="Calibri" w:eastAsia="Times New Roman" w:hAnsi="Calibri" w:cs="Calibri"/>
                <w:sz w:val="24"/>
                <w:szCs w:val="24"/>
                <w:lang w:eastAsia="sk-SK"/>
              </w:rPr>
              <w:t xml:space="preserve"> </w:t>
            </w:r>
          </w:p>
        </w:tc>
      </w:tr>
      <w:tr w:rsidR="00A1066F" w:rsidRPr="00A1066F" w14:paraId="43BEE00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39955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220E6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8E83C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1 104 493,00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62D3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1 400 510,00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5687F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126,80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AA05F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1 474 715,00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6B481C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E41C2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1 556 041,00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1871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105,51</w:t>
            </w:r>
            <w:r w:rsidRPr="00A1066F">
              <w:rPr>
                <w:rFonts w:ascii="Calibri" w:eastAsia="Times New Roman" w:hAnsi="Calibri" w:cs="Calibri"/>
                <w:sz w:val="24"/>
                <w:szCs w:val="24"/>
                <w:lang w:eastAsia="sk-SK"/>
              </w:rPr>
              <w:t xml:space="preserve"> </w:t>
            </w:r>
          </w:p>
        </w:tc>
      </w:tr>
      <w:tr w:rsidR="00A1066F" w:rsidRPr="00A1066F" w14:paraId="3F7BF70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CA6271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368B6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8FA7E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679 700,00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29BB9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873 430,00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60F365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128,50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A3E2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914 600,00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A2D56C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104,71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66C99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960 300,00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A51642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105,00</w:t>
            </w:r>
            <w:r w:rsidRPr="00A1066F">
              <w:rPr>
                <w:rFonts w:ascii="Calibri" w:eastAsia="Times New Roman" w:hAnsi="Calibri" w:cs="Calibri"/>
                <w:sz w:val="24"/>
                <w:szCs w:val="24"/>
                <w:lang w:eastAsia="sk-SK"/>
              </w:rPr>
              <w:t xml:space="preserve"> </w:t>
            </w:r>
          </w:p>
        </w:tc>
      </w:tr>
      <w:tr w:rsidR="00A1066F" w:rsidRPr="00A1066F" w14:paraId="47AE615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C0664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20045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052411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238 423,00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97C28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331 410,00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F0EB7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A7FF6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347 730,00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1FE9A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104,92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87045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365 340,00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9BD8B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105,06</w:t>
            </w:r>
            <w:r w:rsidRPr="00A1066F">
              <w:rPr>
                <w:rFonts w:ascii="Calibri" w:eastAsia="Times New Roman" w:hAnsi="Calibri" w:cs="Calibri"/>
                <w:sz w:val="24"/>
                <w:szCs w:val="24"/>
                <w:lang w:eastAsia="sk-SK"/>
              </w:rPr>
              <w:t xml:space="preserve"> </w:t>
            </w:r>
          </w:p>
        </w:tc>
      </w:tr>
      <w:tr w:rsidR="00A1066F" w:rsidRPr="00A1066F" w14:paraId="2436EA7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7D8F05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891A1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BBA29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182 170,00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F58CBA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191 220,00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C898EE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104,97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3AEC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207 525,00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396D01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108,53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B9C60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225 081,00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0EE621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108,46</w:t>
            </w:r>
            <w:r w:rsidRPr="00A1066F">
              <w:rPr>
                <w:rFonts w:ascii="Calibri" w:eastAsia="Times New Roman" w:hAnsi="Calibri" w:cs="Calibri"/>
                <w:sz w:val="24"/>
                <w:szCs w:val="24"/>
                <w:lang w:eastAsia="sk-SK"/>
              </w:rPr>
              <w:t xml:space="preserve"> </w:t>
            </w:r>
          </w:p>
        </w:tc>
      </w:tr>
      <w:tr w:rsidR="00A1066F" w:rsidRPr="00A1066F" w14:paraId="0B24459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CEDC8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FF02C4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E02A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4 200,00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DDFB6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C02BA5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105,95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FB39B9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4 860,00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864864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109,21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7F77B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5 320,00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C210E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109,47</w:t>
            </w:r>
            <w:r w:rsidRPr="00A1066F">
              <w:rPr>
                <w:rFonts w:ascii="Calibri" w:eastAsia="Times New Roman" w:hAnsi="Calibri" w:cs="Calibri"/>
                <w:sz w:val="24"/>
                <w:szCs w:val="24"/>
                <w:lang w:eastAsia="sk-SK"/>
              </w:rPr>
              <w:t xml:space="preserve"> </w:t>
            </w:r>
          </w:p>
        </w:tc>
      </w:tr>
    </w:tbl>
    <w:p w14:paraId="098E6EED"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7"/>
        <w:gridCol w:w="1829"/>
        <w:gridCol w:w="1967"/>
        <w:gridCol w:w="1846"/>
        <w:gridCol w:w="1861"/>
      </w:tblGrid>
      <w:tr w:rsidR="00A1066F" w:rsidRPr="00A1066F" w14:paraId="6C56B836"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422EF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11CF9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389BF130"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E5EB5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81A4C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7D4B2F2E"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80989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6A2CF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1B890845"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5DEDC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788F2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181E5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5197C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3947E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620148B"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0F093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E288F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394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ADEFF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DB5DA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A391D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418</w:t>
            </w:r>
          </w:p>
        </w:tc>
      </w:tr>
      <w:tr w:rsidR="00A1066F" w:rsidRPr="00A1066F" w14:paraId="3BFF2685"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C0EE2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7CA62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707257B3"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759BE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EBA43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08D3D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B489F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1EC4D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8F3F2F3"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9B67E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EF2A0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394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2CC95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404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34738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404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41F8D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404</w:t>
            </w:r>
          </w:p>
        </w:tc>
      </w:tr>
    </w:tbl>
    <w:p w14:paraId="61BC1982"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Poskytuje všeobecné vzdelanie v 4-ročnej a 8-ročnej forme štúdia so zameraním na cudzie jazyky a informatiku. Od 1. 9. 2024 má zaradené do siete odbor 7902 J 05 gymnázium – informatika (experimentálne overovanie).</w:t>
      </w:r>
    </w:p>
    <w:p w14:paraId="082B8A23"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8.2.16: Gymnázium, ul.1. mája 8, Malacky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22A16A6D"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5F288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5614266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7CACB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FACF8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F77EB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C4760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AF03AE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D10029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40127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10BD7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8404E9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2DE655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127A7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F0E56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9E30F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1 374 100,00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C80C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1 651 450,00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8EB62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120,18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EDFD3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1 656 450,00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18BA3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ABCA0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1 661 450,00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71914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100,30</w:t>
            </w:r>
            <w:r w:rsidRPr="00A1066F">
              <w:rPr>
                <w:rFonts w:ascii="Calibri" w:eastAsia="Times New Roman" w:hAnsi="Calibri" w:cs="Calibri"/>
                <w:sz w:val="24"/>
                <w:szCs w:val="24"/>
                <w:lang w:eastAsia="sk-SK"/>
              </w:rPr>
              <w:t xml:space="preserve"> </w:t>
            </w:r>
          </w:p>
        </w:tc>
      </w:tr>
      <w:tr w:rsidR="00A1066F" w:rsidRPr="00A1066F" w14:paraId="1EC99AD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E2CF3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3345C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086E8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1 374 100,00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0853A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1 651 450,00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293F4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120,18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6CD89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1 656 450,00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BCE36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66BDC9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1 661 450,00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FBBE8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100,30</w:t>
            </w:r>
            <w:r w:rsidRPr="00A1066F">
              <w:rPr>
                <w:rFonts w:ascii="Calibri" w:eastAsia="Times New Roman" w:hAnsi="Calibri" w:cs="Calibri"/>
                <w:sz w:val="24"/>
                <w:szCs w:val="24"/>
                <w:lang w:eastAsia="sk-SK"/>
              </w:rPr>
              <w:t xml:space="preserve"> </w:t>
            </w:r>
          </w:p>
        </w:tc>
      </w:tr>
      <w:tr w:rsidR="00A1066F" w:rsidRPr="00A1066F" w14:paraId="7069AE0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46C4E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FBFF9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E886C5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787 000,00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B119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889 000,00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F2A346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112,96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2A502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889 000,00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F50D8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928B4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889 000,00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FF4E10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48F4450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45E5F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94CB3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45C31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262 900,00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35950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339 050,00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466730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128,97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574D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339 050,00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532C09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13196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339 050,00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2C349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9DA7BC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09C11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41602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11A47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324 200,00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9E0025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423 400,00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1C771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130,60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4882D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428 400,00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7D1709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101,18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DA327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433 400,00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5CDF91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101,17</w:t>
            </w:r>
            <w:r w:rsidRPr="00A1066F">
              <w:rPr>
                <w:rFonts w:ascii="Calibri" w:eastAsia="Times New Roman" w:hAnsi="Calibri" w:cs="Calibri"/>
                <w:sz w:val="24"/>
                <w:szCs w:val="24"/>
                <w:lang w:eastAsia="sk-SK"/>
              </w:rPr>
              <w:t xml:space="preserve"> </w:t>
            </w:r>
          </w:p>
        </w:tc>
      </w:tr>
    </w:tbl>
    <w:p w14:paraId="0DCAEAD1"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22"/>
        <w:gridCol w:w="1853"/>
        <w:gridCol w:w="1940"/>
        <w:gridCol w:w="1860"/>
        <w:gridCol w:w="1875"/>
      </w:tblGrid>
      <w:tr w:rsidR="00A1066F" w:rsidRPr="00A1066F" w14:paraId="5F84F351" w14:textId="77777777" w:rsidTr="007468A0">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9F1AE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6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D72A7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7CE36708" w14:textId="77777777" w:rsidTr="007468A0">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774D5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6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DE86B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06789783" w14:textId="77777777" w:rsidTr="007468A0">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F4997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6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B031F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795D97E" w14:textId="77777777" w:rsidTr="007468A0">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592F7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Rok</w:t>
            </w:r>
          </w:p>
        </w:tc>
        <w:tc>
          <w:tcPr>
            <w:tcW w:w="88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7ECEE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2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D3881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18F25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14A8A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9D46E46" w14:textId="77777777" w:rsidTr="007468A0">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C588A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8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18F66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491</w:t>
            </w:r>
          </w:p>
        </w:tc>
        <w:tc>
          <w:tcPr>
            <w:tcW w:w="92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B228B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498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D1812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498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555CC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498</w:t>
            </w:r>
          </w:p>
        </w:tc>
      </w:tr>
      <w:tr w:rsidR="00A1066F" w:rsidRPr="00A1066F" w14:paraId="496D0898" w14:textId="77777777" w:rsidTr="007468A0">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97273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6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C7E37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248A3A07" w14:textId="77777777" w:rsidTr="007468A0">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EF7EF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8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E5DE9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2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98DDD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8411B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A7AC4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E7A2A44" w14:textId="77777777" w:rsidTr="007468A0">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E0E49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8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AEBB6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491</w:t>
            </w:r>
          </w:p>
        </w:tc>
        <w:tc>
          <w:tcPr>
            <w:tcW w:w="92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58B8A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491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B1F00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491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534B3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491</w:t>
            </w:r>
          </w:p>
        </w:tc>
      </w:tr>
    </w:tbl>
    <w:p w14:paraId="0FB45B02"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Poskytuje všeobecné vzdelanie v 4-ročnej a 8-ročnej forme štúdia so zameraním na cudzie jazyky. Od 1. 9. 2019 poskytuje aj 5-ročné bilingválne vzdelávanie v anglickom jazyku.</w:t>
      </w:r>
    </w:p>
    <w:p w14:paraId="15140936"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8.2.17: Gymnázium, Senecká 2, Pezinok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1798C974"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CB219E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2178CB6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B75176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60F56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57B4FA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6AAB7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606ED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488644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7CBB0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F2012A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C79387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47C7334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1F3C6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5C1D8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E642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1 214 240,00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867D2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1 305 433,00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7C778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02ED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1 363 589,00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6512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104,45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803D0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1 428 223,00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B3260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104,74</w:t>
            </w:r>
            <w:r w:rsidRPr="00A1066F">
              <w:rPr>
                <w:rFonts w:ascii="Calibri" w:eastAsia="Times New Roman" w:hAnsi="Calibri" w:cs="Calibri"/>
                <w:sz w:val="24"/>
                <w:szCs w:val="24"/>
                <w:lang w:eastAsia="sk-SK"/>
              </w:rPr>
              <w:t xml:space="preserve"> </w:t>
            </w:r>
          </w:p>
        </w:tc>
      </w:tr>
      <w:tr w:rsidR="00A1066F" w:rsidRPr="00A1066F" w14:paraId="7853456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084A3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133A9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BC090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1 214 240,00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B223C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1 305 433,00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13A73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03CB7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1 363 589,00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A17B2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104,45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FF839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1 428 223,00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67A5D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104,74</w:t>
            </w:r>
            <w:r w:rsidRPr="00A1066F">
              <w:rPr>
                <w:rFonts w:ascii="Calibri" w:eastAsia="Times New Roman" w:hAnsi="Calibri" w:cs="Calibri"/>
                <w:sz w:val="24"/>
                <w:szCs w:val="24"/>
                <w:lang w:eastAsia="sk-SK"/>
              </w:rPr>
              <w:t xml:space="preserve"> </w:t>
            </w:r>
          </w:p>
        </w:tc>
      </w:tr>
      <w:tr w:rsidR="00A1066F" w:rsidRPr="00A1066F" w14:paraId="552AAF0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9BA2F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C7D0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9482C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792 632,00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69CC3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841 658,00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BCBE4D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106,19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17194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883 788,00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9314E0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8A18F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925 640,00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3ED643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104,74</w:t>
            </w:r>
            <w:r w:rsidRPr="00A1066F">
              <w:rPr>
                <w:rFonts w:ascii="Calibri" w:eastAsia="Times New Roman" w:hAnsi="Calibri" w:cs="Calibri"/>
                <w:sz w:val="24"/>
                <w:szCs w:val="24"/>
                <w:lang w:eastAsia="sk-SK"/>
              </w:rPr>
              <w:t xml:space="preserve"> </w:t>
            </w:r>
          </w:p>
        </w:tc>
      </w:tr>
      <w:tr w:rsidR="00A1066F" w:rsidRPr="00A1066F" w14:paraId="0B83F0E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8994F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2446A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8B86C9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276 548,00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2A753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302 573,00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5DF4D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109,41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2A7E4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317 699,00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DEA0BD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6D5CB8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332 481,00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2ED7A9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104,65</w:t>
            </w:r>
            <w:r w:rsidRPr="00A1066F">
              <w:rPr>
                <w:rFonts w:ascii="Calibri" w:eastAsia="Times New Roman" w:hAnsi="Calibri" w:cs="Calibri"/>
                <w:sz w:val="24"/>
                <w:szCs w:val="24"/>
                <w:lang w:eastAsia="sk-SK"/>
              </w:rPr>
              <w:t xml:space="preserve"> </w:t>
            </w:r>
          </w:p>
        </w:tc>
      </w:tr>
      <w:tr w:rsidR="00A1066F" w:rsidRPr="00A1066F" w14:paraId="4CCD76D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FBEB5A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24B7D5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1368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137 775,00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978CC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159 202,00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4FFA1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115,55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D820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160 102,00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767B68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100,57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D2E35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168 102,00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568493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105,00</w:t>
            </w:r>
            <w:r w:rsidRPr="00A1066F">
              <w:rPr>
                <w:rFonts w:ascii="Calibri" w:eastAsia="Times New Roman" w:hAnsi="Calibri" w:cs="Calibri"/>
                <w:sz w:val="24"/>
                <w:szCs w:val="24"/>
                <w:lang w:eastAsia="sk-SK"/>
              </w:rPr>
              <w:t xml:space="preserve"> </w:t>
            </w:r>
          </w:p>
        </w:tc>
      </w:tr>
      <w:tr w:rsidR="00A1066F" w:rsidRPr="00A1066F" w14:paraId="2F6A0CA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154978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46013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A884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7 285,00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FF57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ECF160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27,45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8BE8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76977C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250C1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C4CF54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1274C362"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7"/>
        <w:gridCol w:w="1829"/>
        <w:gridCol w:w="1967"/>
        <w:gridCol w:w="1846"/>
        <w:gridCol w:w="1861"/>
      </w:tblGrid>
      <w:tr w:rsidR="00A1066F" w:rsidRPr="00A1066F" w14:paraId="2971E71F"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78301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DA942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5BC7A6F6"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BC530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C9E0F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4510941B"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5D1FA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9451B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08D3FAA1"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0E9E7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E2CA3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75AC8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678DA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B13F3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A72F8FA"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42A28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618C5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459</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522FD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474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02081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474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FD7B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474</w:t>
            </w:r>
          </w:p>
        </w:tc>
      </w:tr>
      <w:tr w:rsidR="00A1066F" w:rsidRPr="00A1066F" w14:paraId="362B4211"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C6664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4DF13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14D2491D"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92486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F0D3D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FC987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718BF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130C7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CCF1CC5"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4B982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1805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459</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96EAD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468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BC2BE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468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EDD34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468</w:t>
            </w:r>
          </w:p>
        </w:tc>
      </w:tr>
    </w:tbl>
    <w:p w14:paraId="008F5A1B"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Poskytuje všeobecné vzdelanie v 4-ročnej a 8-ročnej forme štúdia so zameraním na cudzie jazyky. Od 1. 9. 2019 poskytuje aj 5-ročné bilingválne vzdelávanie v anglickom jazyku.</w:t>
      </w:r>
    </w:p>
    <w:p w14:paraId="16807B8D"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8.2.20: Spojená škola, Bratislavská 44, Malinovo, základná škola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4A761AB6"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A109D7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091FB2E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FEBA1E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AF7A2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ED21F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3C38B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C58FC0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CCA7FA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90DA7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1A50D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39D004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BA7A58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1E1F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AA7EE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D47B1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1 201 897,00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82897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1 403 626,00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E0032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116,78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E5CB1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1 407 406,00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AD9FC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100,27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D76E6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1 410 906,00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B27E6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100,25</w:t>
            </w:r>
            <w:r w:rsidRPr="00A1066F">
              <w:rPr>
                <w:rFonts w:ascii="Calibri" w:eastAsia="Times New Roman" w:hAnsi="Calibri" w:cs="Calibri"/>
                <w:sz w:val="24"/>
                <w:szCs w:val="24"/>
                <w:lang w:eastAsia="sk-SK"/>
              </w:rPr>
              <w:t xml:space="preserve"> </w:t>
            </w:r>
          </w:p>
        </w:tc>
      </w:tr>
      <w:tr w:rsidR="00A1066F" w:rsidRPr="00A1066F" w14:paraId="3D2358F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863F2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309E0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2BE9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1 201 897,00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AFADD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1 403 626,00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AC185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116,78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2DE31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1 407 406,00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6EF43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100,27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9C387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1 410 906,00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3061C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100,25</w:t>
            </w:r>
            <w:r w:rsidRPr="00A1066F">
              <w:rPr>
                <w:rFonts w:ascii="Calibri" w:eastAsia="Times New Roman" w:hAnsi="Calibri" w:cs="Calibri"/>
                <w:sz w:val="24"/>
                <w:szCs w:val="24"/>
                <w:lang w:eastAsia="sk-SK"/>
              </w:rPr>
              <w:t xml:space="preserve"> </w:t>
            </w:r>
          </w:p>
        </w:tc>
      </w:tr>
      <w:tr w:rsidR="00A1066F" w:rsidRPr="00A1066F" w14:paraId="24A80C2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1907D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4EDCE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7E93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678 816,00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DFAF8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874 176,00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D5CE97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128,78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76436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877 956,00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4042B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100,43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F7FF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881 456,00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B1CA30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100,40</w:t>
            </w:r>
            <w:r w:rsidRPr="00A1066F">
              <w:rPr>
                <w:rFonts w:ascii="Calibri" w:eastAsia="Times New Roman" w:hAnsi="Calibri" w:cs="Calibri"/>
                <w:sz w:val="24"/>
                <w:szCs w:val="24"/>
                <w:lang w:eastAsia="sk-SK"/>
              </w:rPr>
              <w:t xml:space="preserve"> </w:t>
            </w:r>
          </w:p>
        </w:tc>
      </w:tr>
      <w:tr w:rsidR="00A1066F" w:rsidRPr="00A1066F" w14:paraId="1B4BF26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E80E1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723A5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35D4B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189 481,00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2EE6B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217 600,00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1550FB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114,84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4872D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217 600,00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1696A2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1A5D2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217 600,00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2741B6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AC54FC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9FCEF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D36FE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790E7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330 600,00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D2DD13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300 350,00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1C0E65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90,85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51F8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300 350,00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3BE6AA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0E660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300 350,00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26D00D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6885D8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E9371A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7C932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26E7F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9D8E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D651F7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383,33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7498C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31508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EED95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E14944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2879BF31"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98"/>
        <w:gridCol w:w="1860"/>
        <w:gridCol w:w="1859"/>
        <w:gridCol w:w="1859"/>
        <w:gridCol w:w="1874"/>
      </w:tblGrid>
      <w:tr w:rsidR="00A1066F" w:rsidRPr="00A1066F" w14:paraId="448A32B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A893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3E6A8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6B0F63C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C920C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FB3AE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základnej škole</w:t>
            </w:r>
          </w:p>
        </w:tc>
      </w:tr>
      <w:tr w:rsidR="00A1066F" w:rsidRPr="00A1066F" w14:paraId="2BE0857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734AB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0639B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417804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6CB5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8AC43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97654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14233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97BC1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4B2BD5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A19CA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02AF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04070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8F8E1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4BA2D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520</w:t>
            </w:r>
          </w:p>
        </w:tc>
      </w:tr>
      <w:tr w:rsidR="00A1066F" w:rsidRPr="00A1066F" w14:paraId="230C094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16850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FA2F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2B832A7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CCE5A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91F62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9C23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F7E77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77444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D5B521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FFF1F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F1699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6BB04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573E8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06C90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517</w:t>
            </w:r>
          </w:p>
        </w:tc>
      </w:tr>
    </w:tbl>
    <w:p w14:paraId="7369CEF7"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proofErr w:type="spellStart"/>
      <w:r w:rsidRPr="00A1066F">
        <w:rPr>
          <w:rFonts w:ascii="Calibri" w:eastAsia="Times New Roman" w:hAnsi="Calibri" w:cs="Calibri"/>
          <w:sz w:val="24"/>
          <w:szCs w:val="24"/>
          <w:lang w:eastAsia="sk-SK"/>
        </w:rPr>
        <w:t>Plnoorganizovaná</w:t>
      </w:r>
      <w:proofErr w:type="spellEnd"/>
      <w:r w:rsidRPr="00A1066F">
        <w:rPr>
          <w:rFonts w:ascii="Calibri" w:eastAsia="Times New Roman" w:hAnsi="Calibri" w:cs="Calibri"/>
          <w:sz w:val="24"/>
          <w:szCs w:val="24"/>
          <w:lang w:eastAsia="sk-SK"/>
        </w:rPr>
        <w:t xml:space="preserve"> základná škola, ZŠ je súčasťou Spojenej školy od 1.9.2019. </w:t>
      </w:r>
    </w:p>
    <w:p w14:paraId="544FEA82"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8.2.21: Spojená škola, </w:t>
      </w:r>
      <w:proofErr w:type="spellStart"/>
      <w:r w:rsidRPr="00A1066F">
        <w:rPr>
          <w:rFonts w:ascii="Calibri" w:eastAsia="Times New Roman" w:hAnsi="Calibri" w:cs="Calibri"/>
          <w:b/>
          <w:bCs/>
          <w:color w:val="0000FF"/>
          <w:sz w:val="24"/>
          <w:szCs w:val="24"/>
          <w:lang w:eastAsia="sk-SK"/>
        </w:rPr>
        <w:t>Ostredková</w:t>
      </w:r>
      <w:proofErr w:type="spellEnd"/>
      <w:r w:rsidRPr="00A1066F">
        <w:rPr>
          <w:rFonts w:ascii="Calibri" w:eastAsia="Times New Roman" w:hAnsi="Calibri" w:cs="Calibri"/>
          <w:b/>
          <w:bCs/>
          <w:color w:val="0000FF"/>
          <w:sz w:val="24"/>
          <w:szCs w:val="24"/>
          <w:lang w:eastAsia="sk-SK"/>
        </w:rPr>
        <w:t xml:space="preserve"> 10, BA - základná škola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3"/>
        <w:gridCol w:w="2215"/>
        <w:gridCol w:w="1430"/>
        <w:gridCol w:w="1430"/>
        <w:gridCol w:w="649"/>
        <w:gridCol w:w="1430"/>
        <w:gridCol w:w="649"/>
        <w:gridCol w:w="1430"/>
        <w:gridCol w:w="664"/>
      </w:tblGrid>
      <w:tr w:rsidR="00A1066F" w:rsidRPr="00A1066F" w14:paraId="09A82777"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E44E9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74124AB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2FEB89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0FBD00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76829E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1B83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489877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B1E3C7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2036EF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8C4AE6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C6399D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0FFC0BC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CA08E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C37FD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0D69A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325 754,00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9AE4D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412 190,00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49D6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126,53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DAE8F4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412 190,00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CBA77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7B97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412 190,00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5E980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C1A1A5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5BCD9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EA27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F7E5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325 754,00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3ABB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412 190,00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3F055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126,53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BC892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412 190,00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E5D5D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494F9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412 190,00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7EBCB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6B5A676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72148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89BE6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5972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188 999,00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8845C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6E985E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102,65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7C3125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1A34D2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D397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0745E8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A87D2D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3EEEB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595AD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FFD5C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67 055,00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BA33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74 890,00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065E65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111,68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4214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74 890,00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211F4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EAA3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74 890,00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58716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43D951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B0AA9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8E5CC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8AB9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69 700,00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EB0C3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143 300,00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34116B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205,60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31137C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143 300,00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696C50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12A78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143 300,00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3B14F5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798DA77C"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98"/>
        <w:gridCol w:w="1860"/>
        <w:gridCol w:w="1859"/>
        <w:gridCol w:w="1859"/>
        <w:gridCol w:w="1874"/>
      </w:tblGrid>
      <w:tr w:rsidR="00A1066F" w:rsidRPr="00A1066F" w14:paraId="7FAA751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5F444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CBE20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626F447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5AD1B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2B412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základnej škole</w:t>
            </w:r>
          </w:p>
        </w:tc>
      </w:tr>
      <w:tr w:rsidR="00A1066F" w:rsidRPr="00A1066F" w14:paraId="1DB12A0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A183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43BCD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DE7799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A6FE4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76B80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7F89A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D1086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3C933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51B705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3192C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D93AE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B5A2D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147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359DD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147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F4819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147</w:t>
            </w:r>
          </w:p>
        </w:tc>
      </w:tr>
      <w:tr w:rsidR="00A1066F" w:rsidRPr="00A1066F" w14:paraId="2B6C8FF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B0A8B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44834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6872FAE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DAA18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74CDB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045BD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432A3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B6FF7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5D9B85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11449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8238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B18A2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147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0D234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147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0E33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147</w:t>
            </w:r>
          </w:p>
        </w:tc>
      </w:tr>
    </w:tbl>
    <w:p w14:paraId="6C82E150"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proofErr w:type="spellStart"/>
      <w:r w:rsidRPr="00A1066F">
        <w:rPr>
          <w:rFonts w:ascii="Calibri" w:eastAsia="Times New Roman" w:hAnsi="Calibri" w:cs="Calibri"/>
          <w:sz w:val="24"/>
          <w:szCs w:val="24"/>
          <w:lang w:eastAsia="sk-SK"/>
        </w:rPr>
        <w:t>Neplnoorganizovaná</w:t>
      </w:r>
      <w:proofErr w:type="spellEnd"/>
      <w:r w:rsidRPr="00A1066F">
        <w:rPr>
          <w:rFonts w:ascii="Calibri" w:eastAsia="Times New Roman" w:hAnsi="Calibri" w:cs="Calibri"/>
          <w:sz w:val="24"/>
          <w:szCs w:val="24"/>
          <w:lang w:eastAsia="sk-SK"/>
        </w:rPr>
        <w:t xml:space="preserve"> základná škola, ktorá poskytuje športové vzdelanie na II. stupni ZŠ. Škola je zameraná na športovú prípravu. ZŠ je súčasťou Spojenej školy od 3.9.2020.</w:t>
      </w:r>
    </w:p>
    <w:p w14:paraId="740A9ADE"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8.2.22: Spojená škola, Pankúchova 6, BA - základná škola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3"/>
        <w:gridCol w:w="2215"/>
        <w:gridCol w:w="1430"/>
        <w:gridCol w:w="1430"/>
        <w:gridCol w:w="649"/>
        <w:gridCol w:w="1430"/>
        <w:gridCol w:w="649"/>
        <w:gridCol w:w="1430"/>
        <w:gridCol w:w="664"/>
      </w:tblGrid>
      <w:tr w:rsidR="00A1066F" w:rsidRPr="00A1066F" w14:paraId="2D41B027"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E42A9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EF18FD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C0F99D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D8DA68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E39245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34CF8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0AAD1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E9FEC0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82FA99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8A74F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B57FB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F7302C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27BDF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B0640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FB626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668 000,00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FBB44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751 600,00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4103E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63FA09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858 600,00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009B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114,24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554F2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961 600,00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CB25B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112,00</w:t>
            </w:r>
            <w:r w:rsidRPr="00A1066F">
              <w:rPr>
                <w:rFonts w:ascii="Calibri" w:eastAsia="Times New Roman" w:hAnsi="Calibri" w:cs="Calibri"/>
                <w:sz w:val="24"/>
                <w:szCs w:val="24"/>
                <w:lang w:eastAsia="sk-SK"/>
              </w:rPr>
              <w:t xml:space="preserve"> </w:t>
            </w:r>
          </w:p>
        </w:tc>
      </w:tr>
      <w:tr w:rsidR="00A1066F" w:rsidRPr="00A1066F" w14:paraId="13CB016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3E343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668E3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C6B3C5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668 000,00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F66C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751 600,00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BFCCC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92092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858 600,00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9BD4F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114,24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46307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961 600,00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BE478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112,00</w:t>
            </w:r>
            <w:r w:rsidRPr="00A1066F">
              <w:rPr>
                <w:rFonts w:ascii="Calibri" w:eastAsia="Times New Roman" w:hAnsi="Calibri" w:cs="Calibri"/>
                <w:sz w:val="24"/>
                <w:szCs w:val="24"/>
                <w:lang w:eastAsia="sk-SK"/>
              </w:rPr>
              <w:t xml:space="preserve"> </w:t>
            </w:r>
          </w:p>
        </w:tc>
      </w:tr>
      <w:tr w:rsidR="00A1066F" w:rsidRPr="00A1066F" w14:paraId="6AD886F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00991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FED43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1F099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370 000,00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BF72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401 000,00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E90871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108,38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99AF0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443 000,00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8023C6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110,47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D4013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474 000,00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840D92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107,00</w:t>
            </w:r>
            <w:r w:rsidRPr="00A1066F">
              <w:rPr>
                <w:rFonts w:ascii="Calibri" w:eastAsia="Times New Roman" w:hAnsi="Calibri" w:cs="Calibri"/>
                <w:sz w:val="24"/>
                <w:szCs w:val="24"/>
                <w:lang w:eastAsia="sk-SK"/>
              </w:rPr>
              <w:t xml:space="preserve"> </w:t>
            </w:r>
          </w:p>
        </w:tc>
      </w:tr>
      <w:tr w:rsidR="00A1066F" w:rsidRPr="00A1066F" w14:paraId="3011401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BE6FB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CFE1E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19ED0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148 000,00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A7E3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171 200,00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1DF59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115,68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86015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205 400,00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FEE53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119,98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F4070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242 100,00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0BDE54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117,87</w:t>
            </w:r>
            <w:r w:rsidRPr="00A1066F">
              <w:rPr>
                <w:rFonts w:ascii="Calibri" w:eastAsia="Times New Roman" w:hAnsi="Calibri" w:cs="Calibri"/>
                <w:sz w:val="24"/>
                <w:szCs w:val="24"/>
                <w:lang w:eastAsia="sk-SK"/>
              </w:rPr>
              <w:t xml:space="preserve"> </w:t>
            </w:r>
          </w:p>
        </w:tc>
      </w:tr>
      <w:tr w:rsidR="00A1066F" w:rsidRPr="00A1066F" w14:paraId="7DFDDD3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D56D4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CE275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C819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150 000,00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8E29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178 700,00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8E219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119,13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0B923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209 400,00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7F6291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117,18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94408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77BA8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116,76</w:t>
            </w:r>
            <w:r w:rsidRPr="00A1066F">
              <w:rPr>
                <w:rFonts w:ascii="Calibri" w:eastAsia="Times New Roman" w:hAnsi="Calibri" w:cs="Calibri"/>
                <w:sz w:val="24"/>
                <w:szCs w:val="24"/>
                <w:lang w:eastAsia="sk-SK"/>
              </w:rPr>
              <w:t xml:space="preserve"> </w:t>
            </w:r>
          </w:p>
        </w:tc>
      </w:tr>
      <w:tr w:rsidR="00A1066F" w:rsidRPr="00A1066F" w14:paraId="25D02BB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1CAFC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A90E1B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30746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EDCF4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236DF4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20354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4A7DA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114,29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67B081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8F122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125,00</w:t>
            </w:r>
            <w:r w:rsidRPr="00A1066F">
              <w:rPr>
                <w:rFonts w:ascii="Calibri" w:eastAsia="Times New Roman" w:hAnsi="Calibri" w:cs="Calibri"/>
                <w:sz w:val="24"/>
                <w:szCs w:val="24"/>
                <w:lang w:eastAsia="sk-SK"/>
              </w:rPr>
              <w:t xml:space="preserve"> </w:t>
            </w:r>
          </w:p>
        </w:tc>
      </w:tr>
    </w:tbl>
    <w:p w14:paraId="3E2B171A"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98"/>
        <w:gridCol w:w="1860"/>
        <w:gridCol w:w="1859"/>
        <w:gridCol w:w="1859"/>
        <w:gridCol w:w="1874"/>
      </w:tblGrid>
      <w:tr w:rsidR="00A1066F" w:rsidRPr="00A1066F" w14:paraId="364751B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221CA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B3300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59A2439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15CD8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7A0F1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základnej škole</w:t>
            </w:r>
          </w:p>
        </w:tc>
      </w:tr>
      <w:tr w:rsidR="00A1066F" w:rsidRPr="00A1066F" w14:paraId="25A89DD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07EE5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4E79E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3E8BEB5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BD118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567DF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2BA50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67DDA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AE65F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42A295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D10ED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33804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261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CD481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279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5440F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279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4D726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279</w:t>
            </w:r>
          </w:p>
        </w:tc>
      </w:tr>
      <w:tr w:rsidR="00A1066F" w:rsidRPr="00A1066F" w14:paraId="46A7869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7FCAB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9184F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5F344C2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E3674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FD45D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6C198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1CF9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A28E2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4EEF8E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595F4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A9506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261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7F6EC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279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CA2BA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279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F876B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279</w:t>
            </w:r>
          </w:p>
        </w:tc>
      </w:tr>
    </w:tbl>
    <w:p w14:paraId="3ED0E5CE"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proofErr w:type="spellStart"/>
      <w:r w:rsidRPr="00A1066F">
        <w:rPr>
          <w:rFonts w:ascii="Calibri" w:eastAsia="Times New Roman" w:hAnsi="Calibri" w:cs="Calibri"/>
          <w:sz w:val="24"/>
          <w:szCs w:val="24"/>
          <w:lang w:eastAsia="sk-SK"/>
        </w:rPr>
        <w:t>Plnoorganizovaná</w:t>
      </w:r>
      <w:proofErr w:type="spellEnd"/>
      <w:r w:rsidRPr="00A1066F">
        <w:rPr>
          <w:rFonts w:ascii="Calibri" w:eastAsia="Times New Roman" w:hAnsi="Calibri" w:cs="Calibri"/>
          <w:sz w:val="24"/>
          <w:szCs w:val="24"/>
          <w:lang w:eastAsia="sk-SK"/>
        </w:rPr>
        <w:t xml:space="preserve"> základná škola, škola ponúka vzdelanie v </w:t>
      </w:r>
      <w:proofErr w:type="spellStart"/>
      <w:r w:rsidRPr="00A1066F">
        <w:rPr>
          <w:rFonts w:ascii="Calibri" w:eastAsia="Times New Roman" w:hAnsi="Calibri" w:cs="Calibri"/>
          <w:sz w:val="24"/>
          <w:szCs w:val="24"/>
          <w:lang w:eastAsia="sk-SK"/>
        </w:rPr>
        <w:t>Primary</w:t>
      </w:r>
      <w:proofErr w:type="spellEnd"/>
      <w:r w:rsidRPr="00A1066F">
        <w:rPr>
          <w:rFonts w:ascii="Calibri" w:eastAsia="Times New Roman" w:hAnsi="Calibri" w:cs="Calibri"/>
          <w:sz w:val="24"/>
          <w:szCs w:val="24"/>
          <w:lang w:eastAsia="sk-SK"/>
        </w:rPr>
        <w:t xml:space="preserve"> </w:t>
      </w:r>
      <w:proofErr w:type="spellStart"/>
      <w:r w:rsidRPr="00A1066F">
        <w:rPr>
          <w:rFonts w:ascii="Calibri" w:eastAsia="Times New Roman" w:hAnsi="Calibri" w:cs="Calibri"/>
          <w:sz w:val="24"/>
          <w:szCs w:val="24"/>
          <w:lang w:eastAsia="sk-SK"/>
        </w:rPr>
        <w:t>Years</w:t>
      </w:r>
      <w:proofErr w:type="spellEnd"/>
      <w:r w:rsidRPr="00A1066F">
        <w:rPr>
          <w:rFonts w:ascii="Calibri" w:eastAsia="Times New Roman" w:hAnsi="Calibri" w:cs="Calibri"/>
          <w:sz w:val="24"/>
          <w:szCs w:val="24"/>
          <w:lang w:eastAsia="sk-SK"/>
        </w:rPr>
        <w:t xml:space="preserve"> </w:t>
      </w:r>
      <w:proofErr w:type="spellStart"/>
      <w:r w:rsidRPr="00A1066F">
        <w:rPr>
          <w:rFonts w:ascii="Calibri" w:eastAsia="Times New Roman" w:hAnsi="Calibri" w:cs="Calibri"/>
          <w:sz w:val="24"/>
          <w:szCs w:val="24"/>
          <w:lang w:eastAsia="sk-SK"/>
        </w:rPr>
        <w:t>Programm</w:t>
      </w:r>
      <w:proofErr w:type="spellEnd"/>
      <w:r w:rsidRPr="00A1066F">
        <w:rPr>
          <w:rFonts w:ascii="Calibri" w:eastAsia="Times New Roman" w:hAnsi="Calibri" w:cs="Calibri"/>
          <w:sz w:val="24"/>
          <w:szCs w:val="24"/>
          <w:lang w:eastAsia="sk-SK"/>
        </w:rPr>
        <w:t xml:space="preserve"> a </w:t>
      </w:r>
      <w:proofErr w:type="spellStart"/>
      <w:r w:rsidRPr="00A1066F">
        <w:rPr>
          <w:rFonts w:ascii="Calibri" w:eastAsia="Times New Roman" w:hAnsi="Calibri" w:cs="Calibri"/>
          <w:sz w:val="24"/>
          <w:szCs w:val="24"/>
          <w:lang w:eastAsia="sk-SK"/>
        </w:rPr>
        <w:t>Middle</w:t>
      </w:r>
      <w:proofErr w:type="spellEnd"/>
      <w:r w:rsidRPr="00A1066F">
        <w:rPr>
          <w:rFonts w:ascii="Calibri" w:eastAsia="Times New Roman" w:hAnsi="Calibri" w:cs="Calibri"/>
          <w:sz w:val="24"/>
          <w:szCs w:val="24"/>
          <w:lang w:eastAsia="sk-SK"/>
        </w:rPr>
        <w:t xml:space="preserve"> </w:t>
      </w:r>
      <w:proofErr w:type="spellStart"/>
      <w:r w:rsidRPr="00A1066F">
        <w:rPr>
          <w:rFonts w:ascii="Calibri" w:eastAsia="Times New Roman" w:hAnsi="Calibri" w:cs="Calibri"/>
          <w:sz w:val="24"/>
          <w:szCs w:val="24"/>
          <w:lang w:eastAsia="sk-SK"/>
        </w:rPr>
        <w:t>Years</w:t>
      </w:r>
      <w:proofErr w:type="spellEnd"/>
      <w:r w:rsidRPr="00A1066F">
        <w:rPr>
          <w:rFonts w:ascii="Calibri" w:eastAsia="Times New Roman" w:hAnsi="Calibri" w:cs="Calibri"/>
          <w:sz w:val="24"/>
          <w:szCs w:val="24"/>
          <w:lang w:eastAsia="sk-SK"/>
        </w:rPr>
        <w:t xml:space="preserve"> </w:t>
      </w:r>
      <w:proofErr w:type="spellStart"/>
      <w:r w:rsidRPr="00A1066F">
        <w:rPr>
          <w:rFonts w:ascii="Calibri" w:eastAsia="Times New Roman" w:hAnsi="Calibri" w:cs="Calibri"/>
          <w:sz w:val="24"/>
          <w:szCs w:val="24"/>
          <w:lang w:eastAsia="sk-SK"/>
        </w:rPr>
        <w:t>Programm</w:t>
      </w:r>
      <w:proofErr w:type="spellEnd"/>
      <w:r w:rsidRPr="00A1066F">
        <w:rPr>
          <w:rFonts w:ascii="Calibri" w:eastAsia="Times New Roman" w:hAnsi="Calibri" w:cs="Calibri"/>
          <w:sz w:val="24"/>
          <w:szCs w:val="24"/>
          <w:lang w:eastAsia="sk-SK"/>
        </w:rPr>
        <w:t xml:space="preserve"> v anglickom jazyku. ZŠ je súčasťou Spojenej školy od 3.9.2020. Vyučovanie prebieha podľa medzinárodného IB programu.</w:t>
      </w:r>
    </w:p>
    <w:p w14:paraId="6F0CE8C6"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8.2.23: Spojená škola, Pankúchova 6, BA - gymnázium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1D42C82C"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D4AE51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0C401BA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05F14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066B4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A4ED3B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D1C170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AC265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C476CF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2BEA4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C7F95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8B4698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38E4252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71D2C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B0C2F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3526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1 920 000,00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10C8A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2 340 000,00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FEE24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121,88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0001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2 576 400,00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3E54C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46B7C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2 659 500,00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05E9B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103,23</w:t>
            </w:r>
            <w:r w:rsidRPr="00A1066F">
              <w:rPr>
                <w:rFonts w:ascii="Calibri" w:eastAsia="Times New Roman" w:hAnsi="Calibri" w:cs="Calibri"/>
                <w:sz w:val="24"/>
                <w:szCs w:val="24"/>
                <w:lang w:eastAsia="sk-SK"/>
              </w:rPr>
              <w:t xml:space="preserve"> </w:t>
            </w:r>
          </w:p>
        </w:tc>
      </w:tr>
      <w:tr w:rsidR="00A1066F" w:rsidRPr="00A1066F" w14:paraId="36F97AB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7296B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0C0DB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772AA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1 920 000,00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AB33C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2 340 000,00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EE82E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121,88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21C7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2 576 400,00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E7521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46733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2 659 500,00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8BEB38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103,23</w:t>
            </w:r>
            <w:r w:rsidRPr="00A1066F">
              <w:rPr>
                <w:rFonts w:ascii="Calibri" w:eastAsia="Times New Roman" w:hAnsi="Calibri" w:cs="Calibri"/>
                <w:sz w:val="24"/>
                <w:szCs w:val="24"/>
                <w:lang w:eastAsia="sk-SK"/>
              </w:rPr>
              <w:t xml:space="preserve"> </w:t>
            </w:r>
          </w:p>
        </w:tc>
      </w:tr>
      <w:tr w:rsidR="00A1066F" w:rsidRPr="00A1066F" w14:paraId="140DC47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E574F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C4908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E872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1 275 000,00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8B658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1 598 000,00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1C1917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125,33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9F6D51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1 723 200,00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D593F7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107,83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E5E62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1 867 600,00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5BBE3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108,38</w:t>
            </w:r>
            <w:r w:rsidRPr="00A1066F">
              <w:rPr>
                <w:rFonts w:ascii="Calibri" w:eastAsia="Times New Roman" w:hAnsi="Calibri" w:cs="Calibri"/>
                <w:sz w:val="24"/>
                <w:szCs w:val="24"/>
                <w:lang w:eastAsia="sk-SK"/>
              </w:rPr>
              <w:t xml:space="preserve"> </w:t>
            </w:r>
          </w:p>
        </w:tc>
      </w:tr>
      <w:tr w:rsidR="00A1066F" w:rsidRPr="00A1066F" w14:paraId="217E510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F37021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5805A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DE5EB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434 000,00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E56E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500 000,00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4DC39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115,21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8997F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566 000,00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C9694F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113,20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DD02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454 800,00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4A463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80,35</w:t>
            </w:r>
            <w:r w:rsidRPr="00A1066F">
              <w:rPr>
                <w:rFonts w:ascii="Calibri" w:eastAsia="Times New Roman" w:hAnsi="Calibri" w:cs="Calibri"/>
                <w:sz w:val="24"/>
                <w:szCs w:val="24"/>
                <w:lang w:eastAsia="sk-SK"/>
              </w:rPr>
              <w:t xml:space="preserve"> </w:t>
            </w:r>
          </w:p>
        </w:tc>
      </w:tr>
      <w:tr w:rsidR="00A1066F" w:rsidRPr="00A1066F" w14:paraId="48C8774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F7478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807CB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3D041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211 000,00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5D2EC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239 500,00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7C9C34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113,51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553D8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284 100,00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B2744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118,62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7633B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333 400,00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DABF4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117,35</w:t>
            </w:r>
            <w:r w:rsidRPr="00A1066F">
              <w:rPr>
                <w:rFonts w:ascii="Calibri" w:eastAsia="Times New Roman" w:hAnsi="Calibri" w:cs="Calibri"/>
                <w:sz w:val="24"/>
                <w:szCs w:val="24"/>
                <w:lang w:eastAsia="sk-SK"/>
              </w:rPr>
              <w:t xml:space="preserve"> </w:t>
            </w:r>
          </w:p>
        </w:tc>
      </w:tr>
      <w:tr w:rsidR="00A1066F" w:rsidRPr="00A1066F" w14:paraId="6E8AEC2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D95C7D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219C5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787A4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F784C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CADACB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DC7F45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AF6BF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0CF83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79B5EA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119,35</w:t>
            </w:r>
            <w:r w:rsidRPr="00A1066F">
              <w:rPr>
                <w:rFonts w:ascii="Calibri" w:eastAsia="Times New Roman" w:hAnsi="Calibri" w:cs="Calibri"/>
                <w:sz w:val="24"/>
                <w:szCs w:val="24"/>
                <w:lang w:eastAsia="sk-SK"/>
              </w:rPr>
              <w:t xml:space="preserve"> </w:t>
            </w:r>
          </w:p>
        </w:tc>
      </w:tr>
    </w:tbl>
    <w:p w14:paraId="6291A86B"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4"/>
        <w:gridCol w:w="1692"/>
        <w:gridCol w:w="1967"/>
        <w:gridCol w:w="1846"/>
        <w:gridCol w:w="1861"/>
      </w:tblGrid>
      <w:tr w:rsidR="00A1066F" w:rsidRPr="00A1066F" w14:paraId="50179EBA"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F7099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37648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409894F3"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3114B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F3C35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výchovno-vzdelávací proces v gymnáziu</w:t>
            </w:r>
          </w:p>
        </w:tc>
      </w:tr>
      <w:tr w:rsidR="00A1066F" w:rsidRPr="00A1066F" w14:paraId="4025C597"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9713A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D9E4A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10306C29"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1A136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6790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0CC05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3CCA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43200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04B11C1"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B21C8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FDA41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556</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8CC48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572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5CFF8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572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C4DC7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572</w:t>
            </w:r>
          </w:p>
        </w:tc>
      </w:tr>
      <w:tr w:rsidR="00A1066F" w:rsidRPr="00A1066F" w14:paraId="40CE9435"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F5065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01CAD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02FAADAC"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189EC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8F225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2611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88417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439D6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935BE3A" w14:textId="77777777" w:rsidTr="007468A0">
        <w:trPr>
          <w:tblCellSpacing w:w="15" w:type="dxa"/>
        </w:trPr>
        <w:tc>
          <w:tcPr>
            <w:tcW w:w="14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E561F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EB5F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556</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AF1F2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562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4B2B4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562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C741D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562</w:t>
            </w:r>
          </w:p>
        </w:tc>
      </w:tr>
    </w:tbl>
    <w:p w14:paraId="1DCFB148"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Gymnázium poskytuje všeobecné vzdelanie v 5-ročnej a 8-ročnej forme štúdia a vzdelanie v medzinárodnom programe IB v anglickom jazyku.</w:t>
      </w:r>
    </w:p>
    <w:p w14:paraId="43D0D486" w14:textId="77777777" w:rsidR="00A1066F" w:rsidRPr="00A1066F" w:rsidRDefault="00A1066F" w:rsidP="00A1066F">
      <w:pPr>
        <w:spacing w:before="100" w:beforeAutospacing="1" w:after="100" w:afterAutospacing="1" w:line="240" w:lineRule="auto"/>
        <w:outlineLvl w:val="2"/>
        <w:rPr>
          <w:rFonts w:ascii="Calibri" w:eastAsia="Times New Roman" w:hAnsi="Calibri" w:cs="Calibri"/>
          <w:b/>
          <w:bCs/>
          <w:sz w:val="27"/>
          <w:szCs w:val="27"/>
          <w:lang w:eastAsia="sk-SK"/>
        </w:rPr>
      </w:pPr>
      <w:r w:rsidRPr="00A1066F">
        <w:rPr>
          <w:rFonts w:ascii="Calibri" w:eastAsia="Times New Roman" w:hAnsi="Calibri" w:cs="Calibri"/>
          <w:b/>
          <w:bCs/>
          <w:color w:val="0000FF"/>
          <w:sz w:val="27"/>
          <w:szCs w:val="27"/>
          <w:lang w:eastAsia="sk-SK"/>
        </w:rPr>
        <w:t>Podprogram 8.3: Odborné vzdelávanie</w:t>
      </w:r>
      <w:r w:rsidRPr="00A1066F">
        <w:rPr>
          <w:rFonts w:ascii="Calibri" w:eastAsia="Times New Roman" w:hAnsi="Calibri" w:cs="Calibri"/>
          <w:b/>
          <w:bCs/>
          <w:sz w:val="27"/>
          <w:szCs w:val="27"/>
          <w:lang w:eastAsia="sk-SK"/>
        </w:rPr>
        <w:t xml:space="preserve"> </w:t>
      </w:r>
    </w:p>
    <w:p w14:paraId="3D75E974" w14:textId="77777777" w:rsidR="00A1066F" w:rsidRPr="00A1066F" w:rsidRDefault="00A1066F" w:rsidP="00A1066F">
      <w:pPr>
        <w:spacing w:before="100" w:beforeAutospacing="1" w:after="100" w:afterAutospacing="1"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Zámer: </w:t>
      </w:r>
      <w:r w:rsidRPr="00A1066F">
        <w:rPr>
          <w:rFonts w:ascii="Calibri" w:eastAsia="Times New Roman" w:hAnsi="Calibri" w:cs="Calibri"/>
          <w:sz w:val="24"/>
          <w:szCs w:val="24"/>
          <w:lang w:eastAsia="sk-SK"/>
        </w:rPr>
        <w:t>Vysokokvalitné služby v odbornom vzdelávaní</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50"/>
        <w:gridCol w:w="2214"/>
        <w:gridCol w:w="1456"/>
        <w:gridCol w:w="1456"/>
        <w:gridCol w:w="649"/>
        <w:gridCol w:w="1456"/>
        <w:gridCol w:w="649"/>
        <w:gridCol w:w="1456"/>
        <w:gridCol w:w="664"/>
      </w:tblGrid>
      <w:tr w:rsidR="00A1066F" w:rsidRPr="00A1066F" w14:paraId="166F1B88"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F89D9A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2178E3B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7FF7A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4D04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B7867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ADF48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F8B61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12CE48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248121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1EAF0A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1ECBA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1985C07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C3906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87CBD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A393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63 648 428,00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58CFE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69 082 010,00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2C42C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108,54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09D9A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71 063 764,00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EFB8F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102,87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9747F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73 591 877,00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B010E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103,56</w:t>
            </w:r>
            <w:r w:rsidRPr="00A1066F">
              <w:rPr>
                <w:rFonts w:ascii="Calibri" w:eastAsia="Times New Roman" w:hAnsi="Calibri" w:cs="Calibri"/>
                <w:sz w:val="24"/>
                <w:szCs w:val="24"/>
                <w:lang w:eastAsia="sk-SK"/>
              </w:rPr>
              <w:t xml:space="preserve"> </w:t>
            </w:r>
          </w:p>
        </w:tc>
      </w:tr>
      <w:tr w:rsidR="00A1066F" w:rsidRPr="00A1066F" w14:paraId="1FF97E8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357EC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4E7C0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F9E90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63 648 428,00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6E41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69 082 010,00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D4E6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108,54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89A2C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71 063 764,00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35F53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102,87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0D69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73 591 877,00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87775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103,56</w:t>
            </w:r>
            <w:r w:rsidRPr="00A1066F">
              <w:rPr>
                <w:rFonts w:ascii="Calibri" w:eastAsia="Times New Roman" w:hAnsi="Calibri" w:cs="Calibri"/>
                <w:sz w:val="24"/>
                <w:szCs w:val="24"/>
                <w:lang w:eastAsia="sk-SK"/>
              </w:rPr>
              <w:t xml:space="preserve"> </w:t>
            </w:r>
          </w:p>
        </w:tc>
      </w:tr>
      <w:tr w:rsidR="00A1066F" w:rsidRPr="00A1066F" w14:paraId="30CAEA5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178A11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C7EBB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AA531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25 355 440,00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43BA5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27 402 468,00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55022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108,07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3CD7C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28 223 617,00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F2E60D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4685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29 277 600,00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97E63E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103,73</w:t>
            </w:r>
            <w:r w:rsidRPr="00A1066F">
              <w:rPr>
                <w:rFonts w:ascii="Calibri" w:eastAsia="Times New Roman" w:hAnsi="Calibri" w:cs="Calibri"/>
                <w:sz w:val="24"/>
                <w:szCs w:val="24"/>
                <w:lang w:eastAsia="sk-SK"/>
              </w:rPr>
              <w:t xml:space="preserve"> </w:t>
            </w:r>
          </w:p>
        </w:tc>
      </w:tr>
      <w:tr w:rsidR="00A1066F" w:rsidRPr="00A1066F" w14:paraId="74BAB5C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8D9EA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lastRenderedPageBreak/>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0CD86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D65F4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9 308 826,00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10FBC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10 357 741,00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B98FAB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111,27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D6C8B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10 719 431,00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8E01CC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103,49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BDE76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11 066 879,00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8620D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103,24</w:t>
            </w:r>
            <w:r w:rsidRPr="00A1066F">
              <w:rPr>
                <w:rFonts w:ascii="Calibri" w:eastAsia="Times New Roman" w:hAnsi="Calibri" w:cs="Calibri"/>
                <w:sz w:val="24"/>
                <w:szCs w:val="24"/>
                <w:lang w:eastAsia="sk-SK"/>
              </w:rPr>
              <w:t xml:space="preserve"> </w:t>
            </w:r>
          </w:p>
        </w:tc>
      </w:tr>
      <w:tr w:rsidR="00A1066F" w:rsidRPr="00A1066F" w14:paraId="7CC6DF5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9DC224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1BE43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20F1DC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9 775 859,00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F6F2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10 651 100,00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4C9A3D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108,95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69EDDF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10 606 264,00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7B5764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99,58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86D10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10 858 017,00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A0D56C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102,37</w:t>
            </w:r>
            <w:r w:rsidRPr="00A1066F">
              <w:rPr>
                <w:rFonts w:ascii="Calibri" w:eastAsia="Times New Roman" w:hAnsi="Calibri" w:cs="Calibri"/>
                <w:sz w:val="24"/>
                <w:szCs w:val="24"/>
                <w:lang w:eastAsia="sk-SK"/>
              </w:rPr>
              <w:t xml:space="preserve"> </w:t>
            </w:r>
          </w:p>
        </w:tc>
      </w:tr>
      <w:tr w:rsidR="00A1066F" w:rsidRPr="00A1066F" w14:paraId="08367AA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72FEA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9FEB7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1900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19 208 303,00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43B1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20 670 701,00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5EBF61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107,61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4DD82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21 514 452,00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D6A48B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104,08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74EB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22 389 381,00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D79797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104,07</w:t>
            </w:r>
            <w:r w:rsidRPr="00A1066F">
              <w:rPr>
                <w:rFonts w:ascii="Calibri" w:eastAsia="Times New Roman" w:hAnsi="Calibri" w:cs="Calibri"/>
                <w:sz w:val="24"/>
                <w:szCs w:val="24"/>
                <w:lang w:eastAsia="sk-SK"/>
              </w:rPr>
              <w:t xml:space="preserve"> </w:t>
            </w:r>
          </w:p>
        </w:tc>
      </w:tr>
    </w:tbl>
    <w:p w14:paraId="2D0CA5D3"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22"/>
        <w:gridCol w:w="1950"/>
        <w:gridCol w:w="1879"/>
        <w:gridCol w:w="1842"/>
        <w:gridCol w:w="1857"/>
      </w:tblGrid>
      <w:tr w:rsidR="00A1066F" w:rsidRPr="00A1066F" w14:paraId="4BCBF032" w14:textId="77777777" w:rsidTr="007D7B99">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424FD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6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FEC4A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Odbor školstva, mládeže a športu</w:t>
            </w:r>
          </w:p>
        </w:tc>
      </w:tr>
      <w:tr w:rsidR="00A1066F" w:rsidRPr="00A1066F" w14:paraId="3E56C4A7" w14:textId="77777777" w:rsidTr="007D7B99">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CA95B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6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DE685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Zabezpečiť odborný výchovno-vzdelávací proces </w:t>
            </w:r>
          </w:p>
        </w:tc>
      </w:tr>
      <w:tr w:rsidR="00A1066F" w:rsidRPr="00A1066F" w14:paraId="7C846DCE" w14:textId="77777777" w:rsidTr="007D7B99">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C300B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6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FFB30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xml:space="preserve">Počet škôl spolu </w:t>
            </w:r>
          </w:p>
        </w:tc>
      </w:tr>
      <w:tr w:rsidR="00A1066F" w:rsidRPr="00A1066F" w14:paraId="05B9AFC3" w14:textId="77777777" w:rsidTr="007D7B99">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757C9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2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3A416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9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EC6A2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B0600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61104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378B7A1" w14:textId="77777777" w:rsidTr="007D7B99">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98820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2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C0937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41</w:t>
            </w:r>
          </w:p>
        </w:tc>
        <w:tc>
          <w:tcPr>
            <w:tcW w:w="89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E5348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1D47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4C201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37</w:t>
            </w:r>
          </w:p>
        </w:tc>
      </w:tr>
      <w:tr w:rsidR="00A1066F" w:rsidRPr="00A1066F" w14:paraId="19BFDC51" w14:textId="77777777" w:rsidTr="007D7B99">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294CB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68"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70FDA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xml:space="preserve">Počet žiakov spolu </w:t>
            </w:r>
          </w:p>
        </w:tc>
      </w:tr>
      <w:tr w:rsidR="00A1066F" w:rsidRPr="00A1066F" w14:paraId="7929BCC8" w14:textId="77777777" w:rsidTr="007D7B99">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73D16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2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36908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9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525E0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EE497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8493E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7D7B99" w:rsidRPr="00A1066F" w14:paraId="01DB2245" w14:textId="77777777" w:rsidTr="007D7B99">
        <w:trPr>
          <w:tblCellSpacing w:w="15" w:type="dxa"/>
        </w:trPr>
        <w:tc>
          <w:tcPr>
            <w:tcW w:w="13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3C3EA4" w14:textId="77777777" w:rsidR="007D7B99" w:rsidRPr="00A1066F" w:rsidRDefault="007D7B99" w:rsidP="007D7B99">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2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3BF3DF" w14:textId="30738837" w:rsidR="007D7B99" w:rsidRPr="00A1066F" w:rsidRDefault="007D7B99" w:rsidP="007D7B99">
            <w:pPr>
              <w:spacing w:after="0" w:line="240" w:lineRule="auto"/>
              <w:jc w:val="center"/>
              <w:rPr>
                <w:rFonts w:ascii="Calibri" w:eastAsia="Times New Roman" w:hAnsi="Calibri" w:cs="Calibri"/>
                <w:sz w:val="24"/>
                <w:szCs w:val="24"/>
                <w:lang w:eastAsia="sk-SK"/>
              </w:rPr>
            </w:pPr>
            <w:r w:rsidRPr="0017537C">
              <w:rPr>
                <w:rFonts w:ascii="Calibri" w:hAnsi="Calibri" w:cs="Calibri"/>
              </w:rPr>
              <w:t> 15 017</w:t>
            </w:r>
          </w:p>
        </w:tc>
        <w:tc>
          <w:tcPr>
            <w:tcW w:w="89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0760C5" w14:textId="61E766C0" w:rsidR="007D7B99" w:rsidRPr="00A1066F" w:rsidRDefault="007D7B99" w:rsidP="007D7B99">
            <w:pPr>
              <w:spacing w:after="0" w:line="240" w:lineRule="auto"/>
              <w:jc w:val="center"/>
              <w:rPr>
                <w:rFonts w:ascii="Calibri" w:eastAsia="Times New Roman" w:hAnsi="Calibri" w:cs="Calibri"/>
                <w:sz w:val="24"/>
                <w:szCs w:val="24"/>
                <w:lang w:eastAsia="sk-SK"/>
              </w:rPr>
            </w:pPr>
            <w:r w:rsidRPr="0017537C">
              <w:rPr>
                <w:rFonts w:ascii="Calibri" w:hAnsi="Calibri" w:cs="Calibri"/>
                <w:b/>
                <w:bCs/>
              </w:rPr>
              <w:t> 15 3</w:t>
            </w:r>
            <w:r>
              <w:rPr>
                <w:rFonts w:ascii="Calibri" w:hAnsi="Calibri" w:cs="Calibri"/>
                <w:b/>
                <w:bCs/>
              </w:rPr>
              <w:t>92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18263A" w14:textId="7AA1D46E" w:rsidR="007D7B99" w:rsidRPr="00A1066F" w:rsidRDefault="007D7B99" w:rsidP="007D7B99">
            <w:pPr>
              <w:spacing w:after="0" w:line="240" w:lineRule="auto"/>
              <w:jc w:val="center"/>
              <w:rPr>
                <w:rFonts w:ascii="Calibri" w:eastAsia="Times New Roman" w:hAnsi="Calibri" w:cs="Calibri"/>
                <w:sz w:val="24"/>
                <w:szCs w:val="24"/>
                <w:lang w:eastAsia="sk-SK"/>
              </w:rPr>
            </w:pPr>
            <w:r w:rsidRPr="0017537C">
              <w:rPr>
                <w:rFonts w:ascii="Calibri" w:hAnsi="Calibri" w:cs="Calibri"/>
              </w:rPr>
              <w:t> 15 3</w:t>
            </w:r>
            <w:r>
              <w:rPr>
                <w:rFonts w:ascii="Calibri" w:hAnsi="Calibri" w:cs="Calibri"/>
              </w:rPr>
              <w:t>92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7F75E8" w14:textId="45120E01" w:rsidR="007D7B99" w:rsidRPr="00A1066F" w:rsidRDefault="007D7B99" w:rsidP="007D7B99">
            <w:pPr>
              <w:spacing w:after="0" w:line="240" w:lineRule="auto"/>
              <w:jc w:val="center"/>
              <w:rPr>
                <w:rFonts w:ascii="Calibri" w:eastAsia="Times New Roman" w:hAnsi="Calibri" w:cs="Calibri"/>
                <w:sz w:val="24"/>
                <w:szCs w:val="24"/>
                <w:lang w:eastAsia="sk-SK"/>
              </w:rPr>
            </w:pPr>
            <w:r w:rsidRPr="0017537C">
              <w:rPr>
                <w:rFonts w:ascii="Calibri" w:hAnsi="Calibri" w:cs="Calibri"/>
              </w:rPr>
              <w:t> 15 3</w:t>
            </w:r>
            <w:r>
              <w:rPr>
                <w:rFonts w:ascii="Calibri" w:hAnsi="Calibri" w:cs="Calibri"/>
              </w:rPr>
              <w:t>92</w:t>
            </w:r>
          </w:p>
        </w:tc>
      </w:tr>
    </w:tbl>
    <w:p w14:paraId="4EBE7480"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Financovanie v podprograme Odborné vzdelávanie je určené platnou legislatívou pre financovanie stredného školstva. Tento podprogram obsahuje návrh rozpočtu pre 29 stredných odborných škôl, 2 konzervatóriá a 6 spojených škôl, z toho 1 strednú športovú školu, ktorá je organizačnou zložkou spojenej školy. Plánované hodnoty počtu žiakov stredných odborných škôl vychádzajú z požiadaviek trhu práce, napríklad automobilového, stavebného, chemického a strojárskeho priemyslu. Merateľným ukazovateľom pri prvkoch tohto podprogramu je počet žiakov, ktorý sa upravuje podľa skutočnosti uvedenej v štatistickom výkaze o strednej škole - </w:t>
      </w:r>
      <w:proofErr w:type="spellStart"/>
      <w:r w:rsidRPr="00A1066F">
        <w:rPr>
          <w:rFonts w:ascii="Calibri" w:eastAsia="Times New Roman" w:hAnsi="Calibri" w:cs="Calibri"/>
          <w:sz w:val="24"/>
          <w:szCs w:val="24"/>
          <w:lang w:eastAsia="sk-SK"/>
        </w:rPr>
        <w:t>Škol</w:t>
      </w:r>
      <w:proofErr w:type="spellEnd"/>
      <w:r w:rsidRPr="00A1066F">
        <w:rPr>
          <w:rFonts w:ascii="Calibri" w:eastAsia="Times New Roman" w:hAnsi="Calibri" w:cs="Calibri"/>
          <w:sz w:val="24"/>
          <w:szCs w:val="24"/>
          <w:lang w:eastAsia="sk-SK"/>
        </w:rPr>
        <w:t xml:space="preserve"> 2-01 k 15. septembru nového školského roka.</w:t>
      </w:r>
    </w:p>
    <w:p w14:paraId="7B883E9F"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8.3.1: SPŠ strojnícka, </w:t>
      </w:r>
      <w:proofErr w:type="spellStart"/>
      <w:r w:rsidRPr="00A1066F">
        <w:rPr>
          <w:rFonts w:ascii="Calibri" w:eastAsia="Times New Roman" w:hAnsi="Calibri" w:cs="Calibri"/>
          <w:b/>
          <w:bCs/>
          <w:color w:val="0000FF"/>
          <w:sz w:val="24"/>
          <w:szCs w:val="24"/>
          <w:lang w:eastAsia="sk-SK"/>
        </w:rPr>
        <w:t>Fajnorovo</w:t>
      </w:r>
      <w:proofErr w:type="spellEnd"/>
      <w:r w:rsidRPr="00A1066F">
        <w:rPr>
          <w:rFonts w:ascii="Calibri" w:eastAsia="Times New Roman" w:hAnsi="Calibri" w:cs="Calibri"/>
          <w:b/>
          <w:bCs/>
          <w:color w:val="0000FF"/>
          <w:sz w:val="24"/>
          <w:szCs w:val="24"/>
          <w:lang w:eastAsia="sk-SK"/>
        </w:rPr>
        <w:t xml:space="preserve"> nábrežie 5,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42F3FDE0"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D74EB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262D3DC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5F5F1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6CF60E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CC5413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663461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842D2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EC6153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2931E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6C50F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16B231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46FC570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A71B9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DB0B3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4AD5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1 264 771,00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E53F3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1 589 365,00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B6F7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125,66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4E212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1 672 665,00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59FA2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105,24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DDA9A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1 815 765,00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C2CB4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108,56</w:t>
            </w:r>
            <w:r w:rsidRPr="00A1066F">
              <w:rPr>
                <w:rFonts w:ascii="Calibri" w:eastAsia="Times New Roman" w:hAnsi="Calibri" w:cs="Calibri"/>
                <w:sz w:val="24"/>
                <w:szCs w:val="24"/>
                <w:lang w:eastAsia="sk-SK"/>
              </w:rPr>
              <w:t xml:space="preserve"> </w:t>
            </w:r>
          </w:p>
        </w:tc>
      </w:tr>
      <w:tr w:rsidR="00A1066F" w:rsidRPr="00A1066F" w14:paraId="7AADA47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A470C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87611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8A40D7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1 264 771,00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A64A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1 589 365,00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7F45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125,66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9FBAC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1 672 665,00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CE78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105,24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EA31C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1 815 765,00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83CF1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108,56</w:t>
            </w:r>
            <w:r w:rsidRPr="00A1066F">
              <w:rPr>
                <w:rFonts w:ascii="Calibri" w:eastAsia="Times New Roman" w:hAnsi="Calibri" w:cs="Calibri"/>
                <w:sz w:val="24"/>
                <w:szCs w:val="24"/>
                <w:lang w:eastAsia="sk-SK"/>
              </w:rPr>
              <w:t xml:space="preserve"> </w:t>
            </w:r>
          </w:p>
        </w:tc>
      </w:tr>
      <w:tr w:rsidR="00A1066F" w:rsidRPr="00A1066F" w14:paraId="4FEE6B4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8B38A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094D2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9E301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711 264,00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B4EEA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932 000,00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C33C7F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131,03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8C40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993 000,00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4A1B6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106,55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F29A7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1 105 000,00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81D1D0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111,28</w:t>
            </w:r>
            <w:r w:rsidRPr="00A1066F">
              <w:rPr>
                <w:rFonts w:ascii="Calibri" w:eastAsia="Times New Roman" w:hAnsi="Calibri" w:cs="Calibri"/>
                <w:sz w:val="24"/>
                <w:szCs w:val="24"/>
                <w:lang w:eastAsia="sk-SK"/>
              </w:rPr>
              <w:t xml:space="preserve"> </w:t>
            </w:r>
          </w:p>
        </w:tc>
      </w:tr>
      <w:tr w:rsidR="00A1066F" w:rsidRPr="00A1066F" w14:paraId="1B8E33C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97752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76A05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F188B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263 772,00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1691E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343 300,00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7E8E2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130,15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4530B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356 500,00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569F65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103,85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1CC4C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376 500,00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3B6816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105,61</w:t>
            </w:r>
            <w:r w:rsidRPr="00A1066F">
              <w:rPr>
                <w:rFonts w:ascii="Calibri" w:eastAsia="Times New Roman" w:hAnsi="Calibri" w:cs="Calibri"/>
                <w:sz w:val="24"/>
                <w:szCs w:val="24"/>
                <w:lang w:eastAsia="sk-SK"/>
              </w:rPr>
              <w:t xml:space="preserve"> </w:t>
            </w:r>
          </w:p>
        </w:tc>
      </w:tr>
      <w:tr w:rsidR="00A1066F" w:rsidRPr="00A1066F" w14:paraId="6BC98A0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965A62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A3CA8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9CBAB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287 185,00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B4B2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309 835,00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7311AD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107,89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E070D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318 935,00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A56D3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102,94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002BA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330 035,00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3AC807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103,48</w:t>
            </w:r>
            <w:r w:rsidRPr="00A1066F">
              <w:rPr>
                <w:rFonts w:ascii="Calibri" w:eastAsia="Times New Roman" w:hAnsi="Calibri" w:cs="Calibri"/>
                <w:sz w:val="24"/>
                <w:szCs w:val="24"/>
                <w:lang w:eastAsia="sk-SK"/>
              </w:rPr>
              <w:t xml:space="preserve"> </w:t>
            </w:r>
          </w:p>
        </w:tc>
      </w:tr>
      <w:tr w:rsidR="00A1066F" w:rsidRPr="00A1066F" w14:paraId="4005C4A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C13A3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E2F34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9B8D1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2 550,00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814C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4 230,00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A5B091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165,88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787C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4 230,00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64DA0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144D5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4 230,00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4E6A9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3856F61E"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799A84A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2CAB7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BC15B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6FC803C5"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E076F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40389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12A97DC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4593A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3D531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75FBDE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4A649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023BB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B9B8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DB178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232C1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9E76D98"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054CD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60B81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290</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83B6E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333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0CA6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60C80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333</w:t>
            </w:r>
          </w:p>
        </w:tc>
      </w:tr>
      <w:tr w:rsidR="00A1066F" w:rsidRPr="00A1066F" w14:paraId="1AB9DF8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64360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78EA1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08AE76C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C22AF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F6500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689BF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335B5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4517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29A94A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0F745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EE91A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290</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56BD6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333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AC536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08B1D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333</w:t>
            </w:r>
          </w:p>
        </w:tc>
      </w:tr>
    </w:tbl>
    <w:p w14:paraId="2F4518C4"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Zameranie študijných odborov je na strojárske odbory a špeciálne technické odbory. Škola má iba dennú formu štúdia. Od 1. 9. 2020 poskytuje aj 5-ročné bilingválne vzdelávanie v anglickom jazyku.</w:t>
      </w:r>
    </w:p>
    <w:p w14:paraId="3B0C8951" w14:textId="77777777" w:rsidR="00B3768A" w:rsidRDefault="00B3768A" w:rsidP="00A1066F">
      <w:pPr>
        <w:spacing w:before="100" w:beforeAutospacing="1" w:after="100" w:afterAutospacing="1" w:line="240" w:lineRule="auto"/>
        <w:outlineLvl w:val="3"/>
        <w:rPr>
          <w:rFonts w:ascii="Calibri" w:eastAsia="Times New Roman" w:hAnsi="Calibri" w:cs="Calibri"/>
          <w:b/>
          <w:bCs/>
          <w:color w:val="0000FF"/>
          <w:sz w:val="24"/>
          <w:szCs w:val="24"/>
          <w:lang w:eastAsia="sk-SK"/>
        </w:rPr>
      </w:pPr>
    </w:p>
    <w:p w14:paraId="08D3F23F" w14:textId="5BE6A9CA" w:rsidR="00A1066F" w:rsidRPr="00A1066F" w:rsidRDefault="00A1066F" w:rsidP="00013FA4">
      <w:pPr>
        <w:spacing w:before="100" w:beforeAutospacing="1" w:after="120"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lastRenderedPageBreak/>
        <w:t>Prvok 8.3.2: SPŠ elektrotechnická, Zochova 9,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2FCD8BC3"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601029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0945634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B778C0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44FB9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745EC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C6464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7690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9A4516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FD30DE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EC8D63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CFF06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22B0C82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FE4A7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7AE55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0BCD9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2 005 362,00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F5B0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2 245 259,00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85103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111,96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CBC2A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2 410 006,00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F7751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107,34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5470F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2 650 523,00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7F6E2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109,98</w:t>
            </w:r>
            <w:r w:rsidRPr="00A1066F">
              <w:rPr>
                <w:rFonts w:ascii="Calibri" w:eastAsia="Times New Roman" w:hAnsi="Calibri" w:cs="Calibri"/>
                <w:sz w:val="24"/>
                <w:szCs w:val="24"/>
                <w:lang w:eastAsia="sk-SK"/>
              </w:rPr>
              <w:t xml:space="preserve"> </w:t>
            </w:r>
          </w:p>
        </w:tc>
      </w:tr>
      <w:tr w:rsidR="00A1066F" w:rsidRPr="00A1066F" w14:paraId="7B8A3B8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FA28D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FCFF2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D4F5D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2 005 362,00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E863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2 245 259,00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438B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111,96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440B6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2 410 006,00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7711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107,34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D962E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2 650 523,00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B4F7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109,98</w:t>
            </w:r>
            <w:r w:rsidRPr="00A1066F">
              <w:rPr>
                <w:rFonts w:ascii="Calibri" w:eastAsia="Times New Roman" w:hAnsi="Calibri" w:cs="Calibri"/>
                <w:sz w:val="24"/>
                <w:szCs w:val="24"/>
                <w:lang w:eastAsia="sk-SK"/>
              </w:rPr>
              <w:t xml:space="preserve"> </w:t>
            </w:r>
          </w:p>
        </w:tc>
      </w:tr>
      <w:tr w:rsidR="00A1066F" w:rsidRPr="00A1066F" w14:paraId="296E1CD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119CF2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2CFEC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73722E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1 189 440,00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9432B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1 232 181,00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0E0D69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103,59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95C38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1 355 398,00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87B46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53F2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1 490 939,00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B78EEC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r>
      <w:tr w:rsidR="00A1066F" w:rsidRPr="00A1066F" w14:paraId="2532335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55534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6979B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6FBCB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415 710,00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2A7D98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559 269,00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C4FEA9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134,53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E7ED6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615 196,00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C8ADE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93727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676 715,00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19BE87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r>
      <w:tr w:rsidR="00A1066F" w:rsidRPr="00A1066F" w14:paraId="0201831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E7573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0A641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0AF01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395 119,00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EBA71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422 509,00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F75098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106,93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FB250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426 982,00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8C97FF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101,06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3E5C6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469 196,00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46BAE1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109,89</w:t>
            </w:r>
            <w:r w:rsidRPr="00A1066F">
              <w:rPr>
                <w:rFonts w:ascii="Calibri" w:eastAsia="Times New Roman" w:hAnsi="Calibri" w:cs="Calibri"/>
                <w:sz w:val="24"/>
                <w:szCs w:val="24"/>
                <w:lang w:eastAsia="sk-SK"/>
              </w:rPr>
              <w:t xml:space="preserve"> </w:t>
            </w:r>
          </w:p>
        </w:tc>
      </w:tr>
      <w:tr w:rsidR="00A1066F" w:rsidRPr="00A1066F" w14:paraId="3AC88CB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0DE23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AB426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202B2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5 093,00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249C6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790494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614,57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558BF7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12 430,00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8B58C9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39,71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E0948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13 673,00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DAF57D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r>
    </w:tbl>
    <w:p w14:paraId="3ACA631A"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6FCB71BE"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48BF8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E7704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135FC16E"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D7676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A7C5E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4A00B65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8C474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96DF4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73AB66C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609BC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45B9A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F0F02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39B48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CF66E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0318FC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940A9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65F76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567</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D1E48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38869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8FA17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546</w:t>
            </w:r>
          </w:p>
        </w:tc>
      </w:tr>
      <w:tr w:rsidR="00A1066F" w:rsidRPr="00A1066F" w14:paraId="3496A0F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654DF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6D991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340A61C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AA9BA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22CAD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CC33C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EC4B4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112D7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35F272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55486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C7C46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567</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C7731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97565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D7C2F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546</w:t>
            </w:r>
          </w:p>
        </w:tc>
      </w:tr>
    </w:tbl>
    <w:p w14:paraId="346E6155"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elektrotechniku a počítačové systémy. Škola má dennú formu štúdia a poskytuje aj vyššie odborné vzdelanie. </w:t>
      </w:r>
    </w:p>
    <w:p w14:paraId="0998C303" w14:textId="77777777" w:rsidR="00A1066F" w:rsidRPr="00A1066F" w:rsidRDefault="00A1066F" w:rsidP="00013FA4">
      <w:pPr>
        <w:spacing w:before="100" w:beforeAutospacing="1" w:after="120"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8.3.3: SPŠ elektrotechnická, K. Adlera 5,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9"/>
        <w:gridCol w:w="1448"/>
        <w:gridCol w:w="647"/>
        <w:gridCol w:w="1448"/>
        <w:gridCol w:w="664"/>
      </w:tblGrid>
      <w:tr w:rsidR="00A1066F" w:rsidRPr="00A1066F" w14:paraId="321362BA"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7E085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11CEA1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CBF40F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02C94A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4ECE3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F49D2C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27B1A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3D6FE3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9E3D78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4CF40E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FAFF3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2AB3F7E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4C844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7AE25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4B1CC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1 815 446,00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9C802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2 113 050,00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EC002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116,39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CE985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2 112 600,00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6B5E04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99,98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69261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2 351 450,00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E74E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111,31</w:t>
            </w:r>
            <w:r w:rsidRPr="00A1066F">
              <w:rPr>
                <w:rFonts w:ascii="Calibri" w:eastAsia="Times New Roman" w:hAnsi="Calibri" w:cs="Calibri"/>
                <w:sz w:val="24"/>
                <w:szCs w:val="24"/>
                <w:lang w:eastAsia="sk-SK"/>
              </w:rPr>
              <w:t xml:space="preserve"> </w:t>
            </w:r>
          </w:p>
        </w:tc>
      </w:tr>
      <w:tr w:rsidR="00A1066F" w:rsidRPr="00A1066F" w14:paraId="7560A84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39B71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31B39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C3EC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1 815 446,00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25942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2 113 050,00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640D9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116,39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6AE56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2 112 600,00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F0529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99,98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9CB2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2 351 450,00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706F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111,31</w:t>
            </w:r>
            <w:r w:rsidRPr="00A1066F">
              <w:rPr>
                <w:rFonts w:ascii="Calibri" w:eastAsia="Times New Roman" w:hAnsi="Calibri" w:cs="Calibri"/>
                <w:sz w:val="24"/>
                <w:szCs w:val="24"/>
                <w:lang w:eastAsia="sk-SK"/>
              </w:rPr>
              <w:t xml:space="preserve"> </w:t>
            </w:r>
          </w:p>
        </w:tc>
      </w:tr>
      <w:tr w:rsidR="00A1066F" w:rsidRPr="00A1066F" w14:paraId="54D61D6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2476F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F402F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21E05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1 056 562,00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A969E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1 208 000,00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D5101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114,33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7C041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1 156 000,00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5A4D9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95,70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0407C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1 327 000,00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5053BD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114,79</w:t>
            </w:r>
            <w:r w:rsidRPr="00A1066F">
              <w:rPr>
                <w:rFonts w:ascii="Calibri" w:eastAsia="Times New Roman" w:hAnsi="Calibri" w:cs="Calibri"/>
                <w:sz w:val="24"/>
                <w:szCs w:val="24"/>
                <w:lang w:eastAsia="sk-SK"/>
              </w:rPr>
              <w:t xml:space="preserve"> </w:t>
            </w:r>
          </w:p>
        </w:tc>
      </w:tr>
      <w:tr w:rsidR="00A1066F" w:rsidRPr="00A1066F" w14:paraId="1A18D8E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32878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87209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F9F7B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393 743,00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A08CB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448 000,00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A43C1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113,78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6A826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471 000,00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518D6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105,13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F1567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494 000,00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98FBB7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104,88</w:t>
            </w:r>
            <w:r w:rsidRPr="00A1066F">
              <w:rPr>
                <w:rFonts w:ascii="Calibri" w:eastAsia="Times New Roman" w:hAnsi="Calibri" w:cs="Calibri"/>
                <w:sz w:val="24"/>
                <w:szCs w:val="24"/>
                <w:lang w:eastAsia="sk-SK"/>
              </w:rPr>
              <w:t xml:space="preserve"> </w:t>
            </w:r>
          </w:p>
        </w:tc>
      </w:tr>
      <w:tr w:rsidR="00A1066F" w:rsidRPr="00A1066F" w14:paraId="47CFE63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468AD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49EB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DA3F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358 441,00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D0FE1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414 050,00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4B1900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115,51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F023A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440 600,00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995A5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106,41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0295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483 450,00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732ED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109,73</w:t>
            </w:r>
            <w:r w:rsidRPr="00A1066F">
              <w:rPr>
                <w:rFonts w:ascii="Calibri" w:eastAsia="Times New Roman" w:hAnsi="Calibri" w:cs="Calibri"/>
                <w:sz w:val="24"/>
                <w:szCs w:val="24"/>
                <w:lang w:eastAsia="sk-SK"/>
              </w:rPr>
              <w:t xml:space="preserve"> </w:t>
            </w:r>
          </w:p>
        </w:tc>
      </w:tr>
      <w:tr w:rsidR="00A1066F" w:rsidRPr="00A1066F" w14:paraId="76C5EDA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BF4AA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9EF85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AA63D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6 700,00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C441F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62255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641,79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269F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AB95DC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104,65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4F863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47 000,00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9DCCD8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104,44</w:t>
            </w:r>
            <w:r w:rsidRPr="00A1066F">
              <w:rPr>
                <w:rFonts w:ascii="Calibri" w:eastAsia="Times New Roman" w:hAnsi="Calibri" w:cs="Calibri"/>
                <w:sz w:val="24"/>
                <w:szCs w:val="24"/>
                <w:lang w:eastAsia="sk-SK"/>
              </w:rPr>
              <w:t xml:space="preserve"> </w:t>
            </w:r>
          </w:p>
        </w:tc>
      </w:tr>
    </w:tbl>
    <w:p w14:paraId="223A837F"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07E63BC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D36D9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1FF42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58753C8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9049B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69A89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60449B4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A1316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F06AF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4E9B389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062EA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380B5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18DB0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9893F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71F39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16DC7C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D76E1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A77C1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496</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5145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537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F22D9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537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CCC35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537</w:t>
            </w:r>
          </w:p>
        </w:tc>
      </w:tr>
      <w:tr w:rsidR="00A1066F" w:rsidRPr="00A1066F" w14:paraId="786B2F1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94FBF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93568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54DDCA4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F9779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6DC29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CEA9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39C4F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467AB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F91334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A5771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D72FE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479</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56B79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CE1F0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517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8A37F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517</w:t>
            </w:r>
          </w:p>
        </w:tc>
      </w:tr>
    </w:tbl>
    <w:p w14:paraId="00690802" w14:textId="77777777" w:rsidR="00A1066F" w:rsidRPr="00A1066F" w:rsidRDefault="00A1066F" w:rsidP="00013FA4">
      <w:pPr>
        <w:spacing w:before="120" w:after="120"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elektrotechniku a informačné a sieťové technológie v dennej forme štúdia a pomaturitné štúdium. Od 1. 9. 2020 poskytuje aj 5-ročné bilingválne vzdelávanie v anglickom jazyku. </w:t>
      </w:r>
    </w:p>
    <w:p w14:paraId="5864E6B4" w14:textId="77777777" w:rsidR="00A1066F" w:rsidRPr="00A1066F" w:rsidRDefault="00A1066F" w:rsidP="00013FA4">
      <w:pPr>
        <w:spacing w:after="120"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lastRenderedPageBreak/>
        <w:t xml:space="preserve">Prvok 8.3.4: SPŠ elektrotechnická, </w:t>
      </w:r>
      <w:proofErr w:type="spellStart"/>
      <w:r w:rsidRPr="00A1066F">
        <w:rPr>
          <w:rFonts w:ascii="Calibri" w:eastAsia="Times New Roman" w:hAnsi="Calibri" w:cs="Calibri"/>
          <w:b/>
          <w:bCs/>
          <w:color w:val="0000FF"/>
          <w:sz w:val="24"/>
          <w:szCs w:val="24"/>
          <w:lang w:eastAsia="sk-SK"/>
        </w:rPr>
        <w:t>Hálova</w:t>
      </w:r>
      <w:proofErr w:type="spellEnd"/>
      <w:r w:rsidRPr="00A1066F">
        <w:rPr>
          <w:rFonts w:ascii="Calibri" w:eastAsia="Times New Roman" w:hAnsi="Calibri" w:cs="Calibri"/>
          <w:b/>
          <w:bCs/>
          <w:color w:val="0000FF"/>
          <w:sz w:val="24"/>
          <w:szCs w:val="24"/>
          <w:lang w:eastAsia="sk-SK"/>
        </w:rPr>
        <w:t xml:space="preserve"> 16,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7"/>
        <w:gridCol w:w="1448"/>
        <w:gridCol w:w="649"/>
        <w:gridCol w:w="1448"/>
        <w:gridCol w:w="664"/>
      </w:tblGrid>
      <w:tr w:rsidR="00A1066F" w:rsidRPr="00A1066F" w14:paraId="61C90A46"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1F3672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08C997D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89C07B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4E164C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E40A0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86158F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9E5B2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1B270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BB5252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F5F8C2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8FC01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FA317B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D3BAC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B10E5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7F82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2 433 954,00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BF895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2 394 376,00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0420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98,37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71D8E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2 512 097,00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9B1E1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104,92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DD273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2 635 705,00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36A6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104,92</w:t>
            </w:r>
            <w:r w:rsidRPr="00A1066F">
              <w:rPr>
                <w:rFonts w:ascii="Calibri" w:eastAsia="Times New Roman" w:hAnsi="Calibri" w:cs="Calibri"/>
                <w:sz w:val="24"/>
                <w:szCs w:val="24"/>
                <w:lang w:eastAsia="sk-SK"/>
              </w:rPr>
              <w:t xml:space="preserve"> </w:t>
            </w:r>
          </w:p>
        </w:tc>
      </w:tr>
      <w:tr w:rsidR="00A1066F" w:rsidRPr="00A1066F" w14:paraId="6953F21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D1041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97E7D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A6D18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2 433 954,00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C092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2 394 376,00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5C84C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98,37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0330B9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2 512 097,00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4FE81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104,92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884E9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2 635 705,00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53CD21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104,92</w:t>
            </w:r>
            <w:r w:rsidRPr="00A1066F">
              <w:rPr>
                <w:rFonts w:ascii="Calibri" w:eastAsia="Times New Roman" w:hAnsi="Calibri" w:cs="Calibri"/>
                <w:sz w:val="24"/>
                <w:szCs w:val="24"/>
                <w:lang w:eastAsia="sk-SK"/>
              </w:rPr>
              <w:t xml:space="preserve"> </w:t>
            </w:r>
          </w:p>
        </w:tc>
      </w:tr>
      <w:tr w:rsidR="00A1066F" w:rsidRPr="00A1066F" w14:paraId="6250FC0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7BB48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C953C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EA067C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1 322 602,00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BA90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1 265 676,00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24413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95,70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8B27D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1 328 960,00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28A57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4853C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1 395 408,00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1C1C93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105,00</w:t>
            </w:r>
            <w:r w:rsidRPr="00A1066F">
              <w:rPr>
                <w:rFonts w:ascii="Calibri" w:eastAsia="Times New Roman" w:hAnsi="Calibri" w:cs="Calibri"/>
                <w:sz w:val="24"/>
                <w:szCs w:val="24"/>
                <w:lang w:eastAsia="sk-SK"/>
              </w:rPr>
              <w:t xml:space="preserve"> </w:t>
            </w:r>
          </w:p>
        </w:tc>
      </w:tr>
      <w:tr w:rsidR="00A1066F" w:rsidRPr="00A1066F" w14:paraId="5A657A8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E06E9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000BA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CBA2E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530 468,00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34D88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508 029,00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D63626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95,77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8C2B51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533 429,00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0AA7C6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72C8E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560 101,00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992A8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105,00</w:t>
            </w:r>
            <w:r w:rsidRPr="00A1066F">
              <w:rPr>
                <w:rFonts w:ascii="Calibri" w:eastAsia="Times New Roman" w:hAnsi="Calibri" w:cs="Calibri"/>
                <w:sz w:val="24"/>
                <w:szCs w:val="24"/>
                <w:lang w:eastAsia="sk-SK"/>
              </w:rPr>
              <w:t xml:space="preserve"> </w:t>
            </w:r>
          </w:p>
        </w:tc>
      </w:tr>
      <w:tr w:rsidR="00A1066F" w:rsidRPr="00A1066F" w14:paraId="0CE4039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21B89F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89275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9B727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478 210,00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7508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592 132,00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EE0F7E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123,82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93EE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619 743,00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1214A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104,66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40B7D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648 732,00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EDA044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104,68</w:t>
            </w:r>
            <w:r w:rsidRPr="00A1066F">
              <w:rPr>
                <w:rFonts w:ascii="Calibri" w:eastAsia="Times New Roman" w:hAnsi="Calibri" w:cs="Calibri"/>
                <w:sz w:val="24"/>
                <w:szCs w:val="24"/>
                <w:lang w:eastAsia="sk-SK"/>
              </w:rPr>
              <w:t xml:space="preserve"> </w:t>
            </w:r>
          </w:p>
        </w:tc>
      </w:tr>
      <w:tr w:rsidR="00A1066F" w:rsidRPr="00A1066F" w14:paraId="3EB6811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69CCC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E1FF3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0852F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102 674,00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63CF3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28 539,00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E10F9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27,80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38B8A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29 965,00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7114CB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B8E52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31 464,00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93C70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105,00</w:t>
            </w:r>
            <w:r w:rsidRPr="00A1066F">
              <w:rPr>
                <w:rFonts w:ascii="Calibri" w:eastAsia="Times New Roman" w:hAnsi="Calibri" w:cs="Calibri"/>
                <w:sz w:val="24"/>
                <w:szCs w:val="24"/>
                <w:lang w:eastAsia="sk-SK"/>
              </w:rPr>
              <w:t xml:space="preserve"> </w:t>
            </w:r>
          </w:p>
        </w:tc>
      </w:tr>
    </w:tbl>
    <w:p w14:paraId="7A839EE7"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47"/>
        <w:gridCol w:w="1786"/>
        <w:gridCol w:w="1801"/>
      </w:tblGrid>
      <w:tr w:rsidR="00A1066F" w:rsidRPr="00A1066F" w14:paraId="3C7527FE"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7409A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A3A17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4A0CB84D"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8C211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DEB68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0CC53E4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072D5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63A53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F55A355"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F36F8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0A754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2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42A3A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8C01B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2BE75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950EFA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67C15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71A13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541</w:t>
            </w:r>
          </w:p>
        </w:tc>
        <w:tc>
          <w:tcPr>
            <w:tcW w:w="92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43918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33B9B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69A0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524</w:t>
            </w:r>
          </w:p>
        </w:tc>
      </w:tr>
      <w:tr w:rsidR="00A1066F" w:rsidRPr="00A1066F" w14:paraId="0CBFF9BE"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05F3C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657ED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3918CA5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DC966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8310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2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15A28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0A051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72259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72AA7E5"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17B6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CFF44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541</w:t>
            </w:r>
          </w:p>
        </w:tc>
        <w:tc>
          <w:tcPr>
            <w:tcW w:w="92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DB7BD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522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2AF9D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522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BE936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522</w:t>
            </w:r>
          </w:p>
        </w:tc>
      </w:tr>
    </w:tbl>
    <w:p w14:paraId="1A77DA3B"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Zameranie študijných odborov je na elektrotechniku a informačné a sieťové technológie v dennej forme štúdia a v pomaturitnom štúdiu.</w:t>
      </w:r>
    </w:p>
    <w:p w14:paraId="02FBBB57" w14:textId="77777777" w:rsidR="00A1066F" w:rsidRPr="00A1066F" w:rsidRDefault="00A1066F" w:rsidP="00013FA4">
      <w:pPr>
        <w:spacing w:before="100" w:beforeAutospacing="1" w:after="120"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8.3.5: SPŠ dopravná, </w:t>
      </w:r>
      <w:proofErr w:type="spellStart"/>
      <w:r w:rsidRPr="00A1066F">
        <w:rPr>
          <w:rFonts w:ascii="Calibri" w:eastAsia="Times New Roman" w:hAnsi="Calibri" w:cs="Calibri"/>
          <w:b/>
          <w:bCs/>
          <w:color w:val="0000FF"/>
          <w:sz w:val="24"/>
          <w:szCs w:val="24"/>
          <w:lang w:eastAsia="sk-SK"/>
        </w:rPr>
        <w:t>Kvačalova</w:t>
      </w:r>
      <w:proofErr w:type="spellEnd"/>
      <w:r w:rsidRPr="00A1066F">
        <w:rPr>
          <w:rFonts w:ascii="Calibri" w:eastAsia="Times New Roman" w:hAnsi="Calibri" w:cs="Calibri"/>
          <w:b/>
          <w:bCs/>
          <w:color w:val="0000FF"/>
          <w:sz w:val="24"/>
          <w:szCs w:val="24"/>
          <w:lang w:eastAsia="sk-SK"/>
        </w:rPr>
        <w:t xml:space="preserve"> 20,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7B04351C"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E4EAB0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5800174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B7676E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BC159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C9633E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52E9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CDAB4B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538C6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3EF11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EB2C6F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B877E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0B7F688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68AE37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44A3F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5432B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1 312 055,00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2AA8D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1 510 753,00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9B29F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115,14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A528D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1 510 753,00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71BB61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25540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1 510 753,00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14F81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77FB35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D8A28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E11A4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BAA0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1 312 055,00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BED96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1 510 753,00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A7605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115,14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27E99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1 510 753,00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38DC4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066B5B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1 510 753,00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56943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23BC4D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0F78B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966D6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EFE4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772 927,00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184C1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794 276,00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72C61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102,76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A566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794 276,00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058731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450CD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794 276,00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00B07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C6C6F8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FA8F4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5721F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5BE906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243 042,00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B624B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309 301,00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8AC73C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127,26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E167B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309 301,00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4549E9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54C8C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309 301,00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8A7E79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89782A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FEBE6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DAFF5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8152A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296 086,00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4C285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406 676,00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5B50F8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137,35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21EA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406 676,00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63BEFE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7080E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406 676,00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B0D4ED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C756F4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7BF8A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FE795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282605D"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B7B47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893FE0C"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85D5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961F92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9F26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AA163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003A6963"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171035BE"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E99AB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E1F8B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6AC8DA2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EA6DA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7D58E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039F9A1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65FF8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07E31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3C1A8DA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E60DD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ADBA2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CB389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46762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2FC80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814DE0D"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B97EA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3CF34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301</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4EF6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331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4D3CD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252BF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331</w:t>
            </w:r>
          </w:p>
        </w:tc>
      </w:tr>
      <w:tr w:rsidR="00A1066F" w:rsidRPr="00A1066F" w14:paraId="270F524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97767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A8494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0C6ED242"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D342F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BC857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585B7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B9407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EBE2F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CB24B9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84EE3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B29AD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301</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EA865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331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31855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D50F2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331</w:t>
            </w:r>
          </w:p>
        </w:tc>
      </w:tr>
    </w:tbl>
    <w:p w14:paraId="3F09C6B4"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dopravu, ekonomiku, techniku a prevádzku dopravy. Forma štúdia je denná. </w:t>
      </w:r>
    </w:p>
    <w:p w14:paraId="7518B6BD"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lastRenderedPageBreak/>
        <w:t>Prvok 8.3.6: SPŠ stavebná a geodetická, Drieňová 35,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106FEAA9"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027583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08D1AAE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089FD1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8BFD8F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2F4362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DCD701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5330D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B84E72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4A43DC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BE2ABC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1E4926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2BBBD6C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97055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B499C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7BF9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1 335 330,00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14032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1 391 830,00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CAB3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104,23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564E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1 408 780,00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12873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101,22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8DA536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1 432 780,00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BD503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101,70</w:t>
            </w:r>
            <w:r w:rsidRPr="00A1066F">
              <w:rPr>
                <w:rFonts w:ascii="Calibri" w:eastAsia="Times New Roman" w:hAnsi="Calibri" w:cs="Calibri"/>
                <w:sz w:val="24"/>
                <w:szCs w:val="24"/>
                <w:lang w:eastAsia="sk-SK"/>
              </w:rPr>
              <w:t xml:space="preserve"> </w:t>
            </w:r>
          </w:p>
        </w:tc>
      </w:tr>
      <w:tr w:rsidR="00A1066F" w:rsidRPr="00A1066F" w14:paraId="3E508B7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2B66F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1AB17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169C2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1 335 330,00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71B5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1 391 830,00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592CD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104,23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199E4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1 408 780,00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DACF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101,22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C4ED8C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1 432 780,00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7DFC33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101,70</w:t>
            </w:r>
            <w:r w:rsidRPr="00A1066F">
              <w:rPr>
                <w:rFonts w:ascii="Calibri" w:eastAsia="Times New Roman" w:hAnsi="Calibri" w:cs="Calibri"/>
                <w:sz w:val="24"/>
                <w:szCs w:val="24"/>
                <w:lang w:eastAsia="sk-SK"/>
              </w:rPr>
              <w:t xml:space="preserve"> </w:t>
            </w:r>
          </w:p>
        </w:tc>
      </w:tr>
      <w:tr w:rsidR="00A1066F" w:rsidRPr="00A1066F" w14:paraId="1D3F8ED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032B7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A69EB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2488D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809 330,00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A23AD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781 000,00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0B8B77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96,50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63AD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781 000,00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014E29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45DE9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781 500,00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F7882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100,06</w:t>
            </w:r>
            <w:r w:rsidRPr="00A1066F">
              <w:rPr>
                <w:rFonts w:ascii="Calibri" w:eastAsia="Times New Roman" w:hAnsi="Calibri" w:cs="Calibri"/>
                <w:sz w:val="24"/>
                <w:szCs w:val="24"/>
                <w:lang w:eastAsia="sk-SK"/>
              </w:rPr>
              <w:t xml:space="preserve"> </w:t>
            </w:r>
          </w:p>
        </w:tc>
      </w:tr>
      <w:tr w:rsidR="00A1066F" w:rsidRPr="00A1066F" w14:paraId="7B879B9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571B0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B3D3D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D3078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273 900,00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D545E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291 500,00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9E8542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106,43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F28D0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297 550,00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4192C5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102,08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C70D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299 550,00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36D19E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100,67</w:t>
            </w:r>
            <w:r w:rsidRPr="00A1066F">
              <w:rPr>
                <w:rFonts w:ascii="Calibri" w:eastAsia="Times New Roman" w:hAnsi="Calibri" w:cs="Calibri"/>
                <w:sz w:val="24"/>
                <w:szCs w:val="24"/>
                <w:lang w:eastAsia="sk-SK"/>
              </w:rPr>
              <w:t xml:space="preserve"> </w:t>
            </w:r>
          </w:p>
        </w:tc>
      </w:tr>
      <w:tr w:rsidR="00A1066F" w:rsidRPr="00A1066F" w14:paraId="3AE883E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68E68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61318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EB6938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247 100,00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D46DA4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314 330,00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2313B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127,21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D0D98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325 230,00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836F68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103,47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9B652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346 730,00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783EB5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106,61</w:t>
            </w:r>
            <w:r w:rsidRPr="00A1066F">
              <w:rPr>
                <w:rFonts w:ascii="Calibri" w:eastAsia="Times New Roman" w:hAnsi="Calibri" w:cs="Calibri"/>
                <w:sz w:val="24"/>
                <w:szCs w:val="24"/>
                <w:lang w:eastAsia="sk-SK"/>
              </w:rPr>
              <w:t xml:space="preserve"> </w:t>
            </w:r>
          </w:p>
        </w:tc>
      </w:tr>
      <w:tr w:rsidR="00A1066F" w:rsidRPr="00A1066F" w14:paraId="387ACF3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1A300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B266D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1F690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0DB44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FC99CC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902C6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A03448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69C1B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6398A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5A6C2966"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967"/>
        <w:gridCol w:w="1838"/>
        <w:gridCol w:w="1772"/>
        <w:gridCol w:w="1787"/>
      </w:tblGrid>
      <w:tr w:rsidR="00A1066F" w:rsidRPr="00A1066F" w14:paraId="78E1074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7D25A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19DA8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04952E6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E0C29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9559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14F1DDA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20E90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9958D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3D5D0598"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D1870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35908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F5557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DD983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246C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2BAC518"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AC76B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52B31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ADD2E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385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7F9A7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385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559ED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385</w:t>
            </w:r>
          </w:p>
        </w:tc>
      </w:tr>
      <w:tr w:rsidR="00A1066F" w:rsidRPr="00A1066F" w14:paraId="6D71CF78"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27E54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940AD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dennej formy</w:t>
            </w:r>
          </w:p>
        </w:tc>
      </w:tr>
      <w:tr w:rsidR="00A1066F" w:rsidRPr="00A1066F" w14:paraId="390F716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31334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89921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B6985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FFBB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D4215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1D62E7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7E46C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6CEE6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358</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03615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385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B9A0E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385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5F233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385</w:t>
            </w:r>
          </w:p>
        </w:tc>
      </w:tr>
    </w:tbl>
    <w:p w14:paraId="60C1B4B7"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školy je na staviteľstvo a technické a informatické služby v stavebníctve, geodéziu, kartografiu a kataster. Forma štúdia je denná a pomaturitná. </w:t>
      </w:r>
    </w:p>
    <w:p w14:paraId="023ECBBE"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8.3.8: SOŠ dopravná, </w:t>
      </w:r>
      <w:proofErr w:type="spellStart"/>
      <w:r w:rsidRPr="00A1066F">
        <w:rPr>
          <w:rFonts w:ascii="Calibri" w:eastAsia="Times New Roman" w:hAnsi="Calibri" w:cs="Calibri"/>
          <w:b/>
          <w:bCs/>
          <w:color w:val="0000FF"/>
          <w:sz w:val="24"/>
          <w:szCs w:val="24"/>
          <w:lang w:eastAsia="sk-SK"/>
        </w:rPr>
        <w:t>Kvačalova</w:t>
      </w:r>
      <w:proofErr w:type="spellEnd"/>
      <w:r w:rsidRPr="00A1066F">
        <w:rPr>
          <w:rFonts w:ascii="Calibri" w:eastAsia="Times New Roman" w:hAnsi="Calibri" w:cs="Calibri"/>
          <w:b/>
          <w:bCs/>
          <w:color w:val="0000FF"/>
          <w:sz w:val="24"/>
          <w:szCs w:val="24"/>
          <w:lang w:eastAsia="sk-SK"/>
        </w:rPr>
        <w:t xml:space="preserve"> 20,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28A14C7F"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1AE3C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D5EA0F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0070A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EEE088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CC967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5993D6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D4FE4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02B67D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C3BADF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88D0D0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638D5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1B50D3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50E19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EB45D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E3C0E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1 902 790,00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6BDEF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2 127 500,00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55986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111,81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C465C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2 168 700,00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80A21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101,94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D7F5E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2 199 400,00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801375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101,42</w:t>
            </w:r>
            <w:r w:rsidRPr="00A1066F">
              <w:rPr>
                <w:rFonts w:ascii="Calibri" w:eastAsia="Times New Roman" w:hAnsi="Calibri" w:cs="Calibri"/>
                <w:sz w:val="24"/>
                <w:szCs w:val="24"/>
                <w:lang w:eastAsia="sk-SK"/>
              </w:rPr>
              <w:t xml:space="preserve"> </w:t>
            </w:r>
          </w:p>
        </w:tc>
      </w:tr>
      <w:tr w:rsidR="00A1066F" w:rsidRPr="00A1066F" w14:paraId="0A61154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C83C6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C17A2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78225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1 902 790,00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CABE0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2 127 500,00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E8C92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111,81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7A3A2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2 168 700,00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14F7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101,94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5A73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2 199 400,00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200B6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101,42</w:t>
            </w:r>
            <w:r w:rsidRPr="00A1066F">
              <w:rPr>
                <w:rFonts w:ascii="Calibri" w:eastAsia="Times New Roman" w:hAnsi="Calibri" w:cs="Calibri"/>
                <w:sz w:val="24"/>
                <w:szCs w:val="24"/>
                <w:lang w:eastAsia="sk-SK"/>
              </w:rPr>
              <w:t xml:space="preserve"> </w:t>
            </w:r>
          </w:p>
        </w:tc>
      </w:tr>
      <w:tr w:rsidR="00A1066F" w:rsidRPr="00A1066F" w14:paraId="2899D8F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7A0F7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B158A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A2A6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1 050 000,00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CD1BC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1 133 000,00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9B08E6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107,90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547DF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1 163 000,00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570E6B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102,65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750A61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1 185 000,00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C01B56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101,89</w:t>
            </w:r>
            <w:r w:rsidRPr="00A1066F">
              <w:rPr>
                <w:rFonts w:ascii="Calibri" w:eastAsia="Times New Roman" w:hAnsi="Calibri" w:cs="Calibri"/>
                <w:sz w:val="24"/>
                <w:szCs w:val="24"/>
                <w:lang w:eastAsia="sk-SK"/>
              </w:rPr>
              <w:t xml:space="preserve"> </w:t>
            </w:r>
          </w:p>
        </w:tc>
      </w:tr>
      <w:tr w:rsidR="00A1066F" w:rsidRPr="00A1066F" w14:paraId="07B965D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2612D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AD8D0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085E5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397 790,00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1757A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456 500,00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789FEF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114,76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0792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466 700,00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19909A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102,23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14842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474 400,00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91E3A9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101,65</w:t>
            </w:r>
            <w:r w:rsidRPr="00A1066F">
              <w:rPr>
                <w:rFonts w:ascii="Calibri" w:eastAsia="Times New Roman" w:hAnsi="Calibri" w:cs="Calibri"/>
                <w:sz w:val="24"/>
                <w:szCs w:val="24"/>
                <w:lang w:eastAsia="sk-SK"/>
              </w:rPr>
              <w:t xml:space="preserve"> </w:t>
            </w:r>
          </w:p>
        </w:tc>
      </w:tr>
      <w:tr w:rsidR="00A1066F" w:rsidRPr="00A1066F" w14:paraId="6B3E308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85373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A4C6E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6E3D5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455 000,00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3414C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538 000,00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80D54B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118,24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278664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539 000,00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FF7505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100,19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D1B7B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540 000,00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182352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100,19</w:t>
            </w:r>
            <w:r w:rsidRPr="00A1066F">
              <w:rPr>
                <w:rFonts w:ascii="Calibri" w:eastAsia="Times New Roman" w:hAnsi="Calibri" w:cs="Calibri"/>
                <w:sz w:val="24"/>
                <w:szCs w:val="24"/>
                <w:lang w:eastAsia="sk-SK"/>
              </w:rPr>
              <w:t xml:space="preserve"> </w:t>
            </w:r>
          </w:p>
        </w:tc>
      </w:tr>
    </w:tbl>
    <w:p w14:paraId="4BD85B39"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5C069D2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306BC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A2A0F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18AE8F5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C8484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88799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2DF0348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BE00D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339BE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9B133E5"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1ACE9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746A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2B21A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B750A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9EAF1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2AFF84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20A6F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B141B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461</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33055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482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6097B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AA5C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482</w:t>
            </w:r>
          </w:p>
        </w:tc>
      </w:tr>
      <w:tr w:rsidR="00A1066F" w:rsidRPr="00A1066F" w14:paraId="2F9DDD7D"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D3D42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7F52F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081053A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46DA8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3960E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46DAB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40F72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56127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CB2C17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64F18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9277B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438</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06D59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453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3CA0E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453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F492D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453</w:t>
            </w:r>
          </w:p>
        </w:tc>
      </w:tr>
    </w:tbl>
    <w:p w14:paraId="50B4A6E8"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učebných a študijných odborov je na dopravný priemysel a prevádzku, najmä na učebný odbor </w:t>
      </w:r>
      <w:proofErr w:type="spellStart"/>
      <w:r w:rsidRPr="00A1066F">
        <w:rPr>
          <w:rFonts w:ascii="Calibri" w:eastAsia="Times New Roman" w:hAnsi="Calibri" w:cs="Calibri"/>
          <w:sz w:val="24"/>
          <w:szCs w:val="24"/>
          <w:lang w:eastAsia="sk-SK"/>
        </w:rPr>
        <w:t>autoopravár</w:t>
      </w:r>
      <w:proofErr w:type="spellEnd"/>
      <w:r w:rsidRPr="00A1066F">
        <w:rPr>
          <w:rFonts w:ascii="Calibri" w:eastAsia="Times New Roman" w:hAnsi="Calibri" w:cs="Calibri"/>
          <w:sz w:val="24"/>
          <w:szCs w:val="24"/>
          <w:lang w:eastAsia="sk-SK"/>
        </w:rPr>
        <w:t xml:space="preserve">. Ide o dennú formu štúdia a nadstavbové štúdium. </w:t>
      </w:r>
    </w:p>
    <w:p w14:paraId="3D73E05B"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lastRenderedPageBreak/>
        <w:t>Prvok 8.3.10: SOŠ polygrafická, Račianska 190, BA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501DE361"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172E73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7907C87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A8E06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AB4781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86F496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05F6F0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833100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9FA7D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9B3A12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B3AFA9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0AC320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1A77075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A1CD6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52ACE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C11A9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1 593 400,00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264E6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1 750 000,00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9A91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109,83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D4300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1 750 000,00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44737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0F33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1 750 000,00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2BB2C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27C284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61562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3386F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CE69C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1 593 400,00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BDF22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1 750 000,00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FEC43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109,83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BA3ED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1 750 000,00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0A3F5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2C8FA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1 750 000,00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9093A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5EE498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23279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B3408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BF941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1 593 400,00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A0D6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1 750 000,00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F58F31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109,83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72B72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1 750 000,00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5E978C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CA94A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1 750 000,00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EB58CF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2186CF47"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0542A8BD"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CAA27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C7C0F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1E550DA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50087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60B03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2748E285"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FA0AE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7FFE3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D92A91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26CE1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BC8C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74CB9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B2F00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AF927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23CB17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6E74C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820B5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382</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FB0DA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399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46DCB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399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8D27C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399</w:t>
            </w:r>
          </w:p>
        </w:tc>
      </w:tr>
      <w:tr w:rsidR="00A1066F" w:rsidRPr="00A1066F" w14:paraId="0519EE2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714C2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83E5F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12F611A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D120B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E0ACD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53ECA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AAAB1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737FA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E59ECC2"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0EF1A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5A6FC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382</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7F481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396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FE4F0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396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2BDA1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396</w:t>
            </w:r>
          </w:p>
        </w:tc>
      </w:tr>
    </w:tbl>
    <w:p w14:paraId="1ADCB0DC"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Zameranie učebných a študijných odborov je na polygrafickú technológiu, digitálne a tlačiarenské média. Štúdium prebieha v dennej forme a pomaturitnej forme štúdia. Od 1. 7. 2015 škola pôsobí ako Centrum odborného vzdelávania a prípravy pre oblasť polygrafie a médií.</w:t>
      </w:r>
    </w:p>
    <w:p w14:paraId="1F79AE5B"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8.3.11: SOŠ automobilová a podnikania, Kysucká 14, Senec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3"/>
        <w:gridCol w:w="2215"/>
        <w:gridCol w:w="1430"/>
        <w:gridCol w:w="1430"/>
        <w:gridCol w:w="649"/>
        <w:gridCol w:w="1430"/>
        <w:gridCol w:w="649"/>
        <w:gridCol w:w="1430"/>
        <w:gridCol w:w="664"/>
      </w:tblGrid>
      <w:tr w:rsidR="00A1066F" w:rsidRPr="00A1066F" w14:paraId="3EBA844C"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A22A90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4F5932D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47237E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CD70F5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173D9C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75FC5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5F2C3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72F14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42B29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F5A79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92B5B4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4FD2414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014F7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52090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3237D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725 500,00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9570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801 200,00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1905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110,43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E70A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881 320,00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99F03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A0FBF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969 452,00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F017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110,00</w:t>
            </w:r>
            <w:r w:rsidRPr="00A1066F">
              <w:rPr>
                <w:rFonts w:ascii="Calibri" w:eastAsia="Times New Roman" w:hAnsi="Calibri" w:cs="Calibri"/>
                <w:sz w:val="24"/>
                <w:szCs w:val="24"/>
                <w:lang w:eastAsia="sk-SK"/>
              </w:rPr>
              <w:t xml:space="preserve"> </w:t>
            </w:r>
          </w:p>
        </w:tc>
      </w:tr>
      <w:tr w:rsidR="00A1066F" w:rsidRPr="00A1066F" w14:paraId="2D7E9A9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01F0F6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9E74E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F87CC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725 500,00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D74E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801 200,00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F637D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110,43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C9A7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881 320,00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23E73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6B57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969 452,00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0957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110,00</w:t>
            </w:r>
            <w:r w:rsidRPr="00A1066F">
              <w:rPr>
                <w:rFonts w:ascii="Calibri" w:eastAsia="Times New Roman" w:hAnsi="Calibri" w:cs="Calibri"/>
                <w:sz w:val="24"/>
                <w:szCs w:val="24"/>
                <w:lang w:eastAsia="sk-SK"/>
              </w:rPr>
              <w:t xml:space="preserve"> </w:t>
            </w:r>
          </w:p>
        </w:tc>
      </w:tr>
      <w:tr w:rsidR="00A1066F" w:rsidRPr="00A1066F" w14:paraId="371BD46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CFDE3A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3146CF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A529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725 500,00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28ACC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801 200,00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B7A73C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110,43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B7F5A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881 320,00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356E9A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4E35B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969 452,00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B6F47A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r>
    </w:tbl>
    <w:p w14:paraId="41AFBF31"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97"/>
        <w:gridCol w:w="1813"/>
        <w:gridCol w:w="1823"/>
        <w:gridCol w:w="1801"/>
        <w:gridCol w:w="1816"/>
      </w:tblGrid>
      <w:tr w:rsidR="00A1066F" w:rsidRPr="00A1066F" w14:paraId="332E4D72" w14:textId="77777777" w:rsidTr="002C0BE8">
        <w:trPr>
          <w:tblCellSpacing w:w="15" w:type="dxa"/>
        </w:trPr>
        <w:tc>
          <w:tcPr>
            <w:tcW w:w="152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46A3D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3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08AEF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7E6B0ED6" w14:textId="77777777" w:rsidTr="002C0BE8">
        <w:trPr>
          <w:tblCellSpacing w:w="15" w:type="dxa"/>
        </w:trPr>
        <w:tc>
          <w:tcPr>
            <w:tcW w:w="152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5DDBF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3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CC6C7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5086D899" w14:textId="77777777" w:rsidTr="002C0BE8">
        <w:trPr>
          <w:tblCellSpacing w:w="15" w:type="dxa"/>
        </w:trPr>
        <w:tc>
          <w:tcPr>
            <w:tcW w:w="152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252B9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3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071A3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11BCFDF" w14:textId="77777777" w:rsidTr="002C0BE8">
        <w:trPr>
          <w:tblCellSpacing w:w="15" w:type="dxa"/>
        </w:trPr>
        <w:tc>
          <w:tcPr>
            <w:tcW w:w="152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304D2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0BEC3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6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72C6A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3C2DD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B67E6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AAD2304" w14:textId="77777777" w:rsidTr="002C0BE8">
        <w:trPr>
          <w:tblCellSpacing w:w="15" w:type="dxa"/>
        </w:trPr>
        <w:tc>
          <w:tcPr>
            <w:tcW w:w="152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02560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AC523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136</w:t>
            </w:r>
          </w:p>
        </w:tc>
        <w:tc>
          <w:tcPr>
            <w:tcW w:w="86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DA0C5A" w14:textId="6D2183F9" w:rsidR="00A1066F" w:rsidRPr="00A1066F" w:rsidRDefault="002C0BE8" w:rsidP="00A1066F">
            <w:pPr>
              <w:spacing w:after="0" w:line="240" w:lineRule="auto"/>
              <w:jc w:val="center"/>
              <w:rPr>
                <w:rFonts w:ascii="Calibri" w:eastAsia="Times New Roman" w:hAnsi="Calibri" w:cs="Calibri"/>
                <w:sz w:val="24"/>
                <w:szCs w:val="24"/>
                <w:lang w:eastAsia="sk-SK"/>
              </w:rPr>
            </w:pPr>
            <w:r>
              <w:rPr>
                <w:rFonts w:ascii="Calibri" w:eastAsia="Times New Roman" w:hAnsi="Calibri" w:cs="Calibri"/>
                <w:b/>
                <w:bCs/>
                <w:sz w:val="24"/>
                <w:szCs w:val="24"/>
                <w:lang w:eastAsia="sk-SK"/>
              </w:rPr>
              <w:t>200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189769" w14:textId="7ABBBBE6"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w:t>
            </w:r>
            <w:r w:rsidR="002C0BE8">
              <w:rPr>
                <w:rFonts w:ascii="Calibri" w:eastAsia="Times New Roman" w:hAnsi="Calibri" w:cs="Calibri"/>
                <w:sz w:val="24"/>
                <w:szCs w:val="24"/>
                <w:lang w:eastAsia="sk-SK"/>
              </w:rPr>
              <w:t>200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757241" w14:textId="2A981A5A"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w:t>
            </w:r>
            <w:r w:rsidR="002C0BE8">
              <w:rPr>
                <w:rFonts w:ascii="Calibri" w:eastAsia="Times New Roman" w:hAnsi="Calibri" w:cs="Calibri"/>
                <w:sz w:val="24"/>
                <w:szCs w:val="24"/>
                <w:lang w:eastAsia="sk-SK"/>
              </w:rPr>
              <w:t>200</w:t>
            </w:r>
          </w:p>
        </w:tc>
      </w:tr>
      <w:tr w:rsidR="00A1066F" w:rsidRPr="00A1066F" w14:paraId="3B228778" w14:textId="77777777" w:rsidTr="002C0BE8">
        <w:trPr>
          <w:tblCellSpacing w:w="15" w:type="dxa"/>
        </w:trPr>
        <w:tc>
          <w:tcPr>
            <w:tcW w:w="152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2556F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3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8583E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6C835205" w14:textId="77777777" w:rsidTr="002C0BE8">
        <w:trPr>
          <w:tblCellSpacing w:w="15" w:type="dxa"/>
        </w:trPr>
        <w:tc>
          <w:tcPr>
            <w:tcW w:w="152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B3C9C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51BB0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6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81CC0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7DB88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1D20E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2C0BE8" w:rsidRPr="00A1066F" w14:paraId="4388F9F3" w14:textId="77777777" w:rsidTr="002C0BE8">
        <w:trPr>
          <w:tblCellSpacing w:w="15" w:type="dxa"/>
        </w:trPr>
        <w:tc>
          <w:tcPr>
            <w:tcW w:w="152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EE7471" w14:textId="77777777" w:rsidR="002C0BE8" w:rsidRPr="00A1066F" w:rsidRDefault="002C0BE8" w:rsidP="002C0BE8">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F5D8CF" w14:textId="77777777" w:rsidR="002C0BE8" w:rsidRPr="00A1066F" w:rsidRDefault="002C0BE8" w:rsidP="002C0BE8">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136</w:t>
            </w:r>
          </w:p>
        </w:tc>
        <w:tc>
          <w:tcPr>
            <w:tcW w:w="86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8B5B29" w14:textId="0769C8A6" w:rsidR="002C0BE8" w:rsidRPr="00A1066F" w:rsidRDefault="002C0BE8" w:rsidP="002C0BE8">
            <w:pPr>
              <w:spacing w:after="0" w:line="240" w:lineRule="auto"/>
              <w:jc w:val="center"/>
              <w:rPr>
                <w:rFonts w:ascii="Calibri" w:eastAsia="Times New Roman" w:hAnsi="Calibri" w:cs="Calibri"/>
                <w:sz w:val="24"/>
                <w:szCs w:val="24"/>
                <w:lang w:eastAsia="sk-SK"/>
              </w:rPr>
            </w:pPr>
            <w:r>
              <w:rPr>
                <w:rFonts w:ascii="Calibri" w:eastAsia="Times New Roman" w:hAnsi="Calibri" w:cs="Calibri"/>
                <w:b/>
                <w:bCs/>
                <w:sz w:val="24"/>
                <w:szCs w:val="24"/>
                <w:lang w:eastAsia="sk-SK"/>
              </w:rPr>
              <w:t>200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350532" w14:textId="2FBDA94B" w:rsidR="002C0BE8" w:rsidRPr="00A1066F" w:rsidRDefault="002C0BE8" w:rsidP="002C0BE8">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w:t>
            </w:r>
            <w:r>
              <w:rPr>
                <w:rFonts w:ascii="Calibri" w:eastAsia="Times New Roman" w:hAnsi="Calibri" w:cs="Calibri"/>
                <w:sz w:val="24"/>
                <w:szCs w:val="24"/>
                <w:lang w:eastAsia="sk-SK"/>
              </w:rPr>
              <w:t>200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1505B6" w14:textId="1D008E0A" w:rsidR="002C0BE8" w:rsidRPr="00A1066F" w:rsidRDefault="002C0BE8" w:rsidP="002C0BE8">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w:t>
            </w:r>
            <w:r>
              <w:rPr>
                <w:rFonts w:ascii="Calibri" w:eastAsia="Times New Roman" w:hAnsi="Calibri" w:cs="Calibri"/>
                <w:sz w:val="24"/>
                <w:szCs w:val="24"/>
                <w:lang w:eastAsia="sk-SK"/>
              </w:rPr>
              <w:t>200</w:t>
            </w:r>
          </w:p>
        </w:tc>
      </w:tr>
    </w:tbl>
    <w:p w14:paraId="78E9B49E" w14:textId="77777777" w:rsid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učebných a študijných odborov je na strojárstvo, dopravný priemysel a prevádzku, najmä na učebný odbor </w:t>
      </w:r>
      <w:proofErr w:type="spellStart"/>
      <w:r w:rsidRPr="00A1066F">
        <w:rPr>
          <w:rFonts w:ascii="Calibri" w:eastAsia="Times New Roman" w:hAnsi="Calibri" w:cs="Calibri"/>
          <w:sz w:val="24"/>
          <w:szCs w:val="24"/>
          <w:lang w:eastAsia="sk-SK"/>
        </w:rPr>
        <w:t>autoopravár</w:t>
      </w:r>
      <w:proofErr w:type="spellEnd"/>
      <w:r w:rsidRPr="00A1066F">
        <w:rPr>
          <w:rFonts w:ascii="Calibri" w:eastAsia="Times New Roman" w:hAnsi="Calibri" w:cs="Calibri"/>
          <w:sz w:val="24"/>
          <w:szCs w:val="24"/>
          <w:lang w:eastAsia="sk-SK"/>
        </w:rPr>
        <w:t xml:space="preserve">. Ide o dennú formu štúdia a nadstavbové štúdium. </w:t>
      </w:r>
    </w:p>
    <w:p w14:paraId="6E7B1BC1" w14:textId="77777777" w:rsidR="004457F3" w:rsidRDefault="004457F3" w:rsidP="00A1066F">
      <w:pPr>
        <w:spacing w:before="100" w:beforeAutospacing="1" w:after="100" w:afterAutospacing="1" w:line="240" w:lineRule="auto"/>
        <w:jc w:val="both"/>
        <w:rPr>
          <w:rFonts w:ascii="Calibri" w:eastAsia="Times New Roman" w:hAnsi="Calibri" w:cs="Calibri"/>
          <w:sz w:val="24"/>
          <w:szCs w:val="24"/>
          <w:lang w:eastAsia="sk-SK"/>
        </w:rPr>
      </w:pPr>
    </w:p>
    <w:p w14:paraId="78438C22" w14:textId="77777777" w:rsidR="004457F3" w:rsidRPr="00A1066F" w:rsidRDefault="004457F3" w:rsidP="00A1066F">
      <w:pPr>
        <w:spacing w:before="100" w:beforeAutospacing="1" w:after="100" w:afterAutospacing="1" w:line="240" w:lineRule="auto"/>
        <w:jc w:val="both"/>
        <w:rPr>
          <w:rFonts w:ascii="Calibri" w:eastAsia="Times New Roman" w:hAnsi="Calibri" w:cs="Calibri"/>
          <w:sz w:val="24"/>
          <w:szCs w:val="24"/>
          <w:lang w:eastAsia="sk-SK"/>
        </w:rPr>
      </w:pPr>
    </w:p>
    <w:p w14:paraId="38C30D55"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lastRenderedPageBreak/>
        <w:t xml:space="preserve">Prvok 8.3.12: Hotelová akadémia, </w:t>
      </w:r>
      <w:proofErr w:type="spellStart"/>
      <w:r w:rsidRPr="00A1066F">
        <w:rPr>
          <w:rFonts w:ascii="Calibri" w:eastAsia="Times New Roman" w:hAnsi="Calibri" w:cs="Calibri"/>
          <w:b/>
          <w:bCs/>
          <w:color w:val="0000FF"/>
          <w:sz w:val="24"/>
          <w:szCs w:val="24"/>
          <w:lang w:eastAsia="sk-SK"/>
        </w:rPr>
        <w:t>Mikovíniho</w:t>
      </w:r>
      <w:proofErr w:type="spellEnd"/>
      <w:r w:rsidRPr="00A1066F">
        <w:rPr>
          <w:rFonts w:ascii="Calibri" w:eastAsia="Times New Roman" w:hAnsi="Calibri" w:cs="Calibri"/>
          <w:b/>
          <w:bCs/>
          <w:color w:val="0000FF"/>
          <w:sz w:val="24"/>
          <w:szCs w:val="24"/>
          <w:lang w:eastAsia="sk-SK"/>
        </w:rPr>
        <w:t xml:space="preserve"> 1, BA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013A3CC4"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E33A2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0A76558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239DBD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0B34FC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A092D2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D15D98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A47F2C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538AB9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A1C3CD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855D9C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0911F9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29EE019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BAE16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65CDF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9C24C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2 158 909,00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3B8CC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2 408 900,00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95A2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111,58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8C2A7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2 649 791,00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45F1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4990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2 814 770,00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40C5B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106,23</w:t>
            </w:r>
            <w:r w:rsidRPr="00A1066F">
              <w:rPr>
                <w:rFonts w:ascii="Calibri" w:eastAsia="Times New Roman" w:hAnsi="Calibri" w:cs="Calibri"/>
                <w:sz w:val="24"/>
                <w:szCs w:val="24"/>
                <w:lang w:eastAsia="sk-SK"/>
              </w:rPr>
              <w:t xml:space="preserve"> </w:t>
            </w:r>
          </w:p>
        </w:tc>
      </w:tr>
      <w:tr w:rsidR="00A1066F" w:rsidRPr="00A1066F" w14:paraId="2663891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BF6D8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D9709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CC132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2 158 909,00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BD92C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2 408 900,00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B3EB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111,58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25106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2 649 791,00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6E1DC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78A4F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2 814 770,00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5DA3D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106,23</w:t>
            </w:r>
            <w:r w:rsidRPr="00A1066F">
              <w:rPr>
                <w:rFonts w:ascii="Calibri" w:eastAsia="Times New Roman" w:hAnsi="Calibri" w:cs="Calibri"/>
                <w:sz w:val="24"/>
                <w:szCs w:val="24"/>
                <w:lang w:eastAsia="sk-SK"/>
              </w:rPr>
              <w:t xml:space="preserve"> </w:t>
            </w:r>
          </w:p>
        </w:tc>
      </w:tr>
      <w:tr w:rsidR="00A1066F" w:rsidRPr="00A1066F" w14:paraId="3E47D9A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38ECEE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A38F4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BCE5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2 158 909,00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CC5E2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2 408 900,00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D43ECF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111,58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E64C1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2 649 791,00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B020D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CD176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2 814 770,00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F08C3A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106,23</w:t>
            </w:r>
            <w:r w:rsidRPr="00A1066F">
              <w:rPr>
                <w:rFonts w:ascii="Calibri" w:eastAsia="Times New Roman" w:hAnsi="Calibri" w:cs="Calibri"/>
                <w:sz w:val="24"/>
                <w:szCs w:val="24"/>
                <w:lang w:eastAsia="sk-SK"/>
              </w:rPr>
              <w:t xml:space="preserve"> </w:t>
            </w:r>
          </w:p>
        </w:tc>
      </w:tr>
    </w:tbl>
    <w:p w14:paraId="6574D339"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112B32C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D8147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95DC2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238A8F7C"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481D7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9F2CE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7782F96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AF3B4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82B5B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8B13FB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A724C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3A0AC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BD631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8E620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53CB7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AC2C865"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E52A4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9338B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530</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F2847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569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CFA7F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569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6C4C9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569</w:t>
            </w:r>
          </w:p>
        </w:tc>
      </w:tr>
      <w:tr w:rsidR="00A1066F" w:rsidRPr="00A1066F" w14:paraId="7BEA592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8EA37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2288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03081B8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6C4F6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2F92B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1C3D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81EB2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26D00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127760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14C23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6C97D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511</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09E4B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569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979FD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569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DAC0E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569</w:t>
            </w:r>
          </w:p>
        </w:tc>
      </w:tr>
    </w:tbl>
    <w:p w14:paraId="71E793AD"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učebných a študijných odborov je na hotelierstvo, spoločné stravovanie. Škola je zameraná hlavne na študijný odbor hotelová akadémia v dennej forme štúdia a poskytuje taktiež nadstavbové štúdium. </w:t>
      </w:r>
    </w:p>
    <w:p w14:paraId="5C194955"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8.3.13: SOŠ gastronómie a hotelových služieb, Farského 9, BA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3622FDB8"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1F3AE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1449210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76C3AD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E1ADA8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73EF16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4C0776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6B27D7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8843B8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EBDF0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AD8634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A65F3D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01FAAA5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83F44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3F74F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7685B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1 755 500,00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3F4857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2 180 000,00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B1D53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124,18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4E74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2 180 000,00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CFAF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9D9C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2 180 000,00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96104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FCAF1C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668B5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FBCB5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B3BCE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1 755 500,00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863D1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2 180 000,00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5D6A1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124,18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BBE90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2 180 000,00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E7378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4A70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2 180 000,00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DD7B2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A7D5F7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A9E18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3E563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7DF8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1 755 500,00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B18C1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2 180 000,00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E5894F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124,18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7589C0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2 180 000,00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D679F5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59FAF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2 180 000,00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5FEC94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56C37566"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7B596762"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7BB3D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AF9E5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4AED66F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E0124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29715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129F19C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93646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7F7B0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4D575B7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ABB7A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B1BCB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A2043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8860E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F9B31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C728C6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5D627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972E7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443</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DE972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559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585ED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559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3A80F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559</w:t>
            </w:r>
          </w:p>
        </w:tc>
      </w:tr>
      <w:tr w:rsidR="00A1066F" w:rsidRPr="00A1066F" w14:paraId="0228EE2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810AE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8B542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6E6D1858"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463E8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D925B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88030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E98D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EAD1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AF4F8D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4BD4F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36D2D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407</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434F4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557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455A9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557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B1401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557</w:t>
            </w:r>
          </w:p>
        </w:tc>
      </w:tr>
    </w:tbl>
    <w:p w14:paraId="22FB3051" w14:textId="77777777" w:rsid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Zameranie učebných a študijných odborov je na potravinárstvo, gastronómiu a hotelové služby, obchod a služby v dennej forme štúdia a škola poskytuje aj nadstavbové štúdium. Od 1.5.2013 škola pôsobí ako Centrum odborného vzdelávania a prípravy pre oblasť potravinárstva.</w:t>
      </w:r>
    </w:p>
    <w:p w14:paraId="5F1CE3BE" w14:textId="77777777" w:rsidR="004457F3" w:rsidRDefault="004457F3" w:rsidP="00A1066F">
      <w:pPr>
        <w:spacing w:before="100" w:beforeAutospacing="1" w:after="100" w:afterAutospacing="1" w:line="240" w:lineRule="auto"/>
        <w:jc w:val="both"/>
        <w:rPr>
          <w:rFonts w:ascii="Calibri" w:eastAsia="Times New Roman" w:hAnsi="Calibri" w:cs="Calibri"/>
          <w:sz w:val="24"/>
          <w:szCs w:val="24"/>
          <w:lang w:eastAsia="sk-SK"/>
        </w:rPr>
      </w:pPr>
    </w:p>
    <w:p w14:paraId="7D2B6C37" w14:textId="77777777" w:rsidR="004457F3" w:rsidRPr="00A1066F" w:rsidRDefault="004457F3" w:rsidP="00A1066F">
      <w:pPr>
        <w:spacing w:before="100" w:beforeAutospacing="1" w:after="100" w:afterAutospacing="1" w:line="240" w:lineRule="auto"/>
        <w:jc w:val="both"/>
        <w:rPr>
          <w:rFonts w:ascii="Calibri" w:eastAsia="Times New Roman" w:hAnsi="Calibri" w:cs="Calibri"/>
          <w:sz w:val="24"/>
          <w:szCs w:val="24"/>
          <w:lang w:eastAsia="sk-SK"/>
        </w:rPr>
      </w:pPr>
    </w:p>
    <w:p w14:paraId="19794F99"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lastRenderedPageBreak/>
        <w:t xml:space="preserve">Prvok 8.3.14: SOŠ technológií a remesiel, </w:t>
      </w:r>
      <w:proofErr w:type="spellStart"/>
      <w:r w:rsidRPr="00A1066F">
        <w:rPr>
          <w:rFonts w:ascii="Calibri" w:eastAsia="Times New Roman" w:hAnsi="Calibri" w:cs="Calibri"/>
          <w:b/>
          <w:bCs/>
          <w:color w:val="0000FF"/>
          <w:sz w:val="24"/>
          <w:szCs w:val="24"/>
          <w:lang w:eastAsia="sk-SK"/>
        </w:rPr>
        <w:t>Ivanská</w:t>
      </w:r>
      <w:proofErr w:type="spellEnd"/>
      <w:r w:rsidRPr="00A1066F">
        <w:rPr>
          <w:rFonts w:ascii="Calibri" w:eastAsia="Times New Roman" w:hAnsi="Calibri" w:cs="Calibri"/>
          <w:b/>
          <w:bCs/>
          <w:color w:val="0000FF"/>
          <w:sz w:val="24"/>
          <w:szCs w:val="24"/>
          <w:lang w:eastAsia="sk-SK"/>
        </w:rPr>
        <w:t xml:space="preserve"> cesta 21, BA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40A6BE90"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DEF4E9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2EDA8A4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E96D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11FB91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90C8E0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1B0B6B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35EA26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08A643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834C2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B1AF97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4E0604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6626A0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F8147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3531E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C858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2 142 040,00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FC55E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2 434 866,00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77603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113,67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B3291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2 629 655,00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3D6F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FC36C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2 840 027,00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CD91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108,00</w:t>
            </w:r>
            <w:r w:rsidRPr="00A1066F">
              <w:rPr>
                <w:rFonts w:ascii="Calibri" w:eastAsia="Times New Roman" w:hAnsi="Calibri" w:cs="Calibri"/>
                <w:sz w:val="24"/>
                <w:szCs w:val="24"/>
                <w:lang w:eastAsia="sk-SK"/>
              </w:rPr>
              <w:t xml:space="preserve"> </w:t>
            </w:r>
          </w:p>
        </w:tc>
      </w:tr>
      <w:tr w:rsidR="00A1066F" w:rsidRPr="00A1066F" w14:paraId="2CC3CB6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8ABA8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21BB9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2713D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2 142 040,00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319DA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2 434 866,00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79515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113,67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31D89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2 629 655,00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4DC6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B20F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2 840 027,00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02996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108,00</w:t>
            </w:r>
            <w:r w:rsidRPr="00A1066F">
              <w:rPr>
                <w:rFonts w:ascii="Calibri" w:eastAsia="Times New Roman" w:hAnsi="Calibri" w:cs="Calibri"/>
                <w:sz w:val="24"/>
                <w:szCs w:val="24"/>
                <w:lang w:eastAsia="sk-SK"/>
              </w:rPr>
              <w:t xml:space="preserve"> </w:t>
            </w:r>
          </w:p>
        </w:tc>
      </w:tr>
      <w:tr w:rsidR="00A1066F" w:rsidRPr="00A1066F" w14:paraId="7EA6294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5DFC3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A28C4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EB2FD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2 142 040,00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982F7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2 434 866,00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261BD9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113,67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AB285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2 629 655,00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DCA65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8A749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2 840 027,00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4C6834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108,00</w:t>
            </w:r>
            <w:r w:rsidRPr="00A1066F">
              <w:rPr>
                <w:rFonts w:ascii="Calibri" w:eastAsia="Times New Roman" w:hAnsi="Calibri" w:cs="Calibri"/>
                <w:sz w:val="24"/>
                <w:szCs w:val="24"/>
                <w:lang w:eastAsia="sk-SK"/>
              </w:rPr>
              <w:t xml:space="preserve"> </w:t>
            </w:r>
          </w:p>
        </w:tc>
      </w:tr>
    </w:tbl>
    <w:p w14:paraId="478A92E3"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59"/>
        <w:gridCol w:w="1856"/>
        <w:gridCol w:w="1914"/>
        <w:gridCol w:w="1803"/>
        <w:gridCol w:w="1818"/>
      </w:tblGrid>
      <w:tr w:rsidR="00A1066F" w:rsidRPr="00A1066F" w14:paraId="76B5E53C"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31DF5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0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50D98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573DF071"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281CC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0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E5641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5D01F5BD"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3E055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0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5F3F0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0C85AE42"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3D39B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DBE4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0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CA328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02302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FE15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754B08D"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7AD2F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FD633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610</w:t>
            </w:r>
          </w:p>
        </w:tc>
        <w:tc>
          <w:tcPr>
            <w:tcW w:w="90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D51CD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583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C10D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583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3DF7B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583</w:t>
            </w:r>
          </w:p>
        </w:tc>
      </w:tr>
      <w:tr w:rsidR="00A1066F" w:rsidRPr="00A1066F" w14:paraId="3F1A979F"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05C3E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0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383A2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59DFA139"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3778D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24A8C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0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6BA2C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4F6C0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F01EF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006CB64"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38DED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CA0E2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490</w:t>
            </w:r>
          </w:p>
        </w:tc>
        <w:tc>
          <w:tcPr>
            <w:tcW w:w="90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8F1BE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514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2D7BC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514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F2507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514</w:t>
            </w:r>
          </w:p>
        </w:tc>
      </w:tr>
    </w:tbl>
    <w:p w14:paraId="1FB57819" w14:textId="77777777" w:rsidR="00A1066F" w:rsidRPr="00A1066F" w:rsidRDefault="00A1066F" w:rsidP="00A1066F">
      <w:pPr>
        <w:spacing w:before="100" w:beforeAutospacing="1" w:after="100" w:afterAutospacing="1"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Zameranie učebných a študijných odborov je najmä na oblasť stavebníctva. Ďalšie odbory sú širokospektrálne zamerané - elektrotechnika, strojárstvo, spracovanie dreva a 2-ročné odborné vzdelanie. Ide o dennú formu štúdia, nadstavbové štúdium a externú formu štúdia. Od 1. 1. 2015 škola pôsobí ako Centrum odborného vzdelávania a prípravy pre oblasť stavebníctva.</w:t>
      </w:r>
    </w:p>
    <w:p w14:paraId="4A15573B"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8.3.15: SOŠ elektrotechnická, Rybničná 59,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5"/>
        <w:gridCol w:w="2134"/>
        <w:gridCol w:w="1489"/>
        <w:gridCol w:w="1445"/>
        <w:gridCol w:w="604"/>
        <w:gridCol w:w="1459"/>
        <w:gridCol w:w="777"/>
        <w:gridCol w:w="1398"/>
        <w:gridCol w:w="599"/>
      </w:tblGrid>
      <w:tr w:rsidR="00A1066F" w:rsidRPr="00A1066F" w14:paraId="7D803F04"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FC040BC" w14:textId="77777777" w:rsidR="00A1066F" w:rsidRPr="00A1066F" w:rsidRDefault="00A1066F" w:rsidP="00A1066F">
            <w:pPr>
              <w:spacing w:after="0" w:line="240" w:lineRule="auto"/>
              <w:jc w:val="center"/>
              <w:rPr>
                <w:rFonts w:ascii="Calibri" w:eastAsia="Times New Roman" w:hAnsi="Calibri" w:cs="Calibri"/>
                <w:sz w:val="20"/>
                <w:szCs w:val="20"/>
                <w:lang w:eastAsia="sk-SK"/>
              </w:rPr>
            </w:pPr>
            <w:r w:rsidRPr="00A1066F">
              <w:rPr>
                <w:rFonts w:ascii="Calibri" w:eastAsia="Times New Roman" w:hAnsi="Calibri" w:cs="Calibri"/>
                <w:b/>
                <w:bCs/>
                <w:i/>
                <w:iCs/>
                <w:sz w:val="20"/>
                <w:szCs w:val="20"/>
                <w:lang w:eastAsia="sk-SK"/>
              </w:rPr>
              <w:t>Rozpočet v EUR</w:t>
            </w:r>
          </w:p>
        </w:tc>
      </w:tr>
      <w:tr w:rsidR="00A1066F" w:rsidRPr="00A1066F" w14:paraId="5236769C"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BFE6AAC"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EK</w:t>
            </w:r>
          </w:p>
        </w:tc>
        <w:tc>
          <w:tcPr>
            <w:tcW w:w="1007"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A4F29D1"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Ekonomická klasifikácia</w:t>
            </w:r>
          </w:p>
        </w:tc>
        <w:tc>
          <w:tcPr>
            <w:tcW w:w="69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040EE4" w14:textId="77777777" w:rsidR="00A1066F" w:rsidRPr="00A1066F" w:rsidRDefault="00A1066F" w:rsidP="00A1066F">
            <w:pPr>
              <w:spacing w:after="0" w:line="240" w:lineRule="auto"/>
              <w:jc w:val="center"/>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2024</w:t>
            </w:r>
          </w:p>
        </w:tc>
        <w:tc>
          <w:tcPr>
            <w:tcW w:w="677"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8BC241C" w14:textId="77777777" w:rsidR="00A1066F" w:rsidRPr="00A1066F" w:rsidRDefault="00A1066F" w:rsidP="00A1066F">
            <w:pPr>
              <w:spacing w:after="0" w:line="240" w:lineRule="auto"/>
              <w:jc w:val="center"/>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2025</w:t>
            </w:r>
          </w:p>
        </w:tc>
        <w:tc>
          <w:tcPr>
            <w:tcW w:w="27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4C2137F" w14:textId="77777777" w:rsidR="00A1066F" w:rsidRPr="00A1066F" w:rsidRDefault="00A1066F" w:rsidP="00A1066F">
            <w:pPr>
              <w:spacing w:after="0" w:line="240" w:lineRule="auto"/>
              <w:jc w:val="center"/>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w:t>
            </w:r>
          </w:p>
        </w:tc>
        <w:tc>
          <w:tcPr>
            <w:tcW w:w="68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472DA5C" w14:textId="77777777" w:rsidR="00A1066F" w:rsidRPr="00A1066F" w:rsidRDefault="00A1066F" w:rsidP="00A1066F">
            <w:pPr>
              <w:spacing w:after="0" w:line="240" w:lineRule="auto"/>
              <w:jc w:val="center"/>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2026</w:t>
            </w:r>
          </w:p>
        </w:tc>
        <w:tc>
          <w:tcPr>
            <w:tcW w:w="35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2FD290" w14:textId="77777777" w:rsidR="00A1066F" w:rsidRPr="00A1066F" w:rsidRDefault="00A1066F" w:rsidP="00A1066F">
            <w:pPr>
              <w:spacing w:after="0" w:line="240" w:lineRule="auto"/>
              <w:jc w:val="center"/>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w:t>
            </w:r>
          </w:p>
        </w:tc>
        <w:tc>
          <w:tcPr>
            <w:tcW w:w="65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ADC1AB" w14:textId="77777777" w:rsidR="00A1066F" w:rsidRPr="00A1066F" w:rsidRDefault="00A1066F" w:rsidP="00A1066F">
            <w:pPr>
              <w:spacing w:after="0" w:line="240" w:lineRule="auto"/>
              <w:jc w:val="center"/>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2027</w:t>
            </w:r>
          </w:p>
        </w:tc>
        <w:tc>
          <w:tcPr>
            <w:tcW w:w="26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2EB916A" w14:textId="77777777" w:rsidR="00A1066F" w:rsidRPr="00A1066F" w:rsidRDefault="00A1066F" w:rsidP="00A1066F">
            <w:pPr>
              <w:spacing w:after="0" w:line="240" w:lineRule="auto"/>
              <w:jc w:val="center"/>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w:t>
            </w:r>
          </w:p>
        </w:tc>
      </w:tr>
      <w:tr w:rsidR="00A1066F" w:rsidRPr="00A1066F" w14:paraId="014C856F"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71161E" w14:textId="77777777" w:rsidR="00A1066F" w:rsidRPr="00A1066F" w:rsidRDefault="00A1066F" w:rsidP="00A1066F">
            <w:pPr>
              <w:spacing w:after="0" w:line="240" w:lineRule="auto"/>
              <w:jc w:val="center"/>
              <w:rPr>
                <w:rFonts w:ascii="Calibri" w:eastAsia="Times New Roman" w:hAnsi="Calibri" w:cs="Calibri"/>
                <w:sz w:val="20"/>
                <w:szCs w:val="20"/>
                <w:lang w:eastAsia="sk-SK"/>
              </w:rPr>
            </w:pPr>
          </w:p>
        </w:tc>
        <w:tc>
          <w:tcPr>
            <w:tcW w:w="100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6A2F67"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0"/>
                <w:szCs w:val="20"/>
                <w:lang w:eastAsia="sk-SK"/>
              </w:rPr>
              <w:t xml:space="preserve"> </w:t>
            </w:r>
          </w:p>
        </w:tc>
        <w:tc>
          <w:tcPr>
            <w:tcW w:w="69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A9463B"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798 830,00</w:t>
            </w:r>
            <w:r w:rsidRPr="00A1066F">
              <w:rPr>
                <w:rFonts w:ascii="Calibri" w:eastAsia="Times New Roman" w:hAnsi="Calibri" w:cs="Calibri"/>
                <w:sz w:val="20"/>
                <w:szCs w:val="20"/>
                <w:lang w:eastAsia="sk-SK"/>
              </w:rPr>
              <w:t xml:space="preserve"> </w:t>
            </w:r>
          </w:p>
        </w:tc>
        <w:tc>
          <w:tcPr>
            <w:tcW w:w="67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F807AB"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7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4B1AD7"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8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517D47"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3FD81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5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51FF9D"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C7FD48"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3F7314F7"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A7915E"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0"/>
                <w:szCs w:val="20"/>
                <w:lang w:eastAsia="sk-SK"/>
              </w:rPr>
              <w:t xml:space="preserve"> </w:t>
            </w:r>
          </w:p>
        </w:tc>
        <w:tc>
          <w:tcPr>
            <w:tcW w:w="100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80BD23"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0"/>
                <w:szCs w:val="20"/>
                <w:lang w:eastAsia="sk-SK"/>
              </w:rPr>
              <w:t xml:space="preserve"> </w:t>
            </w:r>
          </w:p>
        </w:tc>
        <w:tc>
          <w:tcPr>
            <w:tcW w:w="69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E49BA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b/>
                <w:bCs/>
                <w:sz w:val="20"/>
                <w:szCs w:val="20"/>
                <w:lang w:eastAsia="sk-SK"/>
              </w:rPr>
              <w:t>798 830,00</w:t>
            </w:r>
            <w:r w:rsidRPr="00A1066F">
              <w:rPr>
                <w:rFonts w:ascii="Calibri" w:eastAsia="Times New Roman" w:hAnsi="Calibri" w:cs="Calibri"/>
                <w:sz w:val="20"/>
                <w:szCs w:val="20"/>
                <w:lang w:eastAsia="sk-SK"/>
              </w:rPr>
              <w:t xml:space="preserve"> </w:t>
            </w:r>
          </w:p>
        </w:tc>
        <w:tc>
          <w:tcPr>
            <w:tcW w:w="67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33B7B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7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1B0EB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8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0F6CC6"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CCC4EA"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5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AB2ECF"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2F80F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7A078256"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noWrap/>
            <w:vAlign w:val="center"/>
            <w:hideMark/>
          </w:tcPr>
          <w:p w14:paraId="3CF81907"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610 </w:t>
            </w:r>
          </w:p>
        </w:tc>
        <w:tc>
          <w:tcPr>
            <w:tcW w:w="1007" w:type="pct"/>
            <w:tcBorders>
              <w:top w:val="outset" w:sz="6" w:space="0" w:color="000000"/>
              <w:left w:val="outset" w:sz="6" w:space="0" w:color="000000"/>
              <w:bottom w:val="outset" w:sz="6" w:space="0" w:color="000000"/>
              <w:right w:val="outset" w:sz="6" w:space="0" w:color="000000"/>
            </w:tcBorders>
            <w:vAlign w:val="center"/>
            <w:hideMark/>
          </w:tcPr>
          <w:p w14:paraId="14E4FE75"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Mzdy, platy, ... </w:t>
            </w:r>
          </w:p>
        </w:tc>
        <w:tc>
          <w:tcPr>
            <w:tcW w:w="698" w:type="pct"/>
            <w:tcBorders>
              <w:top w:val="outset" w:sz="6" w:space="0" w:color="000000"/>
              <w:left w:val="outset" w:sz="6" w:space="0" w:color="000000"/>
              <w:bottom w:val="outset" w:sz="6" w:space="0" w:color="000000"/>
              <w:right w:val="outset" w:sz="6" w:space="0" w:color="000000"/>
            </w:tcBorders>
            <w:noWrap/>
            <w:vAlign w:val="center"/>
            <w:hideMark/>
          </w:tcPr>
          <w:p w14:paraId="30028AF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377 800,00 </w:t>
            </w:r>
          </w:p>
        </w:tc>
        <w:tc>
          <w:tcPr>
            <w:tcW w:w="677" w:type="pct"/>
            <w:tcBorders>
              <w:top w:val="outset" w:sz="6" w:space="0" w:color="000000"/>
              <w:left w:val="outset" w:sz="6" w:space="0" w:color="000000"/>
              <w:bottom w:val="outset" w:sz="6" w:space="0" w:color="000000"/>
              <w:right w:val="outset" w:sz="6" w:space="0" w:color="000000"/>
            </w:tcBorders>
            <w:noWrap/>
            <w:vAlign w:val="center"/>
            <w:hideMark/>
          </w:tcPr>
          <w:p w14:paraId="6C9A3C5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75" w:type="pct"/>
            <w:tcBorders>
              <w:top w:val="outset" w:sz="6" w:space="0" w:color="000000"/>
              <w:left w:val="outset" w:sz="6" w:space="0" w:color="000000"/>
              <w:bottom w:val="outset" w:sz="6" w:space="0" w:color="000000"/>
              <w:right w:val="outset" w:sz="6" w:space="0" w:color="000000"/>
            </w:tcBorders>
            <w:noWrap/>
            <w:vAlign w:val="center"/>
            <w:hideMark/>
          </w:tcPr>
          <w:p w14:paraId="74098CD3"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84" w:type="pct"/>
            <w:tcBorders>
              <w:top w:val="outset" w:sz="6" w:space="0" w:color="000000"/>
              <w:left w:val="outset" w:sz="6" w:space="0" w:color="000000"/>
              <w:bottom w:val="outset" w:sz="6" w:space="0" w:color="000000"/>
              <w:right w:val="outset" w:sz="6" w:space="0" w:color="000000"/>
            </w:tcBorders>
            <w:noWrap/>
            <w:vAlign w:val="center"/>
            <w:hideMark/>
          </w:tcPr>
          <w:p w14:paraId="2D6C75E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8" w:type="pct"/>
            <w:tcBorders>
              <w:top w:val="outset" w:sz="6" w:space="0" w:color="000000"/>
              <w:left w:val="outset" w:sz="6" w:space="0" w:color="000000"/>
              <w:bottom w:val="outset" w:sz="6" w:space="0" w:color="000000"/>
              <w:right w:val="outset" w:sz="6" w:space="0" w:color="000000"/>
            </w:tcBorders>
            <w:noWrap/>
            <w:vAlign w:val="center"/>
            <w:hideMark/>
          </w:tcPr>
          <w:p w14:paraId="34F43DD8"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14:paraId="18F544EA"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noWrap/>
            <w:vAlign w:val="center"/>
            <w:hideMark/>
          </w:tcPr>
          <w:p w14:paraId="14617663"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3453C931"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noWrap/>
            <w:vAlign w:val="center"/>
            <w:hideMark/>
          </w:tcPr>
          <w:p w14:paraId="0D201D4C"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620 </w:t>
            </w:r>
          </w:p>
        </w:tc>
        <w:tc>
          <w:tcPr>
            <w:tcW w:w="1007" w:type="pct"/>
            <w:tcBorders>
              <w:top w:val="outset" w:sz="6" w:space="0" w:color="000000"/>
              <w:left w:val="outset" w:sz="6" w:space="0" w:color="000000"/>
              <w:bottom w:val="outset" w:sz="6" w:space="0" w:color="000000"/>
              <w:right w:val="outset" w:sz="6" w:space="0" w:color="000000"/>
            </w:tcBorders>
            <w:vAlign w:val="center"/>
            <w:hideMark/>
          </w:tcPr>
          <w:p w14:paraId="2410B06C"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Poistné do poisťovní </w:t>
            </w:r>
          </w:p>
        </w:tc>
        <w:tc>
          <w:tcPr>
            <w:tcW w:w="698" w:type="pct"/>
            <w:tcBorders>
              <w:top w:val="outset" w:sz="6" w:space="0" w:color="000000"/>
              <w:left w:val="outset" w:sz="6" w:space="0" w:color="000000"/>
              <w:bottom w:val="outset" w:sz="6" w:space="0" w:color="000000"/>
              <w:right w:val="outset" w:sz="6" w:space="0" w:color="000000"/>
            </w:tcBorders>
            <w:noWrap/>
            <w:vAlign w:val="center"/>
            <w:hideMark/>
          </w:tcPr>
          <w:p w14:paraId="2F4CE17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139 600,00 </w:t>
            </w:r>
          </w:p>
        </w:tc>
        <w:tc>
          <w:tcPr>
            <w:tcW w:w="677" w:type="pct"/>
            <w:tcBorders>
              <w:top w:val="outset" w:sz="6" w:space="0" w:color="000000"/>
              <w:left w:val="outset" w:sz="6" w:space="0" w:color="000000"/>
              <w:bottom w:val="outset" w:sz="6" w:space="0" w:color="000000"/>
              <w:right w:val="outset" w:sz="6" w:space="0" w:color="000000"/>
            </w:tcBorders>
            <w:noWrap/>
            <w:vAlign w:val="center"/>
            <w:hideMark/>
          </w:tcPr>
          <w:p w14:paraId="3372A85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75" w:type="pct"/>
            <w:tcBorders>
              <w:top w:val="outset" w:sz="6" w:space="0" w:color="000000"/>
              <w:left w:val="outset" w:sz="6" w:space="0" w:color="000000"/>
              <w:bottom w:val="outset" w:sz="6" w:space="0" w:color="000000"/>
              <w:right w:val="outset" w:sz="6" w:space="0" w:color="000000"/>
            </w:tcBorders>
            <w:noWrap/>
            <w:vAlign w:val="center"/>
            <w:hideMark/>
          </w:tcPr>
          <w:p w14:paraId="50AFD83B"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84" w:type="pct"/>
            <w:tcBorders>
              <w:top w:val="outset" w:sz="6" w:space="0" w:color="000000"/>
              <w:left w:val="outset" w:sz="6" w:space="0" w:color="000000"/>
              <w:bottom w:val="outset" w:sz="6" w:space="0" w:color="000000"/>
              <w:right w:val="outset" w:sz="6" w:space="0" w:color="000000"/>
            </w:tcBorders>
            <w:noWrap/>
            <w:vAlign w:val="center"/>
            <w:hideMark/>
          </w:tcPr>
          <w:p w14:paraId="0507411B"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8" w:type="pct"/>
            <w:tcBorders>
              <w:top w:val="outset" w:sz="6" w:space="0" w:color="000000"/>
              <w:left w:val="outset" w:sz="6" w:space="0" w:color="000000"/>
              <w:bottom w:val="outset" w:sz="6" w:space="0" w:color="000000"/>
              <w:right w:val="outset" w:sz="6" w:space="0" w:color="000000"/>
            </w:tcBorders>
            <w:noWrap/>
            <w:vAlign w:val="center"/>
            <w:hideMark/>
          </w:tcPr>
          <w:p w14:paraId="02594AFB"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14:paraId="369E2C1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noWrap/>
            <w:vAlign w:val="center"/>
            <w:hideMark/>
          </w:tcPr>
          <w:p w14:paraId="6D0D5A7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088171C6"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noWrap/>
            <w:vAlign w:val="center"/>
            <w:hideMark/>
          </w:tcPr>
          <w:p w14:paraId="0D5A275C"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630 </w:t>
            </w:r>
          </w:p>
        </w:tc>
        <w:tc>
          <w:tcPr>
            <w:tcW w:w="1007" w:type="pct"/>
            <w:tcBorders>
              <w:top w:val="outset" w:sz="6" w:space="0" w:color="000000"/>
              <w:left w:val="outset" w:sz="6" w:space="0" w:color="000000"/>
              <w:bottom w:val="outset" w:sz="6" w:space="0" w:color="000000"/>
              <w:right w:val="outset" w:sz="6" w:space="0" w:color="000000"/>
            </w:tcBorders>
            <w:vAlign w:val="center"/>
            <w:hideMark/>
          </w:tcPr>
          <w:p w14:paraId="56A49DA2"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Tovary a služby </w:t>
            </w:r>
          </w:p>
        </w:tc>
        <w:tc>
          <w:tcPr>
            <w:tcW w:w="698" w:type="pct"/>
            <w:tcBorders>
              <w:top w:val="outset" w:sz="6" w:space="0" w:color="000000"/>
              <w:left w:val="outset" w:sz="6" w:space="0" w:color="000000"/>
              <w:bottom w:val="outset" w:sz="6" w:space="0" w:color="000000"/>
              <w:right w:val="outset" w:sz="6" w:space="0" w:color="000000"/>
            </w:tcBorders>
            <w:noWrap/>
            <w:vAlign w:val="center"/>
            <w:hideMark/>
          </w:tcPr>
          <w:p w14:paraId="044025F3"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281 030,00 </w:t>
            </w:r>
          </w:p>
        </w:tc>
        <w:tc>
          <w:tcPr>
            <w:tcW w:w="677" w:type="pct"/>
            <w:tcBorders>
              <w:top w:val="outset" w:sz="6" w:space="0" w:color="000000"/>
              <w:left w:val="outset" w:sz="6" w:space="0" w:color="000000"/>
              <w:bottom w:val="outset" w:sz="6" w:space="0" w:color="000000"/>
              <w:right w:val="outset" w:sz="6" w:space="0" w:color="000000"/>
            </w:tcBorders>
            <w:noWrap/>
            <w:vAlign w:val="center"/>
            <w:hideMark/>
          </w:tcPr>
          <w:p w14:paraId="2BFC837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75" w:type="pct"/>
            <w:tcBorders>
              <w:top w:val="outset" w:sz="6" w:space="0" w:color="000000"/>
              <w:left w:val="outset" w:sz="6" w:space="0" w:color="000000"/>
              <w:bottom w:val="outset" w:sz="6" w:space="0" w:color="000000"/>
              <w:right w:val="outset" w:sz="6" w:space="0" w:color="000000"/>
            </w:tcBorders>
            <w:noWrap/>
            <w:vAlign w:val="center"/>
            <w:hideMark/>
          </w:tcPr>
          <w:p w14:paraId="114B475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84" w:type="pct"/>
            <w:tcBorders>
              <w:top w:val="outset" w:sz="6" w:space="0" w:color="000000"/>
              <w:left w:val="outset" w:sz="6" w:space="0" w:color="000000"/>
              <w:bottom w:val="outset" w:sz="6" w:space="0" w:color="000000"/>
              <w:right w:val="outset" w:sz="6" w:space="0" w:color="000000"/>
            </w:tcBorders>
            <w:noWrap/>
            <w:vAlign w:val="center"/>
            <w:hideMark/>
          </w:tcPr>
          <w:p w14:paraId="0FFBA9EC"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8" w:type="pct"/>
            <w:tcBorders>
              <w:top w:val="outset" w:sz="6" w:space="0" w:color="000000"/>
              <w:left w:val="outset" w:sz="6" w:space="0" w:color="000000"/>
              <w:bottom w:val="outset" w:sz="6" w:space="0" w:color="000000"/>
              <w:right w:val="outset" w:sz="6" w:space="0" w:color="000000"/>
            </w:tcBorders>
            <w:noWrap/>
            <w:vAlign w:val="center"/>
            <w:hideMark/>
          </w:tcPr>
          <w:p w14:paraId="44B27EC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14:paraId="0EB5788D"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noWrap/>
            <w:vAlign w:val="center"/>
            <w:hideMark/>
          </w:tcPr>
          <w:p w14:paraId="62DE62CE"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691DB457"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noWrap/>
            <w:vAlign w:val="center"/>
            <w:hideMark/>
          </w:tcPr>
          <w:p w14:paraId="68F672D9"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640 </w:t>
            </w:r>
          </w:p>
        </w:tc>
        <w:tc>
          <w:tcPr>
            <w:tcW w:w="1007" w:type="pct"/>
            <w:tcBorders>
              <w:top w:val="outset" w:sz="6" w:space="0" w:color="000000"/>
              <w:left w:val="outset" w:sz="6" w:space="0" w:color="000000"/>
              <w:bottom w:val="outset" w:sz="6" w:space="0" w:color="000000"/>
              <w:right w:val="outset" w:sz="6" w:space="0" w:color="000000"/>
            </w:tcBorders>
            <w:vAlign w:val="center"/>
            <w:hideMark/>
          </w:tcPr>
          <w:p w14:paraId="51A0D855"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Bežné transfery </w:t>
            </w:r>
          </w:p>
        </w:tc>
        <w:tc>
          <w:tcPr>
            <w:tcW w:w="698" w:type="pct"/>
            <w:tcBorders>
              <w:top w:val="outset" w:sz="6" w:space="0" w:color="000000"/>
              <w:left w:val="outset" w:sz="6" w:space="0" w:color="000000"/>
              <w:bottom w:val="outset" w:sz="6" w:space="0" w:color="000000"/>
              <w:right w:val="outset" w:sz="6" w:space="0" w:color="000000"/>
            </w:tcBorders>
            <w:noWrap/>
            <w:vAlign w:val="center"/>
            <w:hideMark/>
          </w:tcPr>
          <w:p w14:paraId="2298052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 xml:space="preserve">400,00 </w:t>
            </w:r>
          </w:p>
        </w:tc>
        <w:tc>
          <w:tcPr>
            <w:tcW w:w="677" w:type="pct"/>
            <w:tcBorders>
              <w:top w:val="outset" w:sz="6" w:space="0" w:color="000000"/>
              <w:left w:val="outset" w:sz="6" w:space="0" w:color="000000"/>
              <w:bottom w:val="outset" w:sz="6" w:space="0" w:color="000000"/>
              <w:right w:val="outset" w:sz="6" w:space="0" w:color="000000"/>
            </w:tcBorders>
            <w:noWrap/>
            <w:vAlign w:val="center"/>
            <w:hideMark/>
          </w:tcPr>
          <w:p w14:paraId="3D098B1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75" w:type="pct"/>
            <w:tcBorders>
              <w:top w:val="outset" w:sz="6" w:space="0" w:color="000000"/>
              <w:left w:val="outset" w:sz="6" w:space="0" w:color="000000"/>
              <w:bottom w:val="outset" w:sz="6" w:space="0" w:color="000000"/>
              <w:right w:val="outset" w:sz="6" w:space="0" w:color="000000"/>
            </w:tcBorders>
            <w:noWrap/>
            <w:vAlign w:val="center"/>
            <w:hideMark/>
          </w:tcPr>
          <w:p w14:paraId="32290157"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84" w:type="pct"/>
            <w:tcBorders>
              <w:top w:val="outset" w:sz="6" w:space="0" w:color="000000"/>
              <w:left w:val="outset" w:sz="6" w:space="0" w:color="000000"/>
              <w:bottom w:val="outset" w:sz="6" w:space="0" w:color="000000"/>
              <w:right w:val="outset" w:sz="6" w:space="0" w:color="000000"/>
            </w:tcBorders>
            <w:noWrap/>
            <w:vAlign w:val="center"/>
            <w:hideMark/>
          </w:tcPr>
          <w:p w14:paraId="6A252B3D"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8" w:type="pct"/>
            <w:tcBorders>
              <w:top w:val="outset" w:sz="6" w:space="0" w:color="000000"/>
              <w:left w:val="outset" w:sz="6" w:space="0" w:color="000000"/>
              <w:bottom w:val="outset" w:sz="6" w:space="0" w:color="000000"/>
              <w:right w:val="outset" w:sz="6" w:space="0" w:color="000000"/>
            </w:tcBorders>
            <w:noWrap/>
            <w:vAlign w:val="center"/>
            <w:hideMark/>
          </w:tcPr>
          <w:p w14:paraId="2EF8ABB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14:paraId="14DF415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noWrap/>
            <w:vAlign w:val="center"/>
            <w:hideMark/>
          </w:tcPr>
          <w:p w14:paraId="53D9E47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bl>
    <w:p w14:paraId="339C6006"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50"/>
        <w:gridCol w:w="1966"/>
        <w:gridCol w:w="1975"/>
        <w:gridCol w:w="1772"/>
        <w:gridCol w:w="1787"/>
      </w:tblGrid>
      <w:tr w:rsidR="00A1066F" w:rsidRPr="00A1066F" w14:paraId="64C87355"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1C87A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8D7B8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58F2D530"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FD71C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038AD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2D7583C2"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E9864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D1249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314943FC"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4C674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237C7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6AC15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88E85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4676D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8B37467"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C1F16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5650C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125</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66F9F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90D16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BF01C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r>
      <w:tr w:rsidR="00A1066F" w:rsidRPr="00A1066F" w14:paraId="552016C6"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854FB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50C19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381C7E97"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167E0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EC983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9799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FA96D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795E1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B9F5844"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312A9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3BC47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125</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EDBCE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74234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79903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r>
    </w:tbl>
    <w:p w14:paraId="3B09F5F4"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Škola je od 1. 9. 2024 vyradená zo siete, pokračujúcimi školami sú SOŠ informačných technológií, Hlinická 1, Bratislava a SOŠ technológií a remesiel, </w:t>
      </w:r>
      <w:proofErr w:type="spellStart"/>
      <w:r w:rsidRPr="00A1066F">
        <w:rPr>
          <w:rFonts w:ascii="Calibri" w:eastAsia="Times New Roman" w:hAnsi="Calibri" w:cs="Calibri"/>
          <w:sz w:val="24"/>
          <w:szCs w:val="24"/>
          <w:lang w:eastAsia="sk-SK"/>
        </w:rPr>
        <w:t>Ivanská</w:t>
      </w:r>
      <w:proofErr w:type="spellEnd"/>
      <w:r w:rsidRPr="00A1066F">
        <w:rPr>
          <w:rFonts w:ascii="Calibri" w:eastAsia="Times New Roman" w:hAnsi="Calibri" w:cs="Calibri"/>
          <w:sz w:val="24"/>
          <w:szCs w:val="24"/>
          <w:lang w:eastAsia="sk-SK"/>
        </w:rPr>
        <w:t xml:space="preserve"> cesta 21, Bratislava. </w:t>
      </w:r>
    </w:p>
    <w:p w14:paraId="082D75E6"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lastRenderedPageBreak/>
        <w:t>Prvok 8.3.16: SOŠ hotelových služieb a obchodu, Na pántoch 9, BA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28"/>
        <w:gridCol w:w="2330"/>
        <w:gridCol w:w="1400"/>
        <w:gridCol w:w="1352"/>
        <w:gridCol w:w="767"/>
        <w:gridCol w:w="1297"/>
        <w:gridCol w:w="779"/>
        <w:gridCol w:w="1398"/>
        <w:gridCol w:w="599"/>
      </w:tblGrid>
      <w:tr w:rsidR="00A1066F" w:rsidRPr="00A1066F" w14:paraId="41D83E40"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310AD6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080C0039" w14:textId="77777777" w:rsidTr="007468A0">
        <w:trPr>
          <w:tblCellSpacing w:w="15" w:type="dxa"/>
        </w:trPr>
        <w:tc>
          <w:tcPr>
            <w:tcW w:w="23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FD8F93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10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1DC7B6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65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771DD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6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EC1CCB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35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BD7D7C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60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7EEAA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35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9FDDDD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65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B33752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6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21B43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496F3C1E" w14:textId="77777777" w:rsidTr="007468A0">
        <w:trPr>
          <w:tblCellSpacing w:w="15" w:type="dxa"/>
        </w:trPr>
        <w:tc>
          <w:tcPr>
            <w:tcW w:w="23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F71347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11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F5B38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F64CF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1 513 400,00</w:t>
            </w:r>
            <w:r w:rsidRPr="00A1066F">
              <w:rPr>
                <w:rFonts w:ascii="Calibri" w:eastAsia="Times New Roman" w:hAnsi="Calibri" w:cs="Calibri"/>
                <w:sz w:val="24"/>
                <w:szCs w:val="24"/>
                <w:lang w:eastAsia="sk-SK"/>
              </w:rPr>
              <w:t xml:space="preserve"> </w:t>
            </w:r>
          </w:p>
        </w:tc>
        <w:tc>
          <w:tcPr>
            <w:tcW w:w="6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F4702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3"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7F9E1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E110AF"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49B6C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5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0F4F84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E4ED4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2B47D9DD" w14:textId="77777777" w:rsidTr="007468A0">
        <w:trPr>
          <w:tblCellSpacing w:w="15" w:type="dxa"/>
        </w:trPr>
        <w:tc>
          <w:tcPr>
            <w:tcW w:w="23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6232C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11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41C02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7547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1 513 400,00</w:t>
            </w:r>
            <w:r w:rsidRPr="00A1066F">
              <w:rPr>
                <w:rFonts w:ascii="Calibri" w:eastAsia="Times New Roman" w:hAnsi="Calibri" w:cs="Calibri"/>
                <w:sz w:val="24"/>
                <w:szCs w:val="24"/>
                <w:lang w:eastAsia="sk-SK"/>
              </w:rPr>
              <w:t xml:space="preserve"> </w:t>
            </w:r>
          </w:p>
        </w:tc>
        <w:tc>
          <w:tcPr>
            <w:tcW w:w="6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51313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353"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D9AA0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0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5BA37C"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9B8B96"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5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46D488"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54337C"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35614292" w14:textId="77777777" w:rsidTr="007468A0">
        <w:trPr>
          <w:tblCellSpacing w:w="15" w:type="dxa"/>
        </w:trPr>
        <w:tc>
          <w:tcPr>
            <w:tcW w:w="231" w:type="pct"/>
            <w:tcBorders>
              <w:top w:val="outset" w:sz="6" w:space="0" w:color="000000"/>
              <w:left w:val="outset" w:sz="6" w:space="0" w:color="000000"/>
              <w:bottom w:val="outset" w:sz="6" w:space="0" w:color="000000"/>
              <w:right w:val="outset" w:sz="6" w:space="0" w:color="000000"/>
            </w:tcBorders>
            <w:noWrap/>
            <w:vAlign w:val="center"/>
            <w:hideMark/>
          </w:tcPr>
          <w:p w14:paraId="7E7DC78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1101" w:type="pct"/>
            <w:tcBorders>
              <w:top w:val="outset" w:sz="6" w:space="0" w:color="000000"/>
              <w:left w:val="outset" w:sz="6" w:space="0" w:color="000000"/>
              <w:bottom w:val="outset" w:sz="6" w:space="0" w:color="000000"/>
              <w:right w:val="outset" w:sz="6" w:space="0" w:color="000000"/>
            </w:tcBorders>
            <w:vAlign w:val="center"/>
            <w:hideMark/>
          </w:tcPr>
          <w:p w14:paraId="3A5B7FF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noWrap/>
            <w:vAlign w:val="center"/>
            <w:hideMark/>
          </w:tcPr>
          <w:p w14:paraId="634A354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1 513 400,00</w:t>
            </w:r>
            <w:r w:rsidRPr="00A1066F">
              <w:rPr>
                <w:rFonts w:ascii="Calibri" w:eastAsia="Times New Roman" w:hAnsi="Calibri" w:cs="Calibri"/>
                <w:sz w:val="24"/>
                <w:szCs w:val="24"/>
                <w:lang w:eastAsia="sk-SK"/>
              </w:rPr>
              <w:t xml:space="preserve"> </w:t>
            </w:r>
          </w:p>
        </w:tc>
        <w:tc>
          <w:tcPr>
            <w:tcW w:w="632" w:type="pct"/>
            <w:tcBorders>
              <w:top w:val="outset" w:sz="6" w:space="0" w:color="000000"/>
              <w:left w:val="outset" w:sz="6" w:space="0" w:color="000000"/>
              <w:bottom w:val="outset" w:sz="6" w:space="0" w:color="000000"/>
              <w:right w:val="outset" w:sz="6" w:space="0" w:color="000000"/>
            </w:tcBorders>
            <w:noWrap/>
            <w:vAlign w:val="center"/>
            <w:hideMark/>
          </w:tcPr>
          <w:p w14:paraId="30EA9DE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353" w:type="pct"/>
            <w:tcBorders>
              <w:top w:val="outset" w:sz="6" w:space="0" w:color="000000"/>
              <w:left w:val="outset" w:sz="6" w:space="0" w:color="000000"/>
              <w:bottom w:val="outset" w:sz="6" w:space="0" w:color="000000"/>
              <w:right w:val="outset" w:sz="6" w:space="0" w:color="000000"/>
            </w:tcBorders>
            <w:noWrap/>
            <w:vAlign w:val="center"/>
            <w:hideMark/>
          </w:tcPr>
          <w:p w14:paraId="33B7F70A"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06" w:type="pct"/>
            <w:tcBorders>
              <w:top w:val="outset" w:sz="6" w:space="0" w:color="000000"/>
              <w:left w:val="outset" w:sz="6" w:space="0" w:color="000000"/>
              <w:bottom w:val="outset" w:sz="6" w:space="0" w:color="000000"/>
              <w:right w:val="outset" w:sz="6" w:space="0" w:color="000000"/>
            </w:tcBorders>
            <w:noWrap/>
            <w:vAlign w:val="center"/>
            <w:hideMark/>
          </w:tcPr>
          <w:p w14:paraId="338D11DA"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8" w:type="pct"/>
            <w:tcBorders>
              <w:top w:val="outset" w:sz="6" w:space="0" w:color="000000"/>
              <w:left w:val="outset" w:sz="6" w:space="0" w:color="000000"/>
              <w:bottom w:val="outset" w:sz="6" w:space="0" w:color="000000"/>
              <w:right w:val="outset" w:sz="6" w:space="0" w:color="000000"/>
            </w:tcBorders>
            <w:noWrap/>
            <w:vAlign w:val="center"/>
            <w:hideMark/>
          </w:tcPr>
          <w:p w14:paraId="45F29C28"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14:paraId="075D7AB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noWrap/>
            <w:vAlign w:val="center"/>
            <w:hideMark/>
          </w:tcPr>
          <w:p w14:paraId="283932DE"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bl>
    <w:p w14:paraId="6F439F4C"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536E115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4312A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2F8E2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43C1D84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9C0B0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60C06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0CA4155C"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920F3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5F073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2454B02"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D4182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AE7C3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DEFAE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4B61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E77A2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5D3CF1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5B71B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25E86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284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515B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1D404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37DAD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r>
      <w:tr w:rsidR="00A1066F" w:rsidRPr="00A1066F" w14:paraId="056A67DE"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BC5C6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32AED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4D971D7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1F699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21C92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2F939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3E1CB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E1556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4573AB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529F5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B6EA0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280</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3BDA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341B5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0A9D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r>
    </w:tbl>
    <w:p w14:paraId="1175853C"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Škola je od 1. 9. 2024 vyradená zo siete, pokračujúcimi školami sa stali Hotelová akadémia, </w:t>
      </w:r>
      <w:proofErr w:type="spellStart"/>
      <w:r w:rsidRPr="00A1066F">
        <w:rPr>
          <w:rFonts w:ascii="Calibri" w:eastAsia="Times New Roman" w:hAnsi="Calibri" w:cs="Calibri"/>
          <w:sz w:val="24"/>
          <w:szCs w:val="24"/>
          <w:lang w:eastAsia="sk-SK"/>
        </w:rPr>
        <w:t>Mikovíniho</w:t>
      </w:r>
      <w:proofErr w:type="spellEnd"/>
      <w:r w:rsidRPr="00A1066F">
        <w:rPr>
          <w:rFonts w:ascii="Calibri" w:eastAsia="Times New Roman" w:hAnsi="Calibri" w:cs="Calibri"/>
          <w:sz w:val="24"/>
          <w:szCs w:val="24"/>
          <w:lang w:eastAsia="sk-SK"/>
        </w:rPr>
        <w:t xml:space="preserve"> 1, Bratislava a SOŠ gastronómie a hotelových služieb, Farského 9, Bratislava.</w:t>
      </w:r>
    </w:p>
    <w:p w14:paraId="73333382"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8.3.17: SOŠ informačných technológií, Hlinická 1, BA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14E38943"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E4C018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0BEF6D8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815946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EBDF3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9DEC45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1F914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0152FC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7D7B19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8C52A8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FD3EC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45D576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A4779E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B499CB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0E466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AF34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1 093 300,00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7B527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1 381 200,00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16F49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126,33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B25DD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1 381 200,00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C7975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04C2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1 381 200,00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A7DFF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A2EAA4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1D03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2AFB4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F778A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1 093 300,00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DCD4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1 381 200,00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CC065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126,33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1C42E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1 381 200,00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3F3EB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56693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1 381 200,00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0F68A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5E9F6C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4851C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76C25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099B0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1 093 300,00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8C5F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1 381 200,00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23FBE9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126,33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7EECE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1 381 200,00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A547D5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5A693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1 381 200,00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58477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1BAD9C8B"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967"/>
        <w:gridCol w:w="1838"/>
        <w:gridCol w:w="1772"/>
        <w:gridCol w:w="1787"/>
      </w:tblGrid>
      <w:tr w:rsidR="00A1066F" w:rsidRPr="00A1066F" w14:paraId="2EFB2A8C"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5B4F5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FED9E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4B4DA3A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9C015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EC678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3CA640A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8C1B2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FB819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0509F96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0B7AF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7870C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8C4EF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BE92E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15953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684321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B2CF5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CA444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261</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A95C2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4175F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57AC9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346</w:t>
            </w:r>
          </w:p>
        </w:tc>
      </w:tr>
      <w:tr w:rsidR="00A1066F" w:rsidRPr="00A1066F" w14:paraId="06010905"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822FA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6C478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5A533A8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C3CBC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6D454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082A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52A18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0B80A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418F08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F8CE7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1596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261</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36D75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EFDED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346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4423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346</w:t>
            </w:r>
          </w:p>
        </w:tc>
      </w:tr>
    </w:tbl>
    <w:p w14:paraId="6BD00E55" w14:textId="77777777" w:rsid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učebných a študijných odborov je na elektrotechniku, informačné a telekomunikačné technológie a poštu v dennej forme štúdia a v nadstavbovom štúdiu. Škola pôsobí od 1.9.2012 ako Centrum odborného vzdelávania a prípravy pre oblasť elektrotechniky a informačných technológií. </w:t>
      </w:r>
    </w:p>
    <w:p w14:paraId="03B364BD" w14:textId="77777777" w:rsidR="004457F3" w:rsidRDefault="004457F3" w:rsidP="00A1066F">
      <w:pPr>
        <w:spacing w:before="100" w:beforeAutospacing="1" w:after="100" w:afterAutospacing="1" w:line="240" w:lineRule="auto"/>
        <w:jc w:val="both"/>
        <w:rPr>
          <w:rFonts w:ascii="Calibri" w:eastAsia="Times New Roman" w:hAnsi="Calibri" w:cs="Calibri"/>
          <w:sz w:val="24"/>
          <w:szCs w:val="24"/>
          <w:lang w:eastAsia="sk-SK"/>
        </w:rPr>
      </w:pPr>
    </w:p>
    <w:p w14:paraId="0357303B" w14:textId="77777777" w:rsidR="004457F3" w:rsidRPr="00A1066F" w:rsidRDefault="004457F3" w:rsidP="00A1066F">
      <w:pPr>
        <w:spacing w:before="100" w:beforeAutospacing="1" w:after="100" w:afterAutospacing="1" w:line="240" w:lineRule="auto"/>
        <w:jc w:val="both"/>
        <w:rPr>
          <w:rFonts w:ascii="Calibri" w:eastAsia="Times New Roman" w:hAnsi="Calibri" w:cs="Calibri"/>
          <w:sz w:val="24"/>
          <w:szCs w:val="24"/>
          <w:lang w:eastAsia="sk-SK"/>
        </w:rPr>
      </w:pPr>
    </w:p>
    <w:p w14:paraId="27C2C1ED"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lastRenderedPageBreak/>
        <w:t>Prvok 8.3.18: SOŠ technická, Vranovská 4,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21"/>
        <w:gridCol w:w="2116"/>
        <w:gridCol w:w="1315"/>
        <w:gridCol w:w="1512"/>
        <w:gridCol w:w="649"/>
        <w:gridCol w:w="1512"/>
        <w:gridCol w:w="649"/>
        <w:gridCol w:w="1512"/>
        <w:gridCol w:w="664"/>
      </w:tblGrid>
      <w:tr w:rsidR="00A1066F" w:rsidRPr="00A1066F" w14:paraId="2456D025"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5965C1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5B6EBD6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17BD88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72DCE7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57746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D18F83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1F758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10F6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ACC91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EA103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7C73A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48BDF0F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65783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C2386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FB11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815 670,00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CFB16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1 027 400,00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D6DC5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125,96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D000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1 027 400,00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BC64D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762D5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1 027 400,00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B5CE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03D981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D0F4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4F902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5A841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815 670,00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89F7E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1 027 400,00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F7ACA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125,96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A6B5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1 027 400,00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9338E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FAFE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1 027 400,00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FFE69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498E419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0008B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5B18F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D996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328 000,00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68926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426 000,00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FC5E9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129,88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98597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426 000,00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DAD929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DD423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426 000,00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142C50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A86AB9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77FF3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8709B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E8CB3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168 070,00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D9D4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172 100,00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2DBED73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5331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172 100,00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BA655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3A496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172 100,00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221E96A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6C29915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724DD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205C7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38704F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319 600,00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D5334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429 300,00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671CAD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134,32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46E2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429 300,00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0463CC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B017F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429 300,00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5940F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11B8E935"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50"/>
        <w:gridCol w:w="1966"/>
        <w:gridCol w:w="1975"/>
        <w:gridCol w:w="1772"/>
        <w:gridCol w:w="1787"/>
      </w:tblGrid>
      <w:tr w:rsidR="00A1066F" w:rsidRPr="00A1066F" w14:paraId="3A87434B"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D757D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50C44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419C4E04"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2D6A1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4CBA8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5D577D88"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69D72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6FDBF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0D8A36A"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77B79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CA753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FEBD2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AA88A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49088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C697218"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02163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1A12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157</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52A9F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198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50127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198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E265D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198</w:t>
            </w:r>
          </w:p>
        </w:tc>
      </w:tr>
      <w:tr w:rsidR="00A1066F" w:rsidRPr="00A1066F" w14:paraId="635B0F8A"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4AFB2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90F6D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6E003FD1"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70151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E726F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CFCB3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B4013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9FFED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9F36D03"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9D1A3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0413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95</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5D220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134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EF947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1EF03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134</w:t>
            </w:r>
          </w:p>
        </w:tc>
      </w:tr>
    </w:tbl>
    <w:p w14:paraId="3AA9FAE9"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učebných a študijných odborov je na strojárstvo a kovospracúvaciu výrobu, umeleckoremeselnú tvorbu. Ide o dennú formu štúdia, nadstavbovú formu štúdia a 2-ročné odborné vzdelanie. </w:t>
      </w:r>
    </w:p>
    <w:p w14:paraId="23909C21" w14:textId="77777777" w:rsidR="00A1066F" w:rsidRPr="00A1066F" w:rsidRDefault="00A1066F" w:rsidP="00A1066F">
      <w:pPr>
        <w:spacing w:before="100" w:beforeAutospacing="1" w:after="100" w:afterAutospacing="1" w:line="240" w:lineRule="auto"/>
        <w:jc w:val="both"/>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8.3.21 Spojená škola, Tokajícka 24, BA – Škola umeleckého priemyslu, SOŠ drevárska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4"/>
        <w:gridCol w:w="2167"/>
        <w:gridCol w:w="1479"/>
        <w:gridCol w:w="1479"/>
        <w:gridCol w:w="548"/>
        <w:gridCol w:w="1480"/>
        <w:gridCol w:w="649"/>
        <w:gridCol w:w="1480"/>
        <w:gridCol w:w="664"/>
      </w:tblGrid>
      <w:tr w:rsidR="00A1066F" w:rsidRPr="00A1066F" w14:paraId="25375753"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C2620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531D0A5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1DC83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C96E79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40084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8AD6B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5B665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173201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8A289B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E8AF5C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03714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525B2C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2317E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59DB4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73D25A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1 538 399,00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D9633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1 535 450,00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C0D5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99,81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BE29A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1 535 450,00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501E5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A8DE6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1 535 450,00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69C7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12B974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47F39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59407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0B40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1 538 399,00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B6EAA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1 535 450,00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542B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99,81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08835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1 535 450,00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A4347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D7E97F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1 535 450,00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C98E8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83423A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580CF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CF6F96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CA1CA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1 538 399,00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B9729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1 535 450,00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A6E728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99,81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2CBD8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1 535 450,00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16F89A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F00D2E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1 535 450,00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DA82F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6349E204"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4905AF8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708D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EF07A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66185D5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2C367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3284A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Spojenej škole</w:t>
            </w:r>
          </w:p>
        </w:tc>
      </w:tr>
      <w:tr w:rsidR="00A1066F" w:rsidRPr="00A1066F" w14:paraId="3824046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C124C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ABAD4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8CCC44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C94A9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40648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5D02F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4827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26350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FCEDE5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91B76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34957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284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57144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270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B0DE9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587D6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270</w:t>
            </w:r>
          </w:p>
        </w:tc>
      </w:tr>
      <w:tr w:rsidR="00A1066F" w:rsidRPr="00A1066F" w14:paraId="2DE50935"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354D6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E67A0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6ABE26A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9F10D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55F91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420AA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9E6E1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F283F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0470F9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DE04D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6BEDE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284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930CF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270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661DB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8F3DE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270</w:t>
            </w:r>
          </w:p>
        </w:tc>
      </w:tr>
    </w:tbl>
    <w:p w14:paraId="212D64E1"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organizačnej zložky SOŠ je hlavne na umeleckoremeselnú tvorbu, textil a odevníctvo - denná forma štúdia, denné nadstavbové štúdium a pomaturitné štúdium. Od 1. 7. 2013 sa škola zlúčila so SOŠ drevárskou, </w:t>
      </w:r>
      <w:proofErr w:type="spellStart"/>
      <w:r w:rsidRPr="00A1066F">
        <w:rPr>
          <w:rFonts w:ascii="Calibri" w:eastAsia="Times New Roman" w:hAnsi="Calibri" w:cs="Calibri"/>
          <w:sz w:val="24"/>
          <w:szCs w:val="24"/>
          <w:lang w:eastAsia="sk-SK"/>
        </w:rPr>
        <w:t>Pavlovičova</w:t>
      </w:r>
      <w:proofErr w:type="spellEnd"/>
      <w:r w:rsidRPr="00A1066F">
        <w:rPr>
          <w:rFonts w:ascii="Calibri" w:eastAsia="Times New Roman" w:hAnsi="Calibri" w:cs="Calibri"/>
          <w:sz w:val="24"/>
          <w:szCs w:val="24"/>
          <w:lang w:eastAsia="sk-SK"/>
        </w:rPr>
        <w:t xml:space="preserve"> 3 v Bratislave (Prvok 8.3.9), ktorá sa stala jej organizačnou zložkou so zameraním učebných a študijných odborov na spracúvanie dreva a umelecký priemysel. Spojená </w:t>
      </w:r>
      <w:r w:rsidRPr="00A1066F">
        <w:rPr>
          <w:rFonts w:ascii="Calibri" w:eastAsia="Times New Roman" w:hAnsi="Calibri" w:cs="Calibri"/>
          <w:sz w:val="24"/>
          <w:szCs w:val="24"/>
          <w:lang w:eastAsia="sk-SK"/>
        </w:rPr>
        <w:lastRenderedPageBreak/>
        <w:t>škola, Tokajícka 24, Bratislava spolu s jej organizačnými zložkami Gymnázium, Stredná odborná škola drevárska a Škola umeleckého priemyslu bude k 31. 8. 2025 vyradená zo siete škôl a školských zariadení a zrušená, následne bude zaradená do siete škôl a školských zariadení ako Škola umeleckého priemyslu, Tokajícka 24, Bratislava k 1. 9. 2025.</w:t>
      </w:r>
    </w:p>
    <w:p w14:paraId="6583C37C"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8.3.22: SOŠ chemická, Vlčie Hrdlo 50,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69"/>
        <w:gridCol w:w="2263"/>
        <w:gridCol w:w="1414"/>
        <w:gridCol w:w="1414"/>
        <w:gridCol w:w="649"/>
        <w:gridCol w:w="1414"/>
        <w:gridCol w:w="649"/>
        <w:gridCol w:w="1414"/>
        <w:gridCol w:w="764"/>
      </w:tblGrid>
      <w:tr w:rsidR="00A1066F" w:rsidRPr="00A1066F" w14:paraId="1927DDD4"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AEF4B4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784EDEE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975CB3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7027F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E7449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3F2D6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6BE568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F0A987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488E1A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44BED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59564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DBBC22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C9C48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84E72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A580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1 220 279,00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3C3E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1 332 815,00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45AF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109,22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26EB4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1 407 454,00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FD983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105,60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C5FC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1 538 903,00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84123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109,34</w:t>
            </w:r>
            <w:r w:rsidRPr="00A1066F">
              <w:rPr>
                <w:rFonts w:ascii="Calibri" w:eastAsia="Times New Roman" w:hAnsi="Calibri" w:cs="Calibri"/>
                <w:sz w:val="24"/>
                <w:szCs w:val="24"/>
                <w:lang w:eastAsia="sk-SK"/>
              </w:rPr>
              <w:t xml:space="preserve"> </w:t>
            </w:r>
          </w:p>
        </w:tc>
      </w:tr>
      <w:tr w:rsidR="00A1066F" w:rsidRPr="00A1066F" w14:paraId="04C2975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158F2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22357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6A161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1 220 279,00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DD12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1 332 815,00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21171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109,22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7F0E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1 407 454,00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6A21C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105,60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9DD16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1 538 903,00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77A3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109,34</w:t>
            </w:r>
            <w:r w:rsidRPr="00A1066F">
              <w:rPr>
                <w:rFonts w:ascii="Calibri" w:eastAsia="Times New Roman" w:hAnsi="Calibri" w:cs="Calibri"/>
                <w:sz w:val="24"/>
                <w:szCs w:val="24"/>
                <w:lang w:eastAsia="sk-SK"/>
              </w:rPr>
              <w:t xml:space="preserve"> </w:t>
            </w:r>
          </w:p>
        </w:tc>
      </w:tr>
      <w:tr w:rsidR="00A1066F" w:rsidRPr="00A1066F" w14:paraId="0B07C63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35218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53021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8511D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740 574,00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0A2F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777 771,00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DDBD59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9D7EE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854 837,00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61B6D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109,91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54260F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939 610,00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E8FBB0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109,92</w:t>
            </w:r>
            <w:r w:rsidRPr="00A1066F">
              <w:rPr>
                <w:rFonts w:ascii="Calibri" w:eastAsia="Times New Roman" w:hAnsi="Calibri" w:cs="Calibri"/>
                <w:sz w:val="24"/>
                <w:szCs w:val="24"/>
                <w:lang w:eastAsia="sk-SK"/>
              </w:rPr>
              <w:t xml:space="preserve"> </w:t>
            </w:r>
          </w:p>
        </w:tc>
      </w:tr>
      <w:tr w:rsidR="00A1066F" w:rsidRPr="00A1066F" w14:paraId="376701D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4B829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DEDD6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3E0E23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261 842,00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52D5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283 807,00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5DB76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108,39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4BEF3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311 517,00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F25EB6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109,76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CC3913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341 993,00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5A71F4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109,78</w:t>
            </w:r>
            <w:r w:rsidRPr="00A1066F">
              <w:rPr>
                <w:rFonts w:ascii="Calibri" w:eastAsia="Times New Roman" w:hAnsi="Calibri" w:cs="Calibri"/>
                <w:sz w:val="24"/>
                <w:szCs w:val="24"/>
                <w:lang w:eastAsia="sk-SK"/>
              </w:rPr>
              <w:t xml:space="preserve"> </w:t>
            </w:r>
          </w:p>
        </w:tc>
      </w:tr>
      <w:tr w:rsidR="00A1066F" w:rsidRPr="00A1066F" w14:paraId="401CB56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BF61C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1748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42EA8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208 085,00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2BD77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257 419,00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0F6DB2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123,71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436ED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238 420,00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AFF32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92,62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40313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229 412,00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8ABC12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96,22</w:t>
            </w:r>
            <w:r w:rsidRPr="00A1066F">
              <w:rPr>
                <w:rFonts w:ascii="Calibri" w:eastAsia="Times New Roman" w:hAnsi="Calibri" w:cs="Calibri"/>
                <w:sz w:val="24"/>
                <w:szCs w:val="24"/>
                <w:lang w:eastAsia="sk-SK"/>
              </w:rPr>
              <w:t xml:space="preserve"> </w:t>
            </w:r>
          </w:p>
        </w:tc>
      </w:tr>
      <w:tr w:rsidR="00A1066F" w:rsidRPr="00A1066F" w14:paraId="59EF6AB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868F76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E81E5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E07C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9 778,00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1A90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13 818,00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52BE77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141,32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5B1AF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2 680,00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227518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19,39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7048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27 888,00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398047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1040,60</w:t>
            </w:r>
            <w:r w:rsidRPr="00A1066F">
              <w:rPr>
                <w:rFonts w:ascii="Calibri" w:eastAsia="Times New Roman" w:hAnsi="Calibri" w:cs="Calibri"/>
                <w:sz w:val="24"/>
                <w:szCs w:val="24"/>
                <w:lang w:eastAsia="sk-SK"/>
              </w:rPr>
              <w:t xml:space="preserve"> </w:t>
            </w:r>
          </w:p>
        </w:tc>
      </w:tr>
    </w:tbl>
    <w:p w14:paraId="50DEF95A"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15279EA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10D4F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C7482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r w:rsidRPr="00A1066F">
              <w:rPr>
                <w:rFonts w:ascii="Calibri" w:eastAsia="Times New Roman" w:hAnsi="Calibri" w:cs="Calibri"/>
                <w:sz w:val="24"/>
                <w:szCs w:val="24"/>
                <w:lang w:eastAsia="sk-SK"/>
              </w:rPr>
              <w:br/>
            </w:r>
          </w:p>
        </w:tc>
      </w:tr>
      <w:tr w:rsidR="00A1066F" w:rsidRPr="00A1066F" w14:paraId="75D3ED0C"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FEB6D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B8990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30B357FC"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39CC1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57430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spolu</w:t>
            </w:r>
          </w:p>
        </w:tc>
      </w:tr>
      <w:tr w:rsidR="00A1066F" w:rsidRPr="00A1066F" w14:paraId="38E41DA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431C5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A3F00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3B368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A681B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CA888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4FED60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52402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73B94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305</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980A4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353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CFEB3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7F5C2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353</w:t>
            </w:r>
          </w:p>
        </w:tc>
      </w:tr>
      <w:tr w:rsidR="00A1066F" w:rsidRPr="00A1066F" w14:paraId="70C74EC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64A0A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75158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073E458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2622B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0F0BE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4901B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D4F24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5E50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81AE16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FDE69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832E0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305</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8A9FC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352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20AD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B191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352</w:t>
            </w:r>
          </w:p>
        </w:tc>
      </w:tr>
    </w:tbl>
    <w:p w14:paraId="3A45405F"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Zameranie učebných a študijných odborov je na technickú a aplikovanú chémiu v dennej, nadstavbovej a pomaturitnej forme štúdia. Poskytuje aj vyššie odborné vzdelanie. Od 1. 9. 2016 škola pôsobí ako Centrum odborného vzdelávania a prípravy pre oblasť technickej a aplikovanej chémie. Od 1. 9. 2020 poskytuje aj 5-ročné bilingválne vzdelávanie v anglickom jazyku.</w:t>
      </w:r>
    </w:p>
    <w:p w14:paraId="0DC3595A"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8.3.23: Obchodná akadémia, Nevädzová 3,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7"/>
        <w:gridCol w:w="1448"/>
        <w:gridCol w:w="649"/>
        <w:gridCol w:w="1448"/>
        <w:gridCol w:w="664"/>
      </w:tblGrid>
      <w:tr w:rsidR="00A1066F" w:rsidRPr="00A1066F" w14:paraId="451A572A"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A47873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0E59CA2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E8EC37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5EDAAE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9C3729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A0F9D3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40F0DB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08DEAF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F7AE1A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82F0C0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FEC112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090716C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ACDF4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FDBD7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5989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1 233 945,00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F9A0F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1 232 253,00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A10E6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99,86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B35E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1 253 073,00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417F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101,69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D79CF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1 253 073,00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ACC4D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890CEB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01F1D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A7904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5615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1 233 945,00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70D02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1 232 253,00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EF687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99,86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87DC3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1 253 073,00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1850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101,69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DC9C4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1 253 073,00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63FA9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B8D428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5813B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F9DC6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8A263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708 100,00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E956B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764 900,00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BB1581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108,02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8C61F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797 375,00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D97EA4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104,25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033E3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797 375,00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F76CC6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06CCC7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53DC8C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4B3ED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B5ECA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247 481,00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44D83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282 423,00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127F1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114,12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7513C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294 098,00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A858BE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104,13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54A3A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294 098,00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A17719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1E4CEA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EC2C8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74D4D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17075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275 364,00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8255F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180 430,00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1290D7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65,52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F690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157 100,00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413866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87,07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C16E9F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157 100,00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61A817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DC627A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D8A72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91256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5507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08229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623264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150,00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7FAF6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679052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C81B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6C20EF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05ECE600"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967"/>
        <w:gridCol w:w="1858"/>
        <w:gridCol w:w="1762"/>
        <w:gridCol w:w="1777"/>
      </w:tblGrid>
      <w:tr w:rsidR="00A1066F" w:rsidRPr="00A1066F" w14:paraId="022E947C"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4052C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B4B91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05B35B7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0311C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CD794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OA</w:t>
            </w:r>
          </w:p>
        </w:tc>
      </w:tr>
      <w:tr w:rsidR="00A1066F" w:rsidRPr="00A1066F" w14:paraId="76EF6EC2"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C790B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07525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0137A96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78F26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F9137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6BB9B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C01EB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66EA4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860302D"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6A909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Plánovaná hodnota</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399ED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356</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90577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358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77EEC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1143B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358</w:t>
            </w:r>
          </w:p>
        </w:tc>
      </w:tr>
      <w:tr w:rsidR="00A1066F" w:rsidRPr="00A1066F" w14:paraId="55CF6B9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2526F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5555F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7712598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60A7E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15128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7533F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58546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AB48B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4D74A55"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011B8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891C2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356</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08BF8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358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A992D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72028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358</w:t>
            </w:r>
          </w:p>
        </w:tc>
      </w:tr>
    </w:tbl>
    <w:p w14:paraId="624B8AB3"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hlavne na ekonomiku a organizáciu v dennej forme štúdia a externej forme štúdia. </w:t>
      </w:r>
    </w:p>
    <w:p w14:paraId="0714DD7B"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8.3.24: Obchodná akadémia, Račianska 107,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6F2987DB"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681731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0F375D2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74DCD7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D090F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256572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5A641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7BE6F9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FCAE3C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590CB1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CC18F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E7370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16E1CEE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FDE8A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D2303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68FC17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1 387 915,00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FE8B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1 555 625,00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32562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112,08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20AA2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1 555 625,00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2B8D2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D2F0D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1 555 625,00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6EB35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D18776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CBD27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55981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B960A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1 387 915,00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BD076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1 555 625,00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D30C5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112,08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8CFF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1 555 625,00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1FB94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14CD6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1 555 625,00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191A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8EACB5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AAA60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AF558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71A5E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733 000,00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F5E0F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820 000,00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5C5167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111,87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FC85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820 000,00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69327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717A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820 000,00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A73D62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60431D3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86AAA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4DCCC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B55DF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261 185,00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E2696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305 575,00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AF36A3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117,00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3F98E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305 575,00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DD8A6B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81609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305 575,00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D62BE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94BE27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C439F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7EFBB8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F9EFE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355 075,00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974494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399 950,00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D2D028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112,64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C638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399 950,00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980C8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9FBD3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399 950,00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72AA01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60B62F0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F3C398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78271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8093E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38 655,00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B6794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658794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77,87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309D3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30CF2D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CD1F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23CC7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48382FBC"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29"/>
        <w:gridCol w:w="1996"/>
        <w:gridCol w:w="1762"/>
        <w:gridCol w:w="1777"/>
      </w:tblGrid>
      <w:tr w:rsidR="00A1066F" w:rsidRPr="00A1066F" w14:paraId="3294526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8C1E9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7EFBF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7578029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28F01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8F533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OA</w:t>
            </w:r>
          </w:p>
        </w:tc>
      </w:tr>
      <w:tr w:rsidR="00A1066F" w:rsidRPr="00A1066F" w14:paraId="560A626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07B7F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2859C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0A4562B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6E856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0094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4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58D1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5A32A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56F0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7EF94C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E907C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DD574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414</w:t>
            </w:r>
          </w:p>
        </w:tc>
        <w:tc>
          <w:tcPr>
            <w:tcW w:w="94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6B33A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445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A8C80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445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0FCB1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445</w:t>
            </w:r>
          </w:p>
        </w:tc>
      </w:tr>
      <w:tr w:rsidR="00A1066F" w:rsidRPr="00A1066F" w14:paraId="781CB7D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2AE16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15B06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1A37159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C62A0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45E29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4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12BB9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B32AA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79301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5C18165"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43E18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30B1B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414</w:t>
            </w:r>
          </w:p>
        </w:tc>
        <w:tc>
          <w:tcPr>
            <w:tcW w:w="94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1DBA7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445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87B8B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445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C6B2A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445</w:t>
            </w:r>
          </w:p>
        </w:tc>
      </w:tr>
    </w:tbl>
    <w:p w14:paraId="4B8DE4C5" w14:textId="77777777" w:rsidR="00A1066F" w:rsidRPr="00A1066F" w:rsidRDefault="00A1066F" w:rsidP="004457F3">
      <w:pPr>
        <w:spacing w:before="120" w:after="120"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hlavne na ekonomiku a organizáciu v dennej a externej forme štúdia. </w:t>
      </w:r>
    </w:p>
    <w:p w14:paraId="1D8E34AE" w14:textId="77777777" w:rsidR="00A1066F" w:rsidRPr="00A1066F" w:rsidRDefault="00A1066F" w:rsidP="004457F3">
      <w:pPr>
        <w:spacing w:before="120" w:after="120"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8.3.25: Obchodná akadémia, </w:t>
      </w:r>
      <w:proofErr w:type="spellStart"/>
      <w:r w:rsidRPr="00A1066F">
        <w:rPr>
          <w:rFonts w:ascii="Calibri" w:eastAsia="Times New Roman" w:hAnsi="Calibri" w:cs="Calibri"/>
          <w:b/>
          <w:bCs/>
          <w:color w:val="0000FF"/>
          <w:sz w:val="24"/>
          <w:szCs w:val="24"/>
          <w:lang w:eastAsia="sk-SK"/>
        </w:rPr>
        <w:t>Dudova</w:t>
      </w:r>
      <w:proofErr w:type="spellEnd"/>
      <w:r w:rsidRPr="00A1066F">
        <w:rPr>
          <w:rFonts w:ascii="Calibri" w:eastAsia="Times New Roman" w:hAnsi="Calibri" w:cs="Calibri"/>
          <w:b/>
          <w:bCs/>
          <w:color w:val="0000FF"/>
          <w:sz w:val="24"/>
          <w:szCs w:val="24"/>
          <w:lang w:eastAsia="sk-SK"/>
        </w:rPr>
        <w:t xml:space="preserve"> 4,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3BB3B9AC"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387CC4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790BCFB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8E6D03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9CF2B9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C931A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81B02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A507B2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C91419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B8EF19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5D6E14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F8C6BA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445F927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2CBA0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EAA0C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72799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1 482 955,00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3EC3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1 851 548,00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D687A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124,86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1F247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1 976 512,00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C649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106,75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05ACB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2 172 112,00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BFE92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109,90</w:t>
            </w:r>
            <w:r w:rsidRPr="00A1066F">
              <w:rPr>
                <w:rFonts w:ascii="Calibri" w:eastAsia="Times New Roman" w:hAnsi="Calibri" w:cs="Calibri"/>
                <w:sz w:val="24"/>
                <w:szCs w:val="24"/>
                <w:lang w:eastAsia="sk-SK"/>
              </w:rPr>
              <w:t xml:space="preserve"> </w:t>
            </w:r>
          </w:p>
        </w:tc>
      </w:tr>
      <w:tr w:rsidR="00A1066F" w:rsidRPr="00A1066F" w14:paraId="4AD0E98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82EC9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BC603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C4BAC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1 482 955,00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D3E747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1 851 548,00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06724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124,86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5A524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1 976 512,00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14254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106,75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E6A4F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2 172 112,00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53EDA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109,90</w:t>
            </w:r>
            <w:r w:rsidRPr="00A1066F">
              <w:rPr>
                <w:rFonts w:ascii="Calibri" w:eastAsia="Times New Roman" w:hAnsi="Calibri" w:cs="Calibri"/>
                <w:sz w:val="24"/>
                <w:szCs w:val="24"/>
                <w:lang w:eastAsia="sk-SK"/>
              </w:rPr>
              <w:t xml:space="preserve"> </w:t>
            </w:r>
          </w:p>
        </w:tc>
      </w:tr>
      <w:tr w:rsidR="00A1066F" w:rsidRPr="00A1066F" w14:paraId="5EA6F8D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9C7D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85533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ED6EFF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873 728,00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C01E3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1 057 294,00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354BF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121,01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3B250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1 163 023,00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908E27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E42C4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1 279 326,00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08237E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r>
      <w:tr w:rsidR="00A1066F" w:rsidRPr="00A1066F" w14:paraId="3D5F3F4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A5809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641E51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FE4F7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297 955,00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3C47B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394 861,00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69871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132,52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53A1E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434 347,00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076736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3727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477 781,00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DF0E3C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r>
      <w:tr w:rsidR="00A1066F" w:rsidRPr="00A1066F" w14:paraId="149CBF8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0C706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40C37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197478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308 439,00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9EFE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393 993,00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58AB84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127,74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CD50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373 202,00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09B88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94,72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C810C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408 471,00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B38FF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109,45</w:t>
            </w:r>
            <w:r w:rsidRPr="00A1066F">
              <w:rPr>
                <w:rFonts w:ascii="Calibri" w:eastAsia="Times New Roman" w:hAnsi="Calibri" w:cs="Calibri"/>
                <w:sz w:val="24"/>
                <w:szCs w:val="24"/>
                <w:lang w:eastAsia="sk-SK"/>
              </w:rPr>
              <w:t xml:space="preserve"> </w:t>
            </w:r>
          </w:p>
        </w:tc>
      </w:tr>
      <w:tr w:rsidR="00A1066F" w:rsidRPr="00A1066F" w14:paraId="3888C9C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6D88C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24D3C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DCFD1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2 833,00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E725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5 400,00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298F1F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190,61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0872C6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5 940,00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CBE600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77B24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6 534,00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0FE582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r>
    </w:tbl>
    <w:p w14:paraId="72B1A990"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967"/>
        <w:gridCol w:w="1858"/>
        <w:gridCol w:w="1762"/>
        <w:gridCol w:w="1777"/>
      </w:tblGrid>
      <w:tr w:rsidR="00A1066F" w:rsidRPr="00A1066F" w14:paraId="180DA5CD"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C2EF8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6CBFF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20F2D06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9E63F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6EDBC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OA</w:t>
            </w:r>
          </w:p>
        </w:tc>
      </w:tr>
      <w:tr w:rsidR="00A1066F" w:rsidRPr="00A1066F" w14:paraId="2637711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31577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F5EAA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08B030E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F96AB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7F207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0DE52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1CD45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0A2EC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051485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4FD2E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Plánovaná hodnota</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5A8D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522</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E05C3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584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3DB5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584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5C05A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584</w:t>
            </w:r>
          </w:p>
        </w:tc>
      </w:tr>
      <w:tr w:rsidR="00A1066F" w:rsidRPr="00A1066F" w14:paraId="7A1174D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4FCF7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D7277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14C58E7C"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BC44E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AD3CC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022BE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5A6BE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EB09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7ED315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F7EF1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9BCFC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522</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7E9BF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578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3360E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578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193AB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578</w:t>
            </w:r>
          </w:p>
        </w:tc>
      </w:tr>
    </w:tbl>
    <w:p w14:paraId="018A309F"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hlavne na ekonomiku a organizáciu, cestovný ruch, financie a medzinárodné podnikanie v dennej forme štúdia. Od 1. 9. 2020 škola ponúka bilingválne štúdium obchodnej akadémie v anglickom jazyku. </w:t>
      </w:r>
    </w:p>
    <w:p w14:paraId="2D77F3B8"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8.3.26: SOŠ podnikania, </w:t>
      </w:r>
      <w:proofErr w:type="spellStart"/>
      <w:r w:rsidRPr="00A1066F">
        <w:rPr>
          <w:rFonts w:ascii="Calibri" w:eastAsia="Times New Roman" w:hAnsi="Calibri" w:cs="Calibri"/>
          <w:b/>
          <w:bCs/>
          <w:color w:val="0000FF"/>
          <w:sz w:val="24"/>
          <w:szCs w:val="24"/>
          <w:lang w:eastAsia="sk-SK"/>
        </w:rPr>
        <w:t>Strečnianska</w:t>
      </w:r>
      <w:proofErr w:type="spellEnd"/>
      <w:r w:rsidRPr="00A1066F">
        <w:rPr>
          <w:rFonts w:ascii="Calibri" w:eastAsia="Times New Roman" w:hAnsi="Calibri" w:cs="Calibri"/>
          <w:b/>
          <w:bCs/>
          <w:color w:val="0000FF"/>
          <w:sz w:val="24"/>
          <w:szCs w:val="24"/>
          <w:lang w:eastAsia="sk-SK"/>
        </w:rPr>
        <w:t xml:space="preserve"> 20,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5"/>
        <w:gridCol w:w="2054"/>
        <w:gridCol w:w="1518"/>
        <w:gridCol w:w="1400"/>
        <w:gridCol w:w="700"/>
        <w:gridCol w:w="1325"/>
        <w:gridCol w:w="773"/>
        <w:gridCol w:w="1536"/>
        <w:gridCol w:w="599"/>
      </w:tblGrid>
      <w:tr w:rsidR="00A1066F" w:rsidRPr="00A1066F" w14:paraId="03234F6A"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DCD96E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46B8AFCF"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CAA3A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96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991165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71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11BF0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65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9DA195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32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0B792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62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63460E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35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76688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72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9562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6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4E455B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3C354C6"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3D74B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9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B436A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71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A15CC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717 986,00</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718D2B"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2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41980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2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D71B2C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E4A0FC"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72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00C6D3"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D8806A"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082E4AEC"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9809E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9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C15BF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71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F27D5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717 986,00</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BEF4E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32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C71A2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2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4429C17"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6ADCFE"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72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ACF6C7"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842FE6"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45E08E40"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noWrap/>
            <w:vAlign w:val="center"/>
            <w:hideMark/>
          </w:tcPr>
          <w:p w14:paraId="72FCF45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969" w:type="pct"/>
            <w:tcBorders>
              <w:top w:val="outset" w:sz="6" w:space="0" w:color="000000"/>
              <w:left w:val="outset" w:sz="6" w:space="0" w:color="000000"/>
              <w:bottom w:val="outset" w:sz="6" w:space="0" w:color="000000"/>
              <w:right w:val="outset" w:sz="6" w:space="0" w:color="000000"/>
            </w:tcBorders>
            <w:vAlign w:val="center"/>
            <w:hideMark/>
          </w:tcPr>
          <w:p w14:paraId="6D364E5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712" w:type="pct"/>
            <w:tcBorders>
              <w:top w:val="outset" w:sz="6" w:space="0" w:color="000000"/>
              <w:left w:val="outset" w:sz="6" w:space="0" w:color="000000"/>
              <w:bottom w:val="outset" w:sz="6" w:space="0" w:color="000000"/>
              <w:right w:val="outset" w:sz="6" w:space="0" w:color="000000"/>
            </w:tcBorders>
            <w:noWrap/>
            <w:vAlign w:val="center"/>
            <w:hideMark/>
          </w:tcPr>
          <w:p w14:paraId="576894B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385 007,00</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noWrap/>
            <w:vAlign w:val="center"/>
            <w:hideMark/>
          </w:tcPr>
          <w:p w14:paraId="621DBEA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321" w:type="pct"/>
            <w:tcBorders>
              <w:top w:val="outset" w:sz="6" w:space="0" w:color="000000"/>
              <w:left w:val="outset" w:sz="6" w:space="0" w:color="000000"/>
              <w:bottom w:val="outset" w:sz="6" w:space="0" w:color="000000"/>
              <w:right w:val="outset" w:sz="6" w:space="0" w:color="000000"/>
            </w:tcBorders>
            <w:noWrap/>
            <w:vAlign w:val="center"/>
            <w:hideMark/>
          </w:tcPr>
          <w:p w14:paraId="2A27801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20" w:type="pct"/>
            <w:tcBorders>
              <w:top w:val="outset" w:sz="6" w:space="0" w:color="000000"/>
              <w:left w:val="outset" w:sz="6" w:space="0" w:color="000000"/>
              <w:bottom w:val="outset" w:sz="6" w:space="0" w:color="000000"/>
              <w:right w:val="outset" w:sz="6" w:space="0" w:color="000000"/>
            </w:tcBorders>
            <w:noWrap/>
            <w:vAlign w:val="center"/>
            <w:hideMark/>
          </w:tcPr>
          <w:p w14:paraId="48696BB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6" w:type="pct"/>
            <w:tcBorders>
              <w:top w:val="outset" w:sz="6" w:space="0" w:color="000000"/>
              <w:left w:val="outset" w:sz="6" w:space="0" w:color="000000"/>
              <w:bottom w:val="outset" w:sz="6" w:space="0" w:color="000000"/>
              <w:right w:val="outset" w:sz="6" w:space="0" w:color="000000"/>
            </w:tcBorders>
            <w:noWrap/>
            <w:vAlign w:val="center"/>
            <w:hideMark/>
          </w:tcPr>
          <w:p w14:paraId="0F55126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721" w:type="pct"/>
            <w:tcBorders>
              <w:top w:val="outset" w:sz="6" w:space="0" w:color="000000"/>
              <w:left w:val="outset" w:sz="6" w:space="0" w:color="000000"/>
              <w:bottom w:val="outset" w:sz="6" w:space="0" w:color="000000"/>
              <w:right w:val="outset" w:sz="6" w:space="0" w:color="000000"/>
            </w:tcBorders>
            <w:noWrap/>
            <w:vAlign w:val="center"/>
            <w:hideMark/>
          </w:tcPr>
          <w:p w14:paraId="4DB006F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noWrap/>
            <w:vAlign w:val="center"/>
            <w:hideMark/>
          </w:tcPr>
          <w:p w14:paraId="7507C36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07AD5D67"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noWrap/>
            <w:vAlign w:val="center"/>
            <w:hideMark/>
          </w:tcPr>
          <w:p w14:paraId="52BE17D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969" w:type="pct"/>
            <w:tcBorders>
              <w:top w:val="outset" w:sz="6" w:space="0" w:color="000000"/>
              <w:left w:val="outset" w:sz="6" w:space="0" w:color="000000"/>
              <w:bottom w:val="outset" w:sz="6" w:space="0" w:color="000000"/>
              <w:right w:val="outset" w:sz="6" w:space="0" w:color="000000"/>
            </w:tcBorders>
            <w:vAlign w:val="center"/>
            <w:hideMark/>
          </w:tcPr>
          <w:p w14:paraId="61A6B20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712" w:type="pct"/>
            <w:tcBorders>
              <w:top w:val="outset" w:sz="6" w:space="0" w:color="000000"/>
              <w:left w:val="outset" w:sz="6" w:space="0" w:color="000000"/>
              <w:bottom w:val="outset" w:sz="6" w:space="0" w:color="000000"/>
              <w:right w:val="outset" w:sz="6" w:space="0" w:color="000000"/>
            </w:tcBorders>
            <w:noWrap/>
            <w:vAlign w:val="center"/>
            <w:hideMark/>
          </w:tcPr>
          <w:p w14:paraId="5309C0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144 830,00</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noWrap/>
            <w:vAlign w:val="center"/>
            <w:hideMark/>
          </w:tcPr>
          <w:p w14:paraId="3828847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321" w:type="pct"/>
            <w:tcBorders>
              <w:top w:val="outset" w:sz="6" w:space="0" w:color="000000"/>
              <w:left w:val="outset" w:sz="6" w:space="0" w:color="000000"/>
              <w:bottom w:val="outset" w:sz="6" w:space="0" w:color="000000"/>
              <w:right w:val="outset" w:sz="6" w:space="0" w:color="000000"/>
            </w:tcBorders>
            <w:noWrap/>
            <w:vAlign w:val="center"/>
            <w:hideMark/>
          </w:tcPr>
          <w:p w14:paraId="056ECC2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20" w:type="pct"/>
            <w:tcBorders>
              <w:top w:val="outset" w:sz="6" w:space="0" w:color="000000"/>
              <w:left w:val="outset" w:sz="6" w:space="0" w:color="000000"/>
              <w:bottom w:val="outset" w:sz="6" w:space="0" w:color="000000"/>
              <w:right w:val="outset" w:sz="6" w:space="0" w:color="000000"/>
            </w:tcBorders>
            <w:noWrap/>
            <w:vAlign w:val="center"/>
            <w:hideMark/>
          </w:tcPr>
          <w:p w14:paraId="0699F458"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6" w:type="pct"/>
            <w:tcBorders>
              <w:top w:val="outset" w:sz="6" w:space="0" w:color="000000"/>
              <w:left w:val="outset" w:sz="6" w:space="0" w:color="000000"/>
              <w:bottom w:val="outset" w:sz="6" w:space="0" w:color="000000"/>
              <w:right w:val="outset" w:sz="6" w:space="0" w:color="000000"/>
            </w:tcBorders>
            <w:noWrap/>
            <w:vAlign w:val="center"/>
            <w:hideMark/>
          </w:tcPr>
          <w:p w14:paraId="5B3F8C17"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721" w:type="pct"/>
            <w:tcBorders>
              <w:top w:val="outset" w:sz="6" w:space="0" w:color="000000"/>
              <w:left w:val="outset" w:sz="6" w:space="0" w:color="000000"/>
              <w:bottom w:val="outset" w:sz="6" w:space="0" w:color="000000"/>
              <w:right w:val="outset" w:sz="6" w:space="0" w:color="000000"/>
            </w:tcBorders>
            <w:noWrap/>
            <w:vAlign w:val="center"/>
            <w:hideMark/>
          </w:tcPr>
          <w:p w14:paraId="2FEE2A1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noWrap/>
            <w:vAlign w:val="center"/>
            <w:hideMark/>
          </w:tcPr>
          <w:p w14:paraId="5ED0B49A"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7013CEFD" w14:textId="77777777" w:rsidTr="007468A0">
        <w:trPr>
          <w:tblCellSpacing w:w="15" w:type="dxa"/>
        </w:trPr>
        <w:tc>
          <w:tcPr>
            <w:tcW w:w="239" w:type="pct"/>
            <w:tcBorders>
              <w:top w:val="outset" w:sz="6" w:space="0" w:color="000000"/>
              <w:left w:val="outset" w:sz="6" w:space="0" w:color="000000"/>
              <w:bottom w:val="outset" w:sz="6" w:space="0" w:color="000000"/>
              <w:right w:val="outset" w:sz="6" w:space="0" w:color="000000"/>
            </w:tcBorders>
            <w:noWrap/>
            <w:vAlign w:val="center"/>
            <w:hideMark/>
          </w:tcPr>
          <w:p w14:paraId="20E4E9A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969" w:type="pct"/>
            <w:tcBorders>
              <w:top w:val="outset" w:sz="6" w:space="0" w:color="000000"/>
              <w:left w:val="outset" w:sz="6" w:space="0" w:color="000000"/>
              <w:bottom w:val="outset" w:sz="6" w:space="0" w:color="000000"/>
              <w:right w:val="outset" w:sz="6" w:space="0" w:color="000000"/>
            </w:tcBorders>
            <w:vAlign w:val="center"/>
            <w:hideMark/>
          </w:tcPr>
          <w:p w14:paraId="08E445B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712" w:type="pct"/>
            <w:tcBorders>
              <w:top w:val="outset" w:sz="6" w:space="0" w:color="000000"/>
              <w:left w:val="outset" w:sz="6" w:space="0" w:color="000000"/>
              <w:bottom w:val="outset" w:sz="6" w:space="0" w:color="000000"/>
              <w:right w:val="outset" w:sz="6" w:space="0" w:color="000000"/>
            </w:tcBorders>
            <w:noWrap/>
            <w:vAlign w:val="center"/>
            <w:hideMark/>
          </w:tcPr>
          <w:p w14:paraId="38546BF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188 149,00</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noWrap/>
            <w:vAlign w:val="center"/>
            <w:hideMark/>
          </w:tcPr>
          <w:p w14:paraId="19BE58F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321" w:type="pct"/>
            <w:tcBorders>
              <w:top w:val="outset" w:sz="6" w:space="0" w:color="000000"/>
              <w:left w:val="outset" w:sz="6" w:space="0" w:color="000000"/>
              <w:bottom w:val="outset" w:sz="6" w:space="0" w:color="000000"/>
              <w:right w:val="outset" w:sz="6" w:space="0" w:color="000000"/>
            </w:tcBorders>
            <w:noWrap/>
            <w:vAlign w:val="center"/>
            <w:hideMark/>
          </w:tcPr>
          <w:p w14:paraId="3668CA96"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20" w:type="pct"/>
            <w:tcBorders>
              <w:top w:val="outset" w:sz="6" w:space="0" w:color="000000"/>
              <w:left w:val="outset" w:sz="6" w:space="0" w:color="000000"/>
              <w:bottom w:val="outset" w:sz="6" w:space="0" w:color="000000"/>
              <w:right w:val="outset" w:sz="6" w:space="0" w:color="000000"/>
            </w:tcBorders>
            <w:noWrap/>
            <w:vAlign w:val="center"/>
            <w:hideMark/>
          </w:tcPr>
          <w:p w14:paraId="6D30ACD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56" w:type="pct"/>
            <w:tcBorders>
              <w:top w:val="outset" w:sz="6" w:space="0" w:color="000000"/>
              <w:left w:val="outset" w:sz="6" w:space="0" w:color="000000"/>
              <w:bottom w:val="outset" w:sz="6" w:space="0" w:color="000000"/>
              <w:right w:val="outset" w:sz="6" w:space="0" w:color="000000"/>
            </w:tcBorders>
            <w:noWrap/>
            <w:vAlign w:val="center"/>
            <w:hideMark/>
          </w:tcPr>
          <w:p w14:paraId="7F629CF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721" w:type="pct"/>
            <w:tcBorders>
              <w:top w:val="outset" w:sz="6" w:space="0" w:color="000000"/>
              <w:left w:val="outset" w:sz="6" w:space="0" w:color="000000"/>
              <w:bottom w:val="outset" w:sz="6" w:space="0" w:color="000000"/>
              <w:right w:val="outset" w:sz="6" w:space="0" w:color="000000"/>
            </w:tcBorders>
            <w:noWrap/>
            <w:vAlign w:val="center"/>
            <w:hideMark/>
          </w:tcPr>
          <w:p w14:paraId="052CEE9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65" w:type="pct"/>
            <w:tcBorders>
              <w:top w:val="outset" w:sz="6" w:space="0" w:color="000000"/>
              <w:left w:val="outset" w:sz="6" w:space="0" w:color="000000"/>
              <w:bottom w:val="outset" w:sz="6" w:space="0" w:color="000000"/>
              <w:right w:val="outset" w:sz="6" w:space="0" w:color="000000"/>
            </w:tcBorders>
            <w:noWrap/>
            <w:vAlign w:val="center"/>
            <w:hideMark/>
          </w:tcPr>
          <w:p w14:paraId="27C9497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bl>
    <w:p w14:paraId="42F8B6AC"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9"/>
        <w:gridCol w:w="1827"/>
        <w:gridCol w:w="2115"/>
        <w:gridCol w:w="1772"/>
        <w:gridCol w:w="1787"/>
      </w:tblGrid>
      <w:tr w:rsidR="00A1066F" w:rsidRPr="00A1066F" w14:paraId="7DBD9481"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84BA9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F68E4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717BCA56"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F7211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BD052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62665B6A"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0E3A4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DEAB8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305F2ACB"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CDCC8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2CE4E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100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57890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2FBFA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D8772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DB33D3D"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F9869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ADF8D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178</w:t>
            </w:r>
          </w:p>
        </w:tc>
        <w:tc>
          <w:tcPr>
            <w:tcW w:w="100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305F1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BBFEE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2E6A5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r>
      <w:tr w:rsidR="00A1066F" w:rsidRPr="00A1066F" w14:paraId="19668ECC"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4123A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00A27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1A0D3EB2"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80E57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F04A1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100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574D3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3A104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9011F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FA11B81"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2AEB9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9D3F5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178</w:t>
            </w:r>
          </w:p>
        </w:tc>
        <w:tc>
          <w:tcPr>
            <w:tcW w:w="100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9393E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9DFC5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E6F71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r>
    </w:tbl>
    <w:p w14:paraId="62A92197"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Škola je od 1. 9. 2024 vyradená zo siete, pokračujúcou školou je SOŠ obchodu a služieb                          S. Jurkoviča, Sklenárova 1, Bratislava.</w:t>
      </w:r>
    </w:p>
    <w:p w14:paraId="0D7A9645"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8.3.27: Obchodná akadémia, </w:t>
      </w:r>
      <w:proofErr w:type="spellStart"/>
      <w:r w:rsidRPr="00A1066F">
        <w:rPr>
          <w:rFonts w:ascii="Calibri" w:eastAsia="Times New Roman" w:hAnsi="Calibri" w:cs="Calibri"/>
          <w:b/>
          <w:bCs/>
          <w:color w:val="0000FF"/>
          <w:sz w:val="24"/>
          <w:szCs w:val="24"/>
          <w:lang w:eastAsia="sk-SK"/>
        </w:rPr>
        <w:t>Myslenická</w:t>
      </w:r>
      <w:proofErr w:type="spellEnd"/>
      <w:r w:rsidRPr="00A1066F">
        <w:rPr>
          <w:rFonts w:ascii="Calibri" w:eastAsia="Times New Roman" w:hAnsi="Calibri" w:cs="Calibri"/>
          <w:b/>
          <w:bCs/>
          <w:color w:val="0000FF"/>
          <w:sz w:val="24"/>
          <w:szCs w:val="24"/>
          <w:lang w:eastAsia="sk-SK"/>
        </w:rPr>
        <w:t xml:space="preserve"> 1, Pezinok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8"/>
        <w:gridCol w:w="2560"/>
        <w:gridCol w:w="1399"/>
        <w:gridCol w:w="1345"/>
        <w:gridCol w:w="615"/>
        <w:gridCol w:w="1260"/>
        <w:gridCol w:w="558"/>
        <w:gridCol w:w="1416"/>
        <w:gridCol w:w="579"/>
      </w:tblGrid>
      <w:tr w:rsidR="00A1066F" w:rsidRPr="00A1066F" w14:paraId="5D61B505"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2E3849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13E79B16" w14:textId="77777777" w:rsidTr="007468A0">
        <w:trPr>
          <w:tblCellSpacing w:w="15" w:type="dxa"/>
        </w:trPr>
        <w:tc>
          <w:tcPr>
            <w:tcW w:w="32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86A74C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21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70FE39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65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79A1E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63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E9597C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8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BED45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58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8B4CA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08F8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66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A43E21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94555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7CFD500" w14:textId="77777777" w:rsidTr="007468A0">
        <w:trPr>
          <w:tblCellSpacing w:w="15" w:type="dxa"/>
        </w:trPr>
        <w:tc>
          <w:tcPr>
            <w:tcW w:w="32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35627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12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0FA0B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65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9631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862 180,00</w:t>
            </w:r>
            <w:r w:rsidRPr="00A1066F">
              <w:rPr>
                <w:rFonts w:ascii="Calibri" w:eastAsia="Times New Roman" w:hAnsi="Calibri" w:cs="Calibri"/>
                <w:sz w:val="24"/>
                <w:szCs w:val="24"/>
                <w:lang w:eastAsia="sk-SK"/>
              </w:rPr>
              <w:t xml:space="preserve"> </w:t>
            </w:r>
          </w:p>
        </w:tc>
        <w:tc>
          <w:tcPr>
            <w:tcW w:w="63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052A1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8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2C4643"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58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9061FC"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3"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0C051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6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2C500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05C127"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399CC905" w14:textId="77777777" w:rsidTr="007468A0">
        <w:trPr>
          <w:tblCellSpacing w:w="15" w:type="dxa"/>
        </w:trPr>
        <w:tc>
          <w:tcPr>
            <w:tcW w:w="32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2B470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12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51A6B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65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74E6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862 180,00</w:t>
            </w:r>
            <w:r w:rsidRPr="00A1066F">
              <w:rPr>
                <w:rFonts w:ascii="Calibri" w:eastAsia="Times New Roman" w:hAnsi="Calibri" w:cs="Calibri"/>
                <w:sz w:val="24"/>
                <w:szCs w:val="24"/>
                <w:lang w:eastAsia="sk-SK"/>
              </w:rPr>
              <w:t xml:space="preserve"> </w:t>
            </w:r>
          </w:p>
        </w:tc>
        <w:tc>
          <w:tcPr>
            <w:tcW w:w="63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C96AD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28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14FA6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58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D5EBCC"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3"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C3D06A"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6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1F748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C57EC3"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565013D0" w14:textId="77777777" w:rsidTr="007468A0">
        <w:trPr>
          <w:tblCellSpacing w:w="15" w:type="dxa"/>
        </w:trPr>
        <w:tc>
          <w:tcPr>
            <w:tcW w:w="322" w:type="pct"/>
            <w:tcBorders>
              <w:top w:val="outset" w:sz="6" w:space="0" w:color="000000"/>
              <w:left w:val="outset" w:sz="6" w:space="0" w:color="000000"/>
              <w:bottom w:val="outset" w:sz="6" w:space="0" w:color="000000"/>
              <w:right w:val="outset" w:sz="6" w:space="0" w:color="000000"/>
            </w:tcBorders>
            <w:noWrap/>
            <w:vAlign w:val="center"/>
            <w:hideMark/>
          </w:tcPr>
          <w:p w14:paraId="4ED897E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1211" w:type="pct"/>
            <w:tcBorders>
              <w:top w:val="outset" w:sz="6" w:space="0" w:color="000000"/>
              <w:left w:val="outset" w:sz="6" w:space="0" w:color="000000"/>
              <w:bottom w:val="outset" w:sz="6" w:space="0" w:color="000000"/>
              <w:right w:val="outset" w:sz="6" w:space="0" w:color="000000"/>
            </w:tcBorders>
            <w:vAlign w:val="center"/>
            <w:hideMark/>
          </w:tcPr>
          <w:p w14:paraId="6648B05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14:paraId="0DA1EC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555 000,00</w:t>
            </w:r>
            <w:r w:rsidRPr="00A1066F">
              <w:rPr>
                <w:rFonts w:ascii="Calibri" w:eastAsia="Times New Roman" w:hAnsi="Calibri" w:cs="Calibri"/>
                <w:sz w:val="24"/>
                <w:szCs w:val="24"/>
                <w:lang w:eastAsia="sk-SK"/>
              </w:rPr>
              <w:t xml:space="preserve"> </w:t>
            </w:r>
          </w:p>
        </w:tc>
        <w:tc>
          <w:tcPr>
            <w:tcW w:w="630" w:type="pct"/>
            <w:tcBorders>
              <w:top w:val="outset" w:sz="6" w:space="0" w:color="000000"/>
              <w:left w:val="outset" w:sz="6" w:space="0" w:color="000000"/>
              <w:bottom w:val="outset" w:sz="6" w:space="0" w:color="000000"/>
              <w:right w:val="outset" w:sz="6" w:space="0" w:color="000000"/>
            </w:tcBorders>
            <w:noWrap/>
            <w:vAlign w:val="center"/>
            <w:hideMark/>
          </w:tcPr>
          <w:p w14:paraId="17FF62A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280" w:type="pct"/>
            <w:tcBorders>
              <w:top w:val="outset" w:sz="6" w:space="0" w:color="000000"/>
              <w:left w:val="outset" w:sz="6" w:space="0" w:color="000000"/>
              <w:bottom w:val="outset" w:sz="6" w:space="0" w:color="000000"/>
              <w:right w:val="outset" w:sz="6" w:space="0" w:color="000000"/>
            </w:tcBorders>
            <w:noWrap/>
            <w:vAlign w:val="center"/>
            <w:hideMark/>
          </w:tcPr>
          <w:p w14:paraId="3B77B6A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7AA6B0F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3" w:type="pct"/>
            <w:tcBorders>
              <w:top w:val="outset" w:sz="6" w:space="0" w:color="000000"/>
              <w:left w:val="outset" w:sz="6" w:space="0" w:color="000000"/>
              <w:bottom w:val="outset" w:sz="6" w:space="0" w:color="000000"/>
              <w:right w:val="outset" w:sz="6" w:space="0" w:color="000000"/>
            </w:tcBorders>
            <w:noWrap/>
            <w:vAlign w:val="center"/>
            <w:hideMark/>
          </w:tcPr>
          <w:p w14:paraId="67DF78C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64" w:type="pct"/>
            <w:tcBorders>
              <w:top w:val="outset" w:sz="6" w:space="0" w:color="000000"/>
              <w:left w:val="outset" w:sz="6" w:space="0" w:color="000000"/>
              <w:bottom w:val="outset" w:sz="6" w:space="0" w:color="000000"/>
              <w:right w:val="outset" w:sz="6" w:space="0" w:color="000000"/>
            </w:tcBorders>
            <w:noWrap/>
            <w:vAlign w:val="center"/>
            <w:hideMark/>
          </w:tcPr>
          <w:p w14:paraId="03283E3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6" w:type="pct"/>
            <w:tcBorders>
              <w:top w:val="outset" w:sz="6" w:space="0" w:color="000000"/>
              <w:left w:val="outset" w:sz="6" w:space="0" w:color="000000"/>
              <w:bottom w:val="outset" w:sz="6" w:space="0" w:color="000000"/>
              <w:right w:val="outset" w:sz="6" w:space="0" w:color="000000"/>
            </w:tcBorders>
            <w:noWrap/>
            <w:vAlign w:val="center"/>
            <w:hideMark/>
          </w:tcPr>
          <w:p w14:paraId="39E66226"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330FD101" w14:textId="77777777" w:rsidTr="007468A0">
        <w:trPr>
          <w:tblCellSpacing w:w="15" w:type="dxa"/>
        </w:trPr>
        <w:tc>
          <w:tcPr>
            <w:tcW w:w="322" w:type="pct"/>
            <w:tcBorders>
              <w:top w:val="outset" w:sz="6" w:space="0" w:color="000000"/>
              <w:left w:val="outset" w:sz="6" w:space="0" w:color="000000"/>
              <w:bottom w:val="outset" w:sz="6" w:space="0" w:color="000000"/>
              <w:right w:val="outset" w:sz="6" w:space="0" w:color="000000"/>
            </w:tcBorders>
            <w:noWrap/>
            <w:vAlign w:val="center"/>
            <w:hideMark/>
          </w:tcPr>
          <w:p w14:paraId="5914F26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1211" w:type="pct"/>
            <w:tcBorders>
              <w:top w:val="outset" w:sz="6" w:space="0" w:color="000000"/>
              <w:left w:val="outset" w:sz="6" w:space="0" w:color="000000"/>
              <w:bottom w:val="outset" w:sz="6" w:space="0" w:color="000000"/>
              <w:right w:val="outset" w:sz="6" w:space="0" w:color="000000"/>
            </w:tcBorders>
            <w:vAlign w:val="center"/>
            <w:hideMark/>
          </w:tcPr>
          <w:p w14:paraId="13A3F2B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14:paraId="13A44C0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197 100,00</w:t>
            </w:r>
            <w:r w:rsidRPr="00A1066F">
              <w:rPr>
                <w:rFonts w:ascii="Calibri" w:eastAsia="Times New Roman" w:hAnsi="Calibri" w:cs="Calibri"/>
                <w:sz w:val="24"/>
                <w:szCs w:val="24"/>
                <w:lang w:eastAsia="sk-SK"/>
              </w:rPr>
              <w:t xml:space="preserve"> </w:t>
            </w:r>
          </w:p>
        </w:tc>
        <w:tc>
          <w:tcPr>
            <w:tcW w:w="630" w:type="pct"/>
            <w:tcBorders>
              <w:top w:val="outset" w:sz="6" w:space="0" w:color="000000"/>
              <w:left w:val="outset" w:sz="6" w:space="0" w:color="000000"/>
              <w:bottom w:val="outset" w:sz="6" w:space="0" w:color="000000"/>
              <w:right w:val="outset" w:sz="6" w:space="0" w:color="000000"/>
            </w:tcBorders>
            <w:noWrap/>
            <w:vAlign w:val="center"/>
            <w:hideMark/>
          </w:tcPr>
          <w:p w14:paraId="210461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280" w:type="pct"/>
            <w:tcBorders>
              <w:top w:val="outset" w:sz="6" w:space="0" w:color="000000"/>
              <w:left w:val="outset" w:sz="6" w:space="0" w:color="000000"/>
              <w:bottom w:val="outset" w:sz="6" w:space="0" w:color="000000"/>
              <w:right w:val="outset" w:sz="6" w:space="0" w:color="000000"/>
            </w:tcBorders>
            <w:noWrap/>
            <w:vAlign w:val="center"/>
            <w:hideMark/>
          </w:tcPr>
          <w:p w14:paraId="402A0D4F"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284D5CE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3" w:type="pct"/>
            <w:tcBorders>
              <w:top w:val="outset" w:sz="6" w:space="0" w:color="000000"/>
              <w:left w:val="outset" w:sz="6" w:space="0" w:color="000000"/>
              <w:bottom w:val="outset" w:sz="6" w:space="0" w:color="000000"/>
              <w:right w:val="outset" w:sz="6" w:space="0" w:color="000000"/>
            </w:tcBorders>
            <w:noWrap/>
            <w:vAlign w:val="center"/>
            <w:hideMark/>
          </w:tcPr>
          <w:p w14:paraId="3AF0DAA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64" w:type="pct"/>
            <w:tcBorders>
              <w:top w:val="outset" w:sz="6" w:space="0" w:color="000000"/>
              <w:left w:val="outset" w:sz="6" w:space="0" w:color="000000"/>
              <w:bottom w:val="outset" w:sz="6" w:space="0" w:color="000000"/>
              <w:right w:val="outset" w:sz="6" w:space="0" w:color="000000"/>
            </w:tcBorders>
            <w:noWrap/>
            <w:vAlign w:val="center"/>
            <w:hideMark/>
          </w:tcPr>
          <w:p w14:paraId="450164B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6" w:type="pct"/>
            <w:tcBorders>
              <w:top w:val="outset" w:sz="6" w:space="0" w:color="000000"/>
              <w:left w:val="outset" w:sz="6" w:space="0" w:color="000000"/>
              <w:bottom w:val="outset" w:sz="6" w:space="0" w:color="000000"/>
              <w:right w:val="outset" w:sz="6" w:space="0" w:color="000000"/>
            </w:tcBorders>
            <w:noWrap/>
            <w:vAlign w:val="center"/>
            <w:hideMark/>
          </w:tcPr>
          <w:p w14:paraId="61812907"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1DB1B988" w14:textId="77777777" w:rsidTr="007468A0">
        <w:trPr>
          <w:tblCellSpacing w:w="15" w:type="dxa"/>
        </w:trPr>
        <w:tc>
          <w:tcPr>
            <w:tcW w:w="322" w:type="pct"/>
            <w:tcBorders>
              <w:top w:val="outset" w:sz="6" w:space="0" w:color="000000"/>
              <w:left w:val="outset" w:sz="6" w:space="0" w:color="000000"/>
              <w:bottom w:val="outset" w:sz="6" w:space="0" w:color="000000"/>
              <w:right w:val="outset" w:sz="6" w:space="0" w:color="000000"/>
            </w:tcBorders>
            <w:noWrap/>
            <w:vAlign w:val="center"/>
            <w:hideMark/>
          </w:tcPr>
          <w:p w14:paraId="00D1D69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1211" w:type="pct"/>
            <w:tcBorders>
              <w:top w:val="outset" w:sz="6" w:space="0" w:color="000000"/>
              <w:left w:val="outset" w:sz="6" w:space="0" w:color="000000"/>
              <w:bottom w:val="outset" w:sz="6" w:space="0" w:color="000000"/>
              <w:right w:val="outset" w:sz="6" w:space="0" w:color="000000"/>
            </w:tcBorders>
            <w:vAlign w:val="center"/>
            <w:hideMark/>
          </w:tcPr>
          <w:p w14:paraId="0D219C9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14:paraId="5D8243B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110 080,00</w:t>
            </w:r>
            <w:r w:rsidRPr="00A1066F">
              <w:rPr>
                <w:rFonts w:ascii="Calibri" w:eastAsia="Times New Roman" w:hAnsi="Calibri" w:cs="Calibri"/>
                <w:sz w:val="24"/>
                <w:szCs w:val="24"/>
                <w:lang w:eastAsia="sk-SK"/>
              </w:rPr>
              <w:t xml:space="preserve"> </w:t>
            </w:r>
          </w:p>
        </w:tc>
        <w:tc>
          <w:tcPr>
            <w:tcW w:w="630" w:type="pct"/>
            <w:tcBorders>
              <w:top w:val="outset" w:sz="6" w:space="0" w:color="000000"/>
              <w:left w:val="outset" w:sz="6" w:space="0" w:color="000000"/>
              <w:bottom w:val="outset" w:sz="6" w:space="0" w:color="000000"/>
              <w:right w:val="outset" w:sz="6" w:space="0" w:color="000000"/>
            </w:tcBorders>
            <w:noWrap/>
            <w:vAlign w:val="center"/>
            <w:hideMark/>
          </w:tcPr>
          <w:p w14:paraId="696CEB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280" w:type="pct"/>
            <w:tcBorders>
              <w:top w:val="outset" w:sz="6" w:space="0" w:color="000000"/>
              <w:left w:val="outset" w:sz="6" w:space="0" w:color="000000"/>
              <w:bottom w:val="outset" w:sz="6" w:space="0" w:color="000000"/>
              <w:right w:val="outset" w:sz="6" w:space="0" w:color="000000"/>
            </w:tcBorders>
            <w:noWrap/>
            <w:vAlign w:val="center"/>
            <w:hideMark/>
          </w:tcPr>
          <w:p w14:paraId="12A20CD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6DD2DEAE"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3" w:type="pct"/>
            <w:tcBorders>
              <w:top w:val="outset" w:sz="6" w:space="0" w:color="000000"/>
              <w:left w:val="outset" w:sz="6" w:space="0" w:color="000000"/>
              <w:bottom w:val="outset" w:sz="6" w:space="0" w:color="000000"/>
              <w:right w:val="outset" w:sz="6" w:space="0" w:color="000000"/>
            </w:tcBorders>
            <w:noWrap/>
            <w:vAlign w:val="center"/>
            <w:hideMark/>
          </w:tcPr>
          <w:p w14:paraId="4DB5A5DB"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64" w:type="pct"/>
            <w:tcBorders>
              <w:top w:val="outset" w:sz="6" w:space="0" w:color="000000"/>
              <w:left w:val="outset" w:sz="6" w:space="0" w:color="000000"/>
              <w:bottom w:val="outset" w:sz="6" w:space="0" w:color="000000"/>
              <w:right w:val="outset" w:sz="6" w:space="0" w:color="000000"/>
            </w:tcBorders>
            <w:noWrap/>
            <w:vAlign w:val="center"/>
            <w:hideMark/>
          </w:tcPr>
          <w:p w14:paraId="4CA8AB1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6" w:type="pct"/>
            <w:tcBorders>
              <w:top w:val="outset" w:sz="6" w:space="0" w:color="000000"/>
              <w:left w:val="outset" w:sz="6" w:space="0" w:color="000000"/>
              <w:bottom w:val="outset" w:sz="6" w:space="0" w:color="000000"/>
              <w:right w:val="outset" w:sz="6" w:space="0" w:color="000000"/>
            </w:tcBorders>
            <w:noWrap/>
            <w:vAlign w:val="center"/>
            <w:hideMark/>
          </w:tcPr>
          <w:p w14:paraId="7DB82D6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bl>
    <w:p w14:paraId="46276169"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62"/>
        <w:gridCol w:w="1719"/>
        <w:gridCol w:w="1718"/>
        <w:gridCol w:w="1718"/>
        <w:gridCol w:w="1733"/>
      </w:tblGrid>
      <w:tr w:rsidR="00A1066F" w:rsidRPr="00A1066F" w14:paraId="6F8A9CC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D0CC2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354AF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66E09FC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AC97F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4DCD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OA</w:t>
            </w:r>
          </w:p>
        </w:tc>
      </w:tr>
      <w:tr w:rsidR="00A1066F" w:rsidRPr="00A1066F" w14:paraId="0BDDA7F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5DC01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9F6B2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2C073B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821DA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B9595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A5B3E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F469F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91B45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5C83DA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2485A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2844C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228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E2D8A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9EB3D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66474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r>
      <w:tr w:rsidR="00A1066F" w:rsidRPr="00A1066F" w14:paraId="0A553D9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F278C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1031D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48CC6D6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28384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02AE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F8566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18524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1AA22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900B1B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8D757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E00B6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228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23537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45508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2FE8B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r>
    </w:tbl>
    <w:p w14:paraId="5AAE9A83" w14:textId="77777777" w:rsidR="00A1066F" w:rsidRPr="00A1066F" w:rsidRDefault="00A1066F" w:rsidP="004457F3">
      <w:pPr>
        <w:spacing w:before="120"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Od 1. 9. 2024 je Obchodná akadémia, </w:t>
      </w:r>
      <w:proofErr w:type="spellStart"/>
      <w:r w:rsidRPr="00A1066F">
        <w:rPr>
          <w:rFonts w:ascii="Calibri" w:eastAsia="Times New Roman" w:hAnsi="Calibri" w:cs="Calibri"/>
          <w:sz w:val="24"/>
          <w:szCs w:val="24"/>
          <w:lang w:eastAsia="sk-SK"/>
        </w:rPr>
        <w:t>Myslenická</w:t>
      </w:r>
      <w:proofErr w:type="spellEnd"/>
      <w:r w:rsidRPr="00A1066F">
        <w:rPr>
          <w:rFonts w:ascii="Calibri" w:eastAsia="Times New Roman" w:hAnsi="Calibri" w:cs="Calibri"/>
          <w:sz w:val="24"/>
          <w:szCs w:val="24"/>
          <w:lang w:eastAsia="sk-SK"/>
        </w:rPr>
        <w:t xml:space="preserve"> 1, Pezinok, organizačnou zložkou Spojenej školy, </w:t>
      </w:r>
      <w:proofErr w:type="spellStart"/>
      <w:r w:rsidRPr="00A1066F">
        <w:rPr>
          <w:rFonts w:ascii="Calibri" w:eastAsia="Times New Roman" w:hAnsi="Calibri" w:cs="Calibri"/>
          <w:sz w:val="24"/>
          <w:szCs w:val="24"/>
          <w:lang w:eastAsia="sk-SK"/>
        </w:rPr>
        <w:t>Myslenická</w:t>
      </w:r>
      <w:proofErr w:type="spellEnd"/>
      <w:r w:rsidRPr="00A1066F">
        <w:rPr>
          <w:rFonts w:ascii="Calibri" w:eastAsia="Times New Roman" w:hAnsi="Calibri" w:cs="Calibri"/>
          <w:sz w:val="24"/>
          <w:szCs w:val="24"/>
          <w:lang w:eastAsia="sk-SK"/>
        </w:rPr>
        <w:t xml:space="preserve"> 1, Pezinok.</w:t>
      </w:r>
    </w:p>
    <w:p w14:paraId="776A760B"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8.3.28: Konzervatórium, Tolstého 11,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6"/>
        <w:gridCol w:w="2116"/>
        <w:gridCol w:w="1466"/>
        <w:gridCol w:w="1466"/>
        <w:gridCol w:w="649"/>
        <w:gridCol w:w="1467"/>
        <w:gridCol w:w="649"/>
        <w:gridCol w:w="1467"/>
        <w:gridCol w:w="664"/>
      </w:tblGrid>
      <w:tr w:rsidR="00A1066F" w:rsidRPr="00A1066F" w14:paraId="7FE23FBD"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3F77C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6E98E8F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B435F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D8610D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B406A4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13A411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2E10A9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E5F416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5C04D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033C8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A5D99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4349D82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B2E42A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BF719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76340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4 518 312,00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B6DFE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5 124 347,00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B7DE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113,41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D284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5 124 347,00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2FA9B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8E69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5 124 347,00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764B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451237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F5E26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FA5C0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A992F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4 518 312,00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7832C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5 124 347,00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419B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113,41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08529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5 124 347,00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55C6E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BD119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5 124 347,00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57CC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24E5A6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CB295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FD813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51EA1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2 934 320,00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8DBA5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3 480 916,00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033450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118,63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9EAC1D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3 480 916,00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5E1BB2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9C687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3 480 916,00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6616AE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F2B202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EE4C3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F12C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0AF4D1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1 159 412,00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2DDA4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1 216 581,00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A1C9F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104,93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21CD6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1 216 581,00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6D282F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F763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1 216 581,00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219EABA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37C0DD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7D116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1217E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2ADC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424 580,00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96156D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426 850,00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664DE04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100,53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A10F8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426 850,00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1DCA54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BE41D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426 850,00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5F141F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592C205D"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09"/>
        <w:gridCol w:w="1828"/>
        <w:gridCol w:w="2024"/>
        <w:gridCol w:w="1887"/>
        <w:gridCol w:w="1902"/>
      </w:tblGrid>
      <w:tr w:rsidR="00A1066F" w:rsidRPr="00A1066F" w14:paraId="17E0697C" w14:textId="77777777" w:rsidTr="007468A0">
        <w:trPr>
          <w:tblCellSpacing w:w="15" w:type="dxa"/>
        </w:trPr>
        <w:tc>
          <w:tcPr>
            <w:tcW w:w="13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E2642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62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291A3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562029F5" w14:textId="77777777" w:rsidTr="007468A0">
        <w:trPr>
          <w:tblCellSpacing w:w="15" w:type="dxa"/>
        </w:trPr>
        <w:tc>
          <w:tcPr>
            <w:tcW w:w="13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3B6CE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62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CE806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Konzervatóriu</w:t>
            </w:r>
          </w:p>
        </w:tc>
      </w:tr>
      <w:tr w:rsidR="00A1066F" w:rsidRPr="00A1066F" w14:paraId="37B0AACF" w14:textId="77777777" w:rsidTr="007468A0">
        <w:trPr>
          <w:tblCellSpacing w:w="15" w:type="dxa"/>
        </w:trPr>
        <w:tc>
          <w:tcPr>
            <w:tcW w:w="13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F68D9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62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A2E82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1FE01913" w14:textId="77777777" w:rsidTr="007468A0">
        <w:trPr>
          <w:tblCellSpacing w:w="15" w:type="dxa"/>
        </w:trPr>
        <w:tc>
          <w:tcPr>
            <w:tcW w:w="13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95991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1F1C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6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8287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8DFB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F180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DDD422B" w14:textId="77777777" w:rsidTr="007468A0">
        <w:trPr>
          <w:tblCellSpacing w:w="15" w:type="dxa"/>
        </w:trPr>
        <w:tc>
          <w:tcPr>
            <w:tcW w:w="13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2EA20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0BB6B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624</w:t>
            </w:r>
          </w:p>
        </w:tc>
        <w:tc>
          <w:tcPr>
            <w:tcW w:w="96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6E982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CEDC3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E2121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570</w:t>
            </w:r>
          </w:p>
        </w:tc>
      </w:tr>
      <w:tr w:rsidR="00A1066F" w:rsidRPr="00A1066F" w14:paraId="6699EEC3" w14:textId="77777777" w:rsidTr="007468A0">
        <w:trPr>
          <w:tblCellSpacing w:w="15" w:type="dxa"/>
        </w:trPr>
        <w:tc>
          <w:tcPr>
            <w:tcW w:w="13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40337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62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03B09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129047D0" w14:textId="77777777" w:rsidTr="007468A0">
        <w:trPr>
          <w:tblCellSpacing w:w="15" w:type="dxa"/>
        </w:trPr>
        <w:tc>
          <w:tcPr>
            <w:tcW w:w="13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69963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B5957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6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3431B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638BD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F8EC5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EC2D572" w14:textId="77777777" w:rsidTr="007468A0">
        <w:trPr>
          <w:tblCellSpacing w:w="15" w:type="dxa"/>
        </w:trPr>
        <w:tc>
          <w:tcPr>
            <w:tcW w:w="13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1FA77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6957B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624</w:t>
            </w:r>
          </w:p>
        </w:tc>
        <w:tc>
          <w:tcPr>
            <w:tcW w:w="96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56607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485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BEB6E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7B8C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485</w:t>
            </w:r>
          </w:p>
        </w:tc>
      </w:tr>
    </w:tbl>
    <w:p w14:paraId="03833DF9" w14:textId="77777777" w:rsidR="00A1066F" w:rsidRPr="00A1066F" w:rsidRDefault="00A1066F" w:rsidP="004457F3">
      <w:pPr>
        <w:spacing w:before="120"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Zameranie študijných odborov je na umenie a umeleckoremeselnú tvorbu (hudba, spev a </w:t>
      </w:r>
      <w:proofErr w:type="spellStart"/>
      <w:r w:rsidRPr="00A1066F">
        <w:rPr>
          <w:rFonts w:ascii="Calibri" w:eastAsia="Times New Roman" w:hAnsi="Calibri" w:cs="Calibri"/>
          <w:sz w:val="24"/>
          <w:szCs w:val="24"/>
          <w:lang w:eastAsia="sk-SK"/>
        </w:rPr>
        <w:t>hudobno</w:t>
      </w:r>
      <w:proofErr w:type="spellEnd"/>
      <w:r w:rsidRPr="00A1066F">
        <w:rPr>
          <w:rFonts w:ascii="Calibri" w:eastAsia="Times New Roman" w:hAnsi="Calibri" w:cs="Calibri"/>
          <w:sz w:val="24"/>
          <w:szCs w:val="24"/>
          <w:lang w:eastAsia="sk-SK"/>
        </w:rPr>
        <w:t xml:space="preserve"> - dramatické umenie) v dennej forme štúdia (6-ročné). Konzervatórium zabezpečuje aj vyššie pomaturitné špecializačné štúdium. </w:t>
      </w:r>
    </w:p>
    <w:p w14:paraId="5CED3ED7"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8.3.29: Tanečné konzervatórium E. </w:t>
      </w:r>
      <w:proofErr w:type="spellStart"/>
      <w:r w:rsidRPr="00A1066F">
        <w:rPr>
          <w:rFonts w:ascii="Calibri" w:eastAsia="Times New Roman" w:hAnsi="Calibri" w:cs="Calibri"/>
          <w:b/>
          <w:bCs/>
          <w:color w:val="0000FF"/>
          <w:sz w:val="24"/>
          <w:szCs w:val="24"/>
          <w:lang w:eastAsia="sk-SK"/>
        </w:rPr>
        <w:t>Jaczovej</w:t>
      </w:r>
      <w:proofErr w:type="spellEnd"/>
      <w:r w:rsidRPr="00A1066F">
        <w:rPr>
          <w:rFonts w:ascii="Calibri" w:eastAsia="Times New Roman" w:hAnsi="Calibri" w:cs="Calibri"/>
          <w:b/>
          <w:bCs/>
          <w:color w:val="0000FF"/>
          <w:sz w:val="24"/>
          <w:szCs w:val="24"/>
          <w:lang w:eastAsia="sk-SK"/>
        </w:rPr>
        <w:t>, Gorazdova 20,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0B472366"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4909F9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434D261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325B4B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93380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D888E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809008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C650EA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EF386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54132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B6F6E1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CDE9D8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89219B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BB447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3DF8E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82527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1 238 275,00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A297E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1 360 269,00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AB67E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109,85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BE6FC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1 360 769,00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D2CA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BC274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1 360 769,00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3C40E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4C6F4D3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F20FE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58B2C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CFA6C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1 238 275,00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63D1CD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1 360 269,00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8959E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109,85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4B94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1 360 769,00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8A877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7CE1D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1 360 769,00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EFB7E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ADBA8D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F1520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E5A33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CB3AE2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647 021,00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2BFB7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774 706,00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65A9EA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119,73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D86579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774 706,00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5DC43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16966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774 706,00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3951F3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A4DD05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E8555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1E7DF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D234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283 314,00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3FB94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303 413,00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5B353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107,09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84E78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303 913,00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4B39B9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100,16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64860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303 913,00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076D81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94102A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3F552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B1A88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9C3A0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304 940,00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6C2F8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277 150,00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D69602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90,89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9BBFD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277 150,00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81A9F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64CA0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277 150,00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5A7966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951DF1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0F53F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16589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519BE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D6E13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48A848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166,67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09D8A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1CA24D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2F4043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65300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44E80E15"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59"/>
        <w:gridCol w:w="1844"/>
        <w:gridCol w:w="1844"/>
        <w:gridCol w:w="1844"/>
        <w:gridCol w:w="1859"/>
      </w:tblGrid>
      <w:tr w:rsidR="00A1066F" w:rsidRPr="00A1066F" w14:paraId="18BF976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71133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FB322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56651DE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1F00D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70E09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Konzervatóriu</w:t>
            </w:r>
          </w:p>
        </w:tc>
      </w:tr>
      <w:tr w:rsidR="00A1066F" w:rsidRPr="00A1066F" w14:paraId="781B96F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391C5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00B48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1AC625B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7B286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C97A0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5BB9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DC1B1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08F5A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C8C8A4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A1FA4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0C62D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38D08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133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A3F57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0D128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133</w:t>
            </w:r>
          </w:p>
        </w:tc>
      </w:tr>
      <w:tr w:rsidR="00A1066F" w:rsidRPr="00A1066F" w14:paraId="0258BE4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A1995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84666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1BBBA08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8798B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FB24F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C5D8D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1CAA6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C1829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870E9F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0AA54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7351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1560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1CC42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9E56B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130</w:t>
            </w:r>
          </w:p>
        </w:tc>
      </w:tr>
    </w:tbl>
    <w:p w14:paraId="7ECC99DE" w14:textId="77777777" w:rsidR="00A1066F" w:rsidRPr="00A1066F" w:rsidRDefault="00A1066F" w:rsidP="004457F3">
      <w:pPr>
        <w:spacing w:before="120"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umenie a umeleckoremeselnú tvorbu (tanec - klasický, ľudový a moderný) v dennej forme štúdia (8-ročné). </w:t>
      </w:r>
    </w:p>
    <w:p w14:paraId="0A37E47F"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8.3.30: SOŠ masmediálnych a informačných štúdií, Kadnárova 7,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0E3C2763"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D457F9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2852B4F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BFB38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957A64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292AFE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73476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185FD8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C5BDAB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AE380E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4D48A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8E3DAE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0B6E54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F4BBF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DC164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504F7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1 163 520,00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04F9E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1 304 870,00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F491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112,15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90E2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1 418 070,00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60BC1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108,68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1D3A7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1 527 270,00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59AFB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107,70</w:t>
            </w:r>
            <w:r w:rsidRPr="00A1066F">
              <w:rPr>
                <w:rFonts w:ascii="Calibri" w:eastAsia="Times New Roman" w:hAnsi="Calibri" w:cs="Calibri"/>
                <w:sz w:val="24"/>
                <w:szCs w:val="24"/>
                <w:lang w:eastAsia="sk-SK"/>
              </w:rPr>
              <w:t xml:space="preserve"> </w:t>
            </w:r>
          </w:p>
        </w:tc>
      </w:tr>
      <w:tr w:rsidR="00A1066F" w:rsidRPr="00A1066F" w14:paraId="7596305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387DBC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06E6E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D56A6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1 163 520,00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5F27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1 304 870,00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7F8F1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112,15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A17C7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1 418 070,00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3189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108,68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636F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1 527 270,00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C0CD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107,70</w:t>
            </w:r>
            <w:r w:rsidRPr="00A1066F">
              <w:rPr>
                <w:rFonts w:ascii="Calibri" w:eastAsia="Times New Roman" w:hAnsi="Calibri" w:cs="Calibri"/>
                <w:sz w:val="24"/>
                <w:szCs w:val="24"/>
                <w:lang w:eastAsia="sk-SK"/>
              </w:rPr>
              <w:t xml:space="preserve"> </w:t>
            </w:r>
          </w:p>
        </w:tc>
      </w:tr>
      <w:tr w:rsidR="00A1066F" w:rsidRPr="00A1066F" w14:paraId="7125C0F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C9F7D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35B26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F0A9F5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665 520,00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90B39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714 020,00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B4664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107,29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8F0D8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765 020,00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9064E0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107,14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ED457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816 020,00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68F43B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106,67</w:t>
            </w:r>
            <w:r w:rsidRPr="00A1066F">
              <w:rPr>
                <w:rFonts w:ascii="Calibri" w:eastAsia="Times New Roman" w:hAnsi="Calibri" w:cs="Calibri"/>
                <w:sz w:val="24"/>
                <w:szCs w:val="24"/>
                <w:lang w:eastAsia="sk-SK"/>
              </w:rPr>
              <w:t xml:space="preserve"> </w:t>
            </w:r>
          </w:p>
        </w:tc>
      </w:tr>
      <w:tr w:rsidR="00A1066F" w:rsidRPr="00A1066F" w14:paraId="0C12108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6966F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6A0602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195C87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209 900,00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38EA8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237 500,00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48A20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113,15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15484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257 500,00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5835A3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108,42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2891D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276 500,00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E700F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107,38</w:t>
            </w:r>
            <w:r w:rsidRPr="00A1066F">
              <w:rPr>
                <w:rFonts w:ascii="Calibri" w:eastAsia="Times New Roman" w:hAnsi="Calibri" w:cs="Calibri"/>
                <w:sz w:val="24"/>
                <w:szCs w:val="24"/>
                <w:lang w:eastAsia="sk-SK"/>
              </w:rPr>
              <w:t xml:space="preserve"> </w:t>
            </w:r>
          </w:p>
        </w:tc>
      </w:tr>
      <w:tr w:rsidR="00A1066F" w:rsidRPr="00A1066F" w14:paraId="28C1509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10151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068A6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F8198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285 600,00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F781B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350 350,00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73944A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122,67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0AF71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392 550,00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EB5C09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112,05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AB14A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431 750,00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744782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109,99</w:t>
            </w:r>
            <w:r w:rsidRPr="00A1066F">
              <w:rPr>
                <w:rFonts w:ascii="Calibri" w:eastAsia="Times New Roman" w:hAnsi="Calibri" w:cs="Calibri"/>
                <w:sz w:val="24"/>
                <w:szCs w:val="24"/>
                <w:lang w:eastAsia="sk-SK"/>
              </w:rPr>
              <w:t xml:space="preserve"> </w:t>
            </w:r>
          </w:p>
        </w:tc>
      </w:tr>
      <w:tr w:rsidR="00A1066F" w:rsidRPr="00A1066F" w14:paraId="1D0B1E3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3CCEE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DB246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114AA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68E4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D23E5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21204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2DF308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56BAB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545AD0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4E92DA74"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2CBA611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D3700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7CA45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118C790E"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2ACED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4E367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37F2B3F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0CD14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C627D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8F2D1B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EF4DF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8FF0C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13C9B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2F6F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D9C1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5D10C5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64EB3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9FA51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326</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8D71F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337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591D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D8B62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337</w:t>
            </w:r>
          </w:p>
        </w:tc>
      </w:tr>
      <w:tr w:rsidR="00A1066F" w:rsidRPr="00A1066F" w14:paraId="0E610ED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D2A64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42526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3655105C"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842A5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5A628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8334C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8C9EA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AFE0E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2928EC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61639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36DE0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326</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F1106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0F396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19F32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335</w:t>
            </w:r>
          </w:p>
        </w:tc>
      </w:tr>
    </w:tbl>
    <w:p w14:paraId="6B7CB106" w14:textId="77777777" w:rsidR="00A1066F" w:rsidRPr="00A1066F" w:rsidRDefault="00A1066F" w:rsidP="004457F3">
      <w:pPr>
        <w:spacing w:before="120"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publicistiku, knihovníctvo a vedecké informácie, informačné systémy a služby v dennej forme štúdia. </w:t>
      </w:r>
    </w:p>
    <w:p w14:paraId="29A0249F" w14:textId="77777777" w:rsidR="00A1066F" w:rsidRPr="00A1066F" w:rsidRDefault="00A1066F" w:rsidP="004457F3">
      <w:pPr>
        <w:spacing w:before="100" w:beforeAutospacing="1" w:after="120"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8.3.31: SOŠ pedagogická, Bullova 2,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6"/>
        <w:gridCol w:w="2116"/>
        <w:gridCol w:w="1466"/>
        <w:gridCol w:w="1466"/>
        <w:gridCol w:w="649"/>
        <w:gridCol w:w="1467"/>
        <w:gridCol w:w="649"/>
        <w:gridCol w:w="1467"/>
        <w:gridCol w:w="664"/>
      </w:tblGrid>
      <w:tr w:rsidR="00A1066F" w:rsidRPr="00A1066F" w14:paraId="2E80821A"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FA9C1E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248A7AD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30BE88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E3542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E2084A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08EF49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4ABFA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9A6CE8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4E8DC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3A1D8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0010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1D1D39D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96F36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048ED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E8681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1 199 698,00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8EEAEC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1 662 000,00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B3A9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138,53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68BD9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1 684 750,00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3D7B2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101,37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AB785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1 705 100,00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34794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101,21</w:t>
            </w:r>
            <w:r w:rsidRPr="00A1066F">
              <w:rPr>
                <w:rFonts w:ascii="Calibri" w:eastAsia="Times New Roman" w:hAnsi="Calibri" w:cs="Calibri"/>
                <w:sz w:val="24"/>
                <w:szCs w:val="24"/>
                <w:lang w:eastAsia="sk-SK"/>
              </w:rPr>
              <w:t xml:space="preserve"> </w:t>
            </w:r>
          </w:p>
        </w:tc>
      </w:tr>
      <w:tr w:rsidR="00A1066F" w:rsidRPr="00A1066F" w14:paraId="0DAD8AA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40A48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F59EF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DF8F1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1 199 698,00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80614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1 662 000,00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1FF1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138,53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8FE4F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1 684 750,00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508EF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101,37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8A21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1 705 100,00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360D6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101,21</w:t>
            </w:r>
            <w:r w:rsidRPr="00A1066F">
              <w:rPr>
                <w:rFonts w:ascii="Calibri" w:eastAsia="Times New Roman" w:hAnsi="Calibri" w:cs="Calibri"/>
                <w:sz w:val="24"/>
                <w:szCs w:val="24"/>
                <w:lang w:eastAsia="sk-SK"/>
              </w:rPr>
              <w:t xml:space="preserve"> </w:t>
            </w:r>
          </w:p>
        </w:tc>
      </w:tr>
      <w:tr w:rsidR="00A1066F" w:rsidRPr="00A1066F" w14:paraId="67FAA53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5AC044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2CDDB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4207E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700 888,00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36D8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890 000,00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60F2DD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126,98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F5DF9C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907 000,00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33451AD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101,91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2497F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921 000,00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FE750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101,54</w:t>
            </w:r>
            <w:r w:rsidRPr="00A1066F">
              <w:rPr>
                <w:rFonts w:ascii="Calibri" w:eastAsia="Times New Roman" w:hAnsi="Calibri" w:cs="Calibri"/>
                <w:sz w:val="24"/>
                <w:szCs w:val="24"/>
                <w:lang w:eastAsia="sk-SK"/>
              </w:rPr>
              <w:t xml:space="preserve"> </w:t>
            </w:r>
          </w:p>
        </w:tc>
      </w:tr>
      <w:tr w:rsidR="00A1066F" w:rsidRPr="00A1066F" w14:paraId="79C2ADC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A1CA2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D4644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118B1A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278 310,00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64C2E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351 150,00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39664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126,17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880BE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356 900,00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D3E637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101,64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7A49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363 250,00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3766B1E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101,78</w:t>
            </w:r>
            <w:r w:rsidRPr="00A1066F">
              <w:rPr>
                <w:rFonts w:ascii="Calibri" w:eastAsia="Times New Roman" w:hAnsi="Calibri" w:cs="Calibri"/>
                <w:sz w:val="24"/>
                <w:szCs w:val="24"/>
                <w:lang w:eastAsia="sk-SK"/>
              </w:rPr>
              <w:t xml:space="preserve"> </w:t>
            </w:r>
          </w:p>
        </w:tc>
      </w:tr>
      <w:tr w:rsidR="00A1066F" w:rsidRPr="00A1066F" w14:paraId="778BD70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C9259A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5854C5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5CE205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220 500,00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BC4E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420 850,00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610E03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190,86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76177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420 850,00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D6EEB5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479B3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420 850,00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5D1B33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4AC52160"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50"/>
        <w:gridCol w:w="1966"/>
        <w:gridCol w:w="1975"/>
        <w:gridCol w:w="1772"/>
        <w:gridCol w:w="1787"/>
      </w:tblGrid>
      <w:tr w:rsidR="00A1066F" w:rsidRPr="00A1066F" w14:paraId="4DB76CE0"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9E473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1E5BD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3682D295"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D8B8A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317C8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14300C20"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D576E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3FF89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CA7E63A"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4DF09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Rok</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14410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0E7CE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DABD4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9D17D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EC6B62A"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37FA1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83097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480</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0F1FC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41FCD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516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8C9F4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516</w:t>
            </w:r>
          </w:p>
        </w:tc>
      </w:tr>
      <w:tr w:rsidR="00A1066F" w:rsidRPr="00A1066F" w14:paraId="6933180D"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47478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5"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8F802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3B931399"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2E8F0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32C7E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2ADAA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122EC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9A3FE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4145120" w14:textId="77777777" w:rsidTr="007468A0">
        <w:trPr>
          <w:tblCellSpacing w:w="15" w:type="dxa"/>
        </w:trPr>
        <w:tc>
          <w:tcPr>
            <w:tcW w:w="14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639B1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41984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331</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7B83E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7F2F6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4A1BA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380</w:t>
            </w:r>
          </w:p>
        </w:tc>
      </w:tr>
    </w:tbl>
    <w:p w14:paraId="4A7928F1"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učiteľstvo pre materské školy a vychovávateľstvo, animátor voľného času a pedagogický asistent v dennej forme štúdia a v pomaturitnom kvalifikačnom štúdiu. </w:t>
      </w:r>
    </w:p>
    <w:p w14:paraId="25248A2E"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8.3.32: SOŠ pedagogická, Sokolská 6, Modra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78C0F6A4"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5D5DE6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23F9586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DC2F5C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B5AB07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30F71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E84CF4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0FC18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F80853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082ECF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9C987B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369269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04BC0F2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C1251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B8834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90FCC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1 013 860,00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3F45A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1 036 165,00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5FD0D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DB92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1 079 630,00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87CD9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104,19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E7EAB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1 118 590,00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24FAF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103,61</w:t>
            </w:r>
            <w:r w:rsidRPr="00A1066F">
              <w:rPr>
                <w:rFonts w:ascii="Calibri" w:eastAsia="Times New Roman" w:hAnsi="Calibri" w:cs="Calibri"/>
                <w:sz w:val="24"/>
                <w:szCs w:val="24"/>
                <w:lang w:eastAsia="sk-SK"/>
              </w:rPr>
              <w:t xml:space="preserve"> </w:t>
            </w:r>
          </w:p>
        </w:tc>
      </w:tr>
      <w:tr w:rsidR="00A1066F" w:rsidRPr="00A1066F" w14:paraId="6FBBDAA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9DFAB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A9585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AECB1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1 013 860,00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B2D25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1 036 165,00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3CB71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48B2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1 079 630,00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F53E8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104,19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6CB3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1 118 590,00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27B7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103,61</w:t>
            </w:r>
            <w:r w:rsidRPr="00A1066F">
              <w:rPr>
                <w:rFonts w:ascii="Calibri" w:eastAsia="Times New Roman" w:hAnsi="Calibri" w:cs="Calibri"/>
                <w:sz w:val="24"/>
                <w:szCs w:val="24"/>
                <w:lang w:eastAsia="sk-SK"/>
              </w:rPr>
              <w:t xml:space="preserve"> </w:t>
            </w:r>
          </w:p>
        </w:tc>
      </w:tr>
      <w:tr w:rsidR="00A1066F" w:rsidRPr="00A1066F" w14:paraId="6CEA553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C0F41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61F1A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D80437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675 221,00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A94E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679 271,00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63375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100,60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272D6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711 999,00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D050D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104,82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F02FD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742 229,00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A6843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104,25</w:t>
            </w:r>
            <w:r w:rsidRPr="00A1066F">
              <w:rPr>
                <w:rFonts w:ascii="Calibri" w:eastAsia="Times New Roman" w:hAnsi="Calibri" w:cs="Calibri"/>
                <w:sz w:val="24"/>
                <w:szCs w:val="24"/>
                <w:lang w:eastAsia="sk-SK"/>
              </w:rPr>
              <w:t xml:space="preserve"> </w:t>
            </w:r>
          </w:p>
        </w:tc>
      </w:tr>
      <w:tr w:rsidR="00A1066F" w:rsidRPr="00A1066F" w14:paraId="53E4AD1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D3BE9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A43E69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9F24E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235 989,00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BB6DE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244 194,00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4732C9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103,48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82DE1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252 631,00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48F29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103,46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45F9B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258 861,00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E8AF4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102,47</w:t>
            </w:r>
            <w:r w:rsidRPr="00A1066F">
              <w:rPr>
                <w:rFonts w:ascii="Calibri" w:eastAsia="Times New Roman" w:hAnsi="Calibri" w:cs="Calibri"/>
                <w:sz w:val="24"/>
                <w:szCs w:val="24"/>
                <w:lang w:eastAsia="sk-SK"/>
              </w:rPr>
              <w:t xml:space="preserve"> </w:t>
            </w:r>
          </w:p>
        </w:tc>
      </w:tr>
      <w:tr w:rsidR="00A1066F" w:rsidRPr="00A1066F" w14:paraId="7093064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D1A49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3A364F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65D94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101 650,00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4C9E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112 700,00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A60F9C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110,87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5C693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53E50B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102,04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2AAF9C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117 500,00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43D592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102,17</w:t>
            </w:r>
            <w:r w:rsidRPr="00A1066F">
              <w:rPr>
                <w:rFonts w:ascii="Calibri" w:eastAsia="Times New Roman" w:hAnsi="Calibri" w:cs="Calibri"/>
                <w:sz w:val="24"/>
                <w:szCs w:val="24"/>
                <w:lang w:eastAsia="sk-SK"/>
              </w:rPr>
              <w:t xml:space="preserve"> </w:t>
            </w:r>
          </w:p>
        </w:tc>
      </w:tr>
      <w:tr w:rsidR="00A1066F" w:rsidRPr="00A1066F" w14:paraId="3ACD338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36527D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B7212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E8097A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46FFD7"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CD1C5F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A3FC6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C15EDCE"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50C62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5CDFF7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bl>
    <w:p w14:paraId="6D3F4B23"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17B8812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32704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0A49A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5F3A61F5"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3FAE2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09DB9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0CC18AF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CCEAF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5FD6D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76C7A89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FBDFB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C1869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54D09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D29E6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147B3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B7D3FCE"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9CCC1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4DFFE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423</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5ECBD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437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BF7E7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437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63FA1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437</w:t>
            </w:r>
          </w:p>
        </w:tc>
      </w:tr>
      <w:tr w:rsidR="00A1066F" w:rsidRPr="00A1066F" w14:paraId="25AF08D8"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05B5A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1780A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6B9DB40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F3043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F558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5F20E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7E194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9BBC9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317596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0F86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A5957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308</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63A5B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321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D9FD4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321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D680C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321</w:t>
            </w:r>
          </w:p>
        </w:tc>
      </w:tr>
    </w:tbl>
    <w:p w14:paraId="21CD17EA"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učiteľstvo pre materské školy a vychovávateľstvo, </w:t>
      </w:r>
      <w:proofErr w:type="spellStart"/>
      <w:r w:rsidRPr="00A1066F">
        <w:rPr>
          <w:rFonts w:ascii="Calibri" w:eastAsia="Times New Roman" w:hAnsi="Calibri" w:cs="Calibri"/>
          <w:sz w:val="24"/>
          <w:szCs w:val="24"/>
          <w:lang w:eastAsia="sk-SK"/>
        </w:rPr>
        <w:t>vychovávateľsko</w:t>
      </w:r>
      <w:proofErr w:type="spellEnd"/>
      <w:r w:rsidRPr="00A1066F">
        <w:rPr>
          <w:rFonts w:ascii="Calibri" w:eastAsia="Times New Roman" w:hAnsi="Calibri" w:cs="Calibri"/>
          <w:sz w:val="24"/>
          <w:szCs w:val="24"/>
          <w:lang w:eastAsia="sk-SK"/>
        </w:rPr>
        <w:t xml:space="preserve"> - opatrovateľskú činnosť, animátor voľného času v dennej forme štúdia a v pomaturitnom kvalifikačnom štúdiu. </w:t>
      </w:r>
    </w:p>
    <w:p w14:paraId="541B2387"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8.3.33: Škola umeleckého priemyslu </w:t>
      </w:r>
      <w:proofErr w:type="spellStart"/>
      <w:r w:rsidRPr="00A1066F">
        <w:rPr>
          <w:rFonts w:ascii="Calibri" w:eastAsia="Times New Roman" w:hAnsi="Calibri" w:cs="Calibri"/>
          <w:b/>
          <w:bCs/>
          <w:color w:val="0000FF"/>
          <w:sz w:val="24"/>
          <w:szCs w:val="24"/>
          <w:lang w:eastAsia="sk-SK"/>
        </w:rPr>
        <w:t>Josefa</w:t>
      </w:r>
      <w:proofErr w:type="spellEnd"/>
      <w:r w:rsidRPr="00A1066F">
        <w:rPr>
          <w:rFonts w:ascii="Calibri" w:eastAsia="Times New Roman" w:hAnsi="Calibri" w:cs="Calibri"/>
          <w:b/>
          <w:bCs/>
          <w:color w:val="0000FF"/>
          <w:sz w:val="24"/>
          <w:szCs w:val="24"/>
          <w:lang w:eastAsia="sk-SK"/>
        </w:rPr>
        <w:t xml:space="preserve"> Vydru, Dúbravská cesta 11,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69"/>
        <w:gridCol w:w="2263"/>
        <w:gridCol w:w="1414"/>
        <w:gridCol w:w="1414"/>
        <w:gridCol w:w="749"/>
        <w:gridCol w:w="1414"/>
        <w:gridCol w:w="649"/>
        <w:gridCol w:w="1414"/>
        <w:gridCol w:w="664"/>
      </w:tblGrid>
      <w:tr w:rsidR="00A1066F" w:rsidRPr="00A1066F" w14:paraId="11BD2755"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02EE2B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75C2F2A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09AA3F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79154D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7147C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DDA63B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E2F806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5EAA7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BF75E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51AAF0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BB97B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23BE9F6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E3C9C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BFF04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7143E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1 776 162,00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47080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2 087 460,00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0AD75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117,53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F421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2 244 875,00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BC306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107,54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98C6D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2 417 932,00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11ED0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107,71</w:t>
            </w:r>
            <w:r w:rsidRPr="00A1066F">
              <w:rPr>
                <w:rFonts w:ascii="Calibri" w:eastAsia="Times New Roman" w:hAnsi="Calibri" w:cs="Calibri"/>
                <w:sz w:val="24"/>
                <w:szCs w:val="24"/>
                <w:lang w:eastAsia="sk-SK"/>
              </w:rPr>
              <w:t xml:space="preserve"> </w:t>
            </w:r>
          </w:p>
        </w:tc>
      </w:tr>
      <w:tr w:rsidR="00A1066F" w:rsidRPr="00A1066F" w14:paraId="5AA3C62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2F5E9F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1C8CE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5574C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1 776 162,00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6D8C0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2 087 460,00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A18F9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117,53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0E12F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2 244 875,00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FA13F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107,54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DC2E0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2 417 932,00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DF0A8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107,71</w:t>
            </w:r>
            <w:r w:rsidRPr="00A1066F">
              <w:rPr>
                <w:rFonts w:ascii="Calibri" w:eastAsia="Times New Roman" w:hAnsi="Calibri" w:cs="Calibri"/>
                <w:sz w:val="24"/>
                <w:szCs w:val="24"/>
                <w:lang w:eastAsia="sk-SK"/>
              </w:rPr>
              <w:t xml:space="preserve"> </w:t>
            </w:r>
          </w:p>
        </w:tc>
      </w:tr>
      <w:tr w:rsidR="00A1066F" w:rsidRPr="00A1066F" w14:paraId="78CB058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F6337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213FE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9CB14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1 089 875,00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497A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1 248 890,00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8F4648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114,59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2C0E6B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1 361 105,00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D6078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108,99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F8443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1 484 542,00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75EBED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109,07</w:t>
            </w:r>
            <w:r w:rsidRPr="00A1066F">
              <w:rPr>
                <w:rFonts w:ascii="Calibri" w:eastAsia="Times New Roman" w:hAnsi="Calibri" w:cs="Calibri"/>
                <w:sz w:val="24"/>
                <w:szCs w:val="24"/>
                <w:lang w:eastAsia="sk-SK"/>
              </w:rPr>
              <w:t xml:space="preserve"> </w:t>
            </w:r>
          </w:p>
        </w:tc>
      </w:tr>
      <w:tr w:rsidR="00A1066F" w:rsidRPr="00A1066F" w14:paraId="0FABF45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A10A2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10484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B17CC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383 417,00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0D70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452 000,00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58ED2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117,89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2729A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497 200,00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07660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5F52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546 820,00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BEDDFB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109,98</w:t>
            </w:r>
            <w:r w:rsidRPr="00A1066F">
              <w:rPr>
                <w:rFonts w:ascii="Calibri" w:eastAsia="Times New Roman" w:hAnsi="Calibri" w:cs="Calibri"/>
                <w:sz w:val="24"/>
                <w:szCs w:val="24"/>
                <w:lang w:eastAsia="sk-SK"/>
              </w:rPr>
              <w:t xml:space="preserve"> </w:t>
            </w:r>
          </w:p>
        </w:tc>
      </w:tr>
      <w:tr w:rsidR="00A1066F" w:rsidRPr="00A1066F" w14:paraId="5521EE8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C9F31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80983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85D744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300 670,00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4224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323 370,00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873AE0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107,55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8E7A21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323 370,00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942805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42224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323 370,00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F290E9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18EC8D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C7AC6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2E71B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CE5CF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2 200,00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D0580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2CCD8B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2872,73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A36A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34817C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C4DF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EB359F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6DBBF330"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4"/>
        <w:gridCol w:w="1692"/>
        <w:gridCol w:w="2115"/>
        <w:gridCol w:w="1772"/>
        <w:gridCol w:w="1787"/>
      </w:tblGrid>
      <w:tr w:rsidR="00A1066F" w:rsidRPr="00A1066F" w14:paraId="165807FC"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6D67C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333A8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3C25F59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370CF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F91EF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ŠUP</w:t>
            </w:r>
          </w:p>
        </w:tc>
      </w:tr>
      <w:tr w:rsidR="00A1066F" w:rsidRPr="00A1066F" w14:paraId="282B64E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4CB35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88337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0FD109E"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CAB16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03D0A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100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6928A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4A7F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F7943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F7E7CDD"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7337B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2C674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352</w:t>
            </w:r>
          </w:p>
        </w:tc>
        <w:tc>
          <w:tcPr>
            <w:tcW w:w="100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82F0C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362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5CB26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362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35E42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362</w:t>
            </w:r>
          </w:p>
        </w:tc>
      </w:tr>
      <w:tr w:rsidR="00A1066F" w:rsidRPr="00A1066F" w14:paraId="359F30E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891C2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0AC7C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2B93EBB2"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23E15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879A4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100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362B9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33610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1E183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05E2D3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C5CCD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0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50A21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352</w:t>
            </w:r>
          </w:p>
        </w:tc>
        <w:tc>
          <w:tcPr>
            <w:tcW w:w="100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66E62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362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976C6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362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26CB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362</w:t>
            </w:r>
          </w:p>
        </w:tc>
      </w:tr>
    </w:tbl>
    <w:p w14:paraId="27F94F07"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umenie a umelecký priemysel . Ide o dennú formu štúdia. </w:t>
      </w:r>
    </w:p>
    <w:p w14:paraId="2259944A"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8.3.34: Stredná zdravotnícka škola, Záhradnícka 44,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9"/>
        <w:gridCol w:w="1448"/>
        <w:gridCol w:w="647"/>
        <w:gridCol w:w="1448"/>
        <w:gridCol w:w="664"/>
      </w:tblGrid>
      <w:tr w:rsidR="00A1066F" w:rsidRPr="00A1066F" w14:paraId="03D53442"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19A9F1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46184CA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427CB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2B7C09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E6527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999985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7528A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DA6591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B515A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0BC3D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65D13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3C9D9BD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4262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B9CCA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ECA9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2 500 524,00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40276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2 672 936,00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34F56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106,90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B886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2 659 995,00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00E6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99,52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903CB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2 667 745,00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77708E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100,29</w:t>
            </w:r>
            <w:r w:rsidRPr="00A1066F">
              <w:rPr>
                <w:rFonts w:ascii="Calibri" w:eastAsia="Times New Roman" w:hAnsi="Calibri" w:cs="Calibri"/>
                <w:sz w:val="24"/>
                <w:szCs w:val="24"/>
                <w:lang w:eastAsia="sk-SK"/>
              </w:rPr>
              <w:t xml:space="preserve"> </w:t>
            </w:r>
          </w:p>
        </w:tc>
      </w:tr>
      <w:tr w:rsidR="00A1066F" w:rsidRPr="00A1066F" w14:paraId="73246E4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70BF6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6CB28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08ED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2 500 524,00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79400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2 672 936,00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99AE9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106,90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CAFE1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2 659 995,00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81A2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99,52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4997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2 667 745,00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3DDBC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100,29</w:t>
            </w:r>
            <w:r w:rsidRPr="00A1066F">
              <w:rPr>
                <w:rFonts w:ascii="Calibri" w:eastAsia="Times New Roman" w:hAnsi="Calibri" w:cs="Calibri"/>
                <w:sz w:val="24"/>
                <w:szCs w:val="24"/>
                <w:lang w:eastAsia="sk-SK"/>
              </w:rPr>
              <w:t xml:space="preserve"> </w:t>
            </w:r>
          </w:p>
        </w:tc>
      </w:tr>
      <w:tr w:rsidR="00A1066F" w:rsidRPr="00A1066F" w14:paraId="3525933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A77A9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17337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1F68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1 234 000,00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08309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1 328 000,00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D3E214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107,62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8F48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1 380 000,00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AD4C1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103,92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F1059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1 380 000,00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143126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7856C3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8CAB3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917D2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7C0EA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537 653,00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4BC8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587 386,00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0645FE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109,25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BF26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609 725,00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123054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103,80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8F599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609 725,00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16D41E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6F25CA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966B0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93DA8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34679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675 571,00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768B7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699 450,00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7D1CB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103,53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674B4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613 570,00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3BF93F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87,72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9B8AB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621 320,00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526A7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101,26</w:t>
            </w:r>
            <w:r w:rsidRPr="00A1066F">
              <w:rPr>
                <w:rFonts w:ascii="Calibri" w:eastAsia="Times New Roman" w:hAnsi="Calibri" w:cs="Calibri"/>
                <w:sz w:val="24"/>
                <w:szCs w:val="24"/>
                <w:lang w:eastAsia="sk-SK"/>
              </w:rPr>
              <w:t xml:space="preserve"> </w:t>
            </w:r>
          </w:p>
        </w:tc>
      </w:tr>
      <w:tr w:rsidR="00A1066F" w:rsidRPr="00A1066F" w14:paraId="5D48777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D9AB9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98A4C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F680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53 300,00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A0DB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58 100,00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60FAA1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109,01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FCE9A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56 700,00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E9BA4F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97,59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13C17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56 700,00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4F2AFA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401B46F3"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1E76D488"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7DBFC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32230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66C75AE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C42B1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B5F6B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357BFF58"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F7D44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9822C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3C66D34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FFA9E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2537E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DEECB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2CFB9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BD475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4B1FD6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C55D7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9F309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621</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17D79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624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B681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8BC28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624</w:t>
            </w:r>
          </w:p>
        </w:tc>
      </w:tr>
      <w:tr w:rsidR="00A1066F" w:rsidRPr="00A1066F" w14:paraId="44A82C3E"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5200E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FA4EA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566A223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B61C9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74A7E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5AF05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C3F24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328D7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8F9C9DD"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AF67D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30082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B5F14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F6D9B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0BD51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576</w:t>
            </w:r>
          </w:p>
        </w:tc>
      </w:tr>
    </w:tbl>
    <w:p w14:paraId="11C1F137"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zdravotnícke odbory vzdelávania (technické) v dennej forme štúdia, vo vyššom pomaturitnom špecializačnom štúdiu, nadstavbovom a externom štúdiu. </w:t>
      </w:r>
    </w:p>
    <w:p w14:paraId="584F7ADC"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8.3.35: Stredná zdravotnícka škola, </w:t>
      </w:r>
      <w:proofErr w:type="spellStart"/>
      <w:r w:rsidRPr="00A1066F">
        <w:rPr>
          <w:rFonts w:ascii="Calibri" w:eastAsia="Times New Roman" w:hAnsi="Calibri" w:cs="Calibri"/>
          <w:b/>
          <w:bCs/>
          <w:color w:val="0000FF"/>
          <w:sz w:val="24"/>
          <w:szCs w:val="24"/>
          <w:lang w:eastAsia="sk-SK"/>
        </w:rPr>
        <w:t>Strečnianska</w:t>
      </w:r>
      <w:proofErr w:type="spellEnd"/>
      <w:r w:rsidRPr="00A1066F">
        <w:rPr>
          <w:rFonts w:ascii="Calibri" w:eastAsia="Times New Roman" w:hAnsi="Calibri" w:cs="Calibri"/>
          <w:b/>
          <w:bCs/>
          <w:color w:val="0000FF"/>
          <w:sz w:val="24"/>
          <w:szCs w:val="24"/>
          <w:lang w:eastAsia="sk-SK"/>
        </w:rPr>
        <w:t xml:space="preserve"> 20, BA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6"/>
        <w:gridCol w:w="2116"/>
        <w:gridCol w:w="1466"/>
        <w:gridCol w:w="1466"/>
        <w:gridCol w:w="649"/>
        <w:gridCol w:w="1467"/>
        <w:gridCol w:w="649"/>
        <w:gridCol w:w="1467"/>
        <w:gridCol w:w="664"/>
      </w:tblGrid>
      <w:tr w:rsidR="00A1066F" w:rsidRPr="00A1066F" w14:paraId="51B25CFC"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C29266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4DA9B24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A6123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8161D6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371D1B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086BA8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BAEF2F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AA9A8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F6455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CF0BD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0562B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780853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28D11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EA38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95855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1 861 075,00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29CE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2 997 385,00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E980F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161,06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0427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2 997 385,00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67131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F555B2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2 997 385,00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97180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A80737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84CC8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A64C3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C62A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1 861 075,00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585E0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2 997 385,00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1B952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161,06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368B0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2 997 385,00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8087C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E596E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2 997 385,00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DB5CB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66BF0A9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DA11F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F00EF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7BED1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1 137 330,00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430B2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1 568 323,00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80EDC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137,90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D25BA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1 568 323,00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5B72B1E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20B0E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1 568 323,00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333080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376103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05228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09BA2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375DB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331 405,00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12C60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563 812,00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30444C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170,13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48953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563 812,00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69031E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D707C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563 812,00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6851C16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7F36BD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581E5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90B0B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D856C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392 340,00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85617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865 250,00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4F8D7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220,54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980030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865 250,00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2EFFEC6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1DA16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865 250,00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2AC5F92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207CCC75"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46"/>
        <w:gridCol w:w="2022"/>
        <w:gridCol w:w="1805"/>
        <w:gridCol w:w="1831"/>
        <w:gridCol w:w="1846"/>
      </w:tblGrid>
      <w:tr w:rsidR="00A1066F" w:rsidRPr="00A1066F" w14:paraId="3E246DBB"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BC649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6AF42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43A44510"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926D5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Cieľ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78496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6B1D2F9F"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FA587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1FDAE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5750C06D"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B8DBF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6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DAD66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6071E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FDA8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3A941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8D2EB52"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F2EFB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6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E3ECD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670</w:t>
            </w:r>
          </w:p>
        </w:tc>
        <w:tc>
          <w:tcPr>
            <w:tcW w:w="8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01E36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747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7CA99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747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83369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747</w:t>
            </w:r>
          </w:p>
        </w:tc>
      </w:tr>
      <w:tr w:rsidR="00A1066F" w:rsidRPr="00A1066F" w14:paraId="5F3D710D"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9A6AC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5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00154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01052FD8"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26F04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6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DC33C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BC03C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EAE8D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F3C62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D7C160E" w14:textId="77777777" w:rsidTr="007468A0">
        <w:trPr>
          <w:tblCellSpacing w:w="15" w:type="dxa"/>
        </w:trPr>
        <w:tc>
          <w:tcPr>
            <w:tcW w:w="14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09202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6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2331D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492</w:t>
            </w:r>
          </w:p>
        </w:tc>
        <w:tc>
          <w:tcPr>
            <w:tcW w:w="85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3CCB5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581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51C39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581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C847E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581</w:t>
            </w:r>
          </w:p>
        </w:tc>
      </w:tr>
    </w:tbl>
    <w:p w14:paraId="7C66F172"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zdravotnícke odbory vzdelávania v dennej forme štúdia, vo vyššom pomaturitnom kvalifikačnom štúdiu a v externom nadstavbovom štúdiu. </w:t>
      </w:r>
    </w:p>
    <w:p w14:paraId="1449A4DE"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8.3.36: SOŠ vinársko-ovocinárska, Kostolná 3, Modra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2"/>
        <w:gridCol w:w="2215"/>
        <w:gridCol w:w="1295"/>
        <w:gridCol w:w="1492"/>
        <w:gridCol w:w="649"/>
        <w:gridCol w:w="1492"/>
        <w:gridCol w:w="649"/>
        <w:gridCol w:w="1492"/>
        <w:gridCol w:w="664"/>
      </w:tblGrid>
      <w:tr w:rsidR="00A1066F" w:rsidRPr="00A1066F" w14:paraId="76D92984"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846954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6209C8B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41AA8A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DC5310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F717B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2557B1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4609A6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910CC0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46FC1C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E6A6AC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38E381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AA6A7A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667EA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14D86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BDDEA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934 140,00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1459C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1 001 694,00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C60E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107,23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1BAD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1 001 694,00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E3401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1F3FB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1 001 694,00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DC75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4DB0F1B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7AEA8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8517C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EF52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934 140,00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35B9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1 001 694,00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19652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107,23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94B196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1 001 694,00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199A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506D2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1 001 694,00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79B21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8429EE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36EF7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8CD81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4983A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452 500,00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4C6D1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504 995,00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E01F9D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111,60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DBDD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504 995,00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9BF951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C7FD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504 995,00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44C90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48C3C21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D5E37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855D2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54394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168 003,00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25250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193 449,00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30AD3D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115,15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6DA5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193 449,00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6718F3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8FE1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193 449,00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3C9335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07D42F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FA91C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B73E7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E3ED1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313 637,00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0A617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299 955,00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B4B011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95,64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75421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299 955,00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87566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F805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299 955,00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7F5EC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F6092B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tcPr>
          <w:p w14:paraId="307F8867"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640</w:t>
            </w:r>
          </w:p>
        </w:tc>
        <w:tc>
          <w:tcPr>
            <w:tcW w:w="0" w:type="auto"/>
            <w:tcBorders>
              <w:top w:val="outset" w:sz="6" w:space="0" w:color="000000"/>
              <w:left w:val="outset" w:sz="6" w:space="0" w:color="000000"/>
              <w:bottom w:val="outset" w:sz="6" w:space="0" w:color="000000"/>
              <w:right w:val="outset" w:sz="6" w:space="0" w:color="000000"/>
            </w:tcBorders>
            <w:vAlign w:val="center"/>
          </w:tcPr>
          <w:p w14:paraId="27A09C81" w14:textId="77777777" w:rsidR="00A1066F" w:rsidRPr="00A1066F" w:rsidRDefault="00A1066F" w:rsidP="00A1066F">
            <w:pPr>
              <w:spacing w:after="0" w:line="240" w:lineRule="auto"/>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Bežné transfery</w:t>
            </w:r>
          </w:p>
        </w:tc>
        <w:tc>
          <w:tcPr>
            <w:tcW w:w="0" w:type="auto"/>
            <w:tcBorders>
              <w:top w:val="outset" w:sz="6" w:space="0" w:color="000000"/>
              <w:left w:val="outset" w:sz="6" w:space="0" w:color="000000"/>
              <w:bottom w:val="outset" w:sz="6" w:space="0" w:color="000000"/>
              <w:right w:val="outset" w:sz="6" w:space="0" w:color="000000"/>
            </w:tcBorders>
            <w:noWrap/>
            <w:vAlign w:val="center"/>
          </w:tcPr>
          <w:p w14:paraId="57A0C678"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tcPr>
          <w:p w14:paraId="4DEADFFB"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3 295,00</w:t>
            </w: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469F79B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tcPr>
          <w:p w14:paraId="6F0D8A5E"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3 295,00</w:t>
            </w: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7582220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100,00</w:t>
            </w:r>
          </w:p>
        </w:tc>
        <w:tc>
          <w:tcPr>
            <w:tcW w:w="0" w:type="auto"/>
            <w:tcBorders>
              <w:top w:val="outset" w:sz="6" w:space="0" w:color="000000"/>
              <w:left w:val="outset" w:sz="6" w:space="0" w:color="000000"/>
              <w:bottom w:val="outset" w:sz="6" w:space="0" w:color="000000"/>
              <w:right w:val="outset" w:sz="6" w:space="0" w:color="000000"/>
            </w:tcBorders>
            <w:noWrap/>
            <w:vAlign w:val="center"/>
          </w:tcPr>
          <w:p w14:paraId="1C600CFC"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3 295,00</w:t>
            </w:r>
          </w:p>
        </w:tc>
        <w:tc>
          <w:tcPr>
            <w:tcW w:w="250" w:type="pct"/>
            <w:tcBorders>
              <w:top w:val="outset" w:sz="6" w:space="0" w:color="000000"/>
              <w:left w:val="outset" w:sz="6" w:space="0" w:color="000000"/>
              <w:bottom w:val="outset" w:sz="6" w:space="0" w:color="000000"/>
              <w:right w:val="outset" w:sz="6" w:space="0" w:color="000000"/>
            </w:tcBorders>
            <w:noWrap/>
            <w:vAlign w:val="center"/>
          </w:tcPr>
          <w:p w14:paraId="2BDEDA1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100,00</w:t>
            </w:r>
          </w:p>
        </w:tc>
      </w:tr>
    </w:tbl>
    <w:p w14:paraId="56E88C4E"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967"/>
        <w:gridCol w:w="1838"/>
        <w:gridCol w:w="1772"/>
        <w:gridCol w:w="1787"/>
      </w:tblGrid>
      <w:tr w:rsidR="00A1066F" w:rsidRPr="00A1066F" w14:paraId="273E4AC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5B7DC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F5154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106CEC32"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C7125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17D5A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2AAFC10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AE034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C138E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73D30422"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8D8A6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036F3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CEEDC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8569E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3C7EA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E617CF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52932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E3E9F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136</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93049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141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24F19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141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54558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141</w:t>
            </w:r>
          </w:p>
        </w:tc>
      </w:tr>
      <w:tr w:rsidR="00A1066F" w:rsidRPr="00A1066F" w14:paraId="6C53F1B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03418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F4D9C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5E97FE2D"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6E24A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80BC4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C511F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4F26E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93E3D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B98E9D2"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FEED1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9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DAAF5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136</w:t>
            </w:r>
          </w:p>
        </w:tc>
        <w:tc>
          <w:tcPr>
            <w:tcW w:w="87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86C0C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141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9F6AE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141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D46E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141</w:t>
            </w:r>
          </w:p>
        </w:tc>
      </w:tr>
    </w:tbl>
    <w:p w14:paraId="644F19AB"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vinárstvo a ovocinárstvo - podnikanie vo vinohradníctve a ovocinárstve, agroturistika a </w:t>
      </w:r>
      <w:proofErr w:type="spellStart"/>
      <w:r w:rsidRPr="00A1066F">
        <w:rPr>
          <w:rFonts w:ascii="Calibri" w:eastAsia="Times New Roman" w:hAnsi="Calibri" w:cs="Calibri"/>
          <w:sz w:val="24"/>
          <w:szCs w:val="24"/>
          <w:lang w:eastAsia="sk-SK"/>
        </w:rPr>
        <w:t>someliérstvo</w:t>
      </w:r>
      <w:proofErr w:type="spellEnd"/>
      <w:r w:rsidRPr="00A1066F">
        <w:rPr>
          <w:rFonts w:ascii="Calibri" w:eastAsia="Times New Roman" w:hAnsi="Calibri" w:cs="Calibri"/>
          <w:sz w:val="24"/>
          <w:szCs w:val="24"/>
          <w:lang w:eastAsia="sk-SK"/>
        </w:rPr>
        <w:t xml:space="preserve"> a prevádzka v dennej forme štúdia. SOŠ vinársko-ovocinárska je špecifická škola s celoslovenskou pôsobnosťou. </w:t>
      </w:r>
    </w:p>
    <w:p w14:paraId="4998A30A"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8.3.37: Škola umeleckého priemyslu, Sklenárova 7, BA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296944B9"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FB3A2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1B9B563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67E2CD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18A564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31D6B9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AB457F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39E903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50F7BE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E1112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FAD55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4D6B2E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22DCAFB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482CB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E8380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BB472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2 292 423,00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A67E3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2 579 226,00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45AB6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CE301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2 837 148,00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17C4B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E34D1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3 120 863,00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1161A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110,00</w:t>
            </w:r>
            <w:r w:rsidRPr="00A1066F">
              <w:rPr>
                <w:rFonts w:ascii="Calibri" w:eastAsia="Times New Roman" w:hAnsi="Calibri" w:cs="Calibri"/>
                <w:sz w:val="24"/>
                <w:szCs w:val="24"/>
                <w:lang w:eastAsia="sk-SK"/>
              </w:rPr>
              <w:t xml:space="preserve"> </w:t>
            </w:r>
          </w:p>
        </w:tc>
      </w:tr>
      <w:tr w:rsidR="00A1066F" w:rsidRPr="00A1066F" w14:paraId="4C711E2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4CF99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0FB2A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449AB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2 292 423,00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F10CB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2 579 226,00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82A4D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F9F7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2 837 148,00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90940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8C52B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3 120 863,00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4F40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110,00</w:t>
            </w:r>
            <w:r w:rsidRPr="00A1066F">
              <w:rPr>
                <w:rFonts w:ascii="Calibri" w:eastAsia="Times New Roman" w:hAnsi="Calibri" w:cs="Calibri"/>
                <w:sz w:val="24"/>
                <w:szCs w:val="24"/>
                <w:lang w:eastAsia="sk-SK"/>
              </w:rPr>
              <w:t xml:space="preserve"> </w:t>
            </w:r>
          </w:p>
        </w:tc>
      </w:tr>
      <w:tr w:rsidR="00A1066F" w:rsidRPr="00A1066F" w14:paraId="369FEBF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9E172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EA34D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CF9EC8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2 292 423,00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F2E6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2 579 226,00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39033A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112,51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1A9FC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2 837 148,00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E7076C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896FD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3 120 863,00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29419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r>
    </w:tbl>
    <w:p w14:paraId="302B873F"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6D4C4FC1"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F037A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94E61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210FFC97"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9C96E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56C6A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ŠUP</w:t>
            </w:r>
          </w:p>
        </w:tc>
      </w:tr>
      <w:tr w:rsidR="00A1066F" w:rsidRPr="00A1066F" w14:paraId="0E4C80D8"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59F35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DA0DB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55F7D56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F798D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AF36B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D1DBD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EAF7F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38393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2DCFA8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C3F71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EAF92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418</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66530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398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8BC39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398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DAD9A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398</w:t>
            </w:r>
          </w:p>
        </w:tc>
      </w:tr>
      <w:tr w:rsidR="00A1066F" w:rsidRPr="00A1066F" w14:paraId="11FFC1C3"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8376C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70FF5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7C9633A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B9089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8A7B6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AC879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D9902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7C174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8BFA31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49136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79CF4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345</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128D0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398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B7EC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398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EC568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398</w:t>
            </w:r>
          </w:p>
        </w:tc>
      </w:tr>
    </w:tbl>
    <w:p w14:paraId="1AE0E92D"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študijných odborov je na umenie a umeleckoremeselnú tvorbu, scénické výtvarníctvo. Ide o dennú formu štúdia. Škola je zaradená medzi umeleckými školami. </w:t>
      </w:r>
    </w:p>
    <w:p w14:paraId="415E16D3"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8.3.38: SOŠ </w:t>
      </w:r>
      <w:proofErr w:type="spellStart"/>
      <w:r w:rsidRPr="00A1066F">
        <w:rPr>
          <w:rFonts w:ascii="Calibri" w:eastAsia="Times New Roman" w:hAnsi="Calibri" w:cs="Calibri"/>
          <w:b/>
          <w:bCs/>
          <w:color w:val="0000FF"/>
          <w:sz w:val="24"/>
          <w:szCs w:val="24"/>
          <w:lang w:eastAsia="sk-SK"/>
        </w:rPr>
        <w:t>beauty</w:t>
      </w:r>
      <w:proofErr w:type="spellEnd"/>
      <w:r w:rsidRPr="00A1066F">
        <w:rPr>
          <w:rFonts w:ascii="Calibri" w:eastAsia="Times New Roman" w:hAnsi="Calibri" w:cs="Calibri"/>
          <w:b/>
          <w:bCs/>
          <w:color w:val="0000FF"/>
          <w:sz w:val="24"/>
          <w:szCs w:val="24"/>
          <w:lang w:eastAsia="sk-SK"/>
        </w:rPr>
        <w:t xml:space="preserve"> služieb, Račianska 105, BA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45FB3F8B"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9E6E5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093051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2C185B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533D5F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0A40A5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2DB2D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43329B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9D4271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AEDD0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57B76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0246DB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47804D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38036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E64B8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ED134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1 131 600,00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084C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1 484 146,00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6AB01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131,15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F194E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1 484 146,00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FE95CC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98D41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1 484 146,00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0D97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70EA1C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5ECC3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CDAD4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7D5F5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1 131 600,00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BEC78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1 484 146,00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F9276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131,15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68D4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1 484 146,00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A4CDC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76722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1 484 146,00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052FF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CE22A1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6110D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D078E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BBEE2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1 131 600,00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ABD7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1 484 146,00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C6FD1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131,15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CBF4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1 484 146,00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364294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8FB5E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1 484 146,00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842FC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5B759563"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86"/>
        <w:gridCol w:w="1830"/>
        <w:gridCol w:w="1975"/>
        <w:gridCol w:w="1772"/>
        <w:gridCol w:w="1787"/>
      </w:tblGrid>
      <w:tr w:rsidR="00A1066F" w:rsidRPr="00A1066F" w14:paraId="3E64260B"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F0D96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D1D1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7D9899F4"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1446F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F2685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790520BA"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571E2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2B8E7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58203376"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C573E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FD751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8292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3A545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C1AD4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45E81FF"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630D1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F9C8F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281</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9F08D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21FB0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A88E0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307</w:t>
            </w:r>
          </w:p>
        </w:tc>
      </w:tr>
      <w:tr w:rsidR="00A1066F" w:rsidRPr="00A1066F" w14:paraId="12ACB450"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ADD9D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90"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8B14E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5A25BEFD"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8E19D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82DAA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09ED7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E7B0B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7254A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AFECDC9" w14:textId="77777777" w:rsidTr="007468A0">
        <w:trPr>
          <w:tblCellSpacing w:w="15" w:type="dxa"/>
        </w:trPr>
        <w:tc>
          <w:tcPr>
            <w:tcW w:w="146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1CDE9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93B87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237</w:t>
            </w:r>
          </w:p>
        </w:tc>
        <w:tc>
          <w:tcPr>
            <w:tcW w:w="93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18B23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7A44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AE04E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307</w:t>
            </w:r>
          </w:p>
        </w:tc>
      </w:tr>
    </w:tbl>
    <w:p w14:paraId="7C2976E0"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Zameranie učebných a študijných odborov je na podnikanie v remeslách a službách (kozmetička, kaderníčka, vizážistka, fotograf...) v dennej, nadstavbovej a externej forme štúdia. Od 1. 3. 2016 škola pôsobí ako Centrum odborného vzdelávania a prípravy pre oblasť osobných služieb.</w:t>
      </w:r>
    </w:p>
    <w:p w14:paraId="0700155D"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8.3.40: SOŠ kaderníctva a </w:t>
      </w:r>
      <w:proofErr w:type="spellStart"/>
      <w:r w:rsidRPr="00A1066F">
        <w:rPr>
          <w:rFonts w:ascii="Calibri" w:eastAsia="Times New Roman" w:hAnsi="Calibri" w:cs="Calibri"/>
          <w:b/>
          <w:bCs/>
          <w:color w:val="0000FF"/>
          <w:sz w:val="24"/>
          <w:szCs w:val="24"/>
          <w:lang w:eastAsia="sk-SK"/>
        </w:rPr>
        <w:t>vizážistiky</w:t>
      </w:r>
      <w:proofErr w:type="spellEnd"/>
      <w:r w:rsidRPr="00A1066F">
        <w:rPr>
          <w:rFonts w:ascii="Calibri" w:eastAsia="Times New Roman" w:hAnsi="Calibri" w:cs="Calibri"/>
          <w:b/>
          <w:bCs/>
          <w:color w:val="0000FF"/>
          <w:sz w:val="24"/>
          <w:szCs w:val="24"/>
          <w:lang w:eastAsia="sk-SK"/>
        </w:rPr>
        <w:t>, Svätoplukova 2, BA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1ED88EEC"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940325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775C7C2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4EFC09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CBD087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AF9ED4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110C44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4627C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D7053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93F884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5ACEA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B78B0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225577B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12E4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E2DB4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025F2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1 861 905,00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09FF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1 944 500,00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AB812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104,44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87C55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1 944 500,00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AB39B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D2969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1 944 500,00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E73E7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DEC41A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DE585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EF9F3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BB5E1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1 861 905,00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1473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1 944 500,00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97B1C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104,44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8CF01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1 944 500,00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E3B4C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9A9A3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1 944 500,00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1A459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79E4A4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9FFD1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BDF9A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1F7DB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1 861 905,00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27C87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1 944 500,00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241C9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104,44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D493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1 944 500,00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63A9AD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5456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1 944 500,00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B8064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2E93F2C3"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59"/>
        <w:gridCol w:w="1816"/>
        <w:gridCol w:w="1958"/>
        <w:gridCol w:w="1801"/>
        <w:gridCol w:w="1816"/>
      </w:tblGrid>
      <w:tr w:rsidR="00A1066F" w:rsidRPr="00A1066F" w14:paraId="5C2C7325"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D4F76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0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2539F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78675EA3"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4A2CC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0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A5B6E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664A87E0"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A68A6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0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19512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4C863EF3"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4B864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6A1F9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4BA62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30D63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97E0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519351C"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29C5D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Plánovaná hodnota</w:t>
            </w:r>
          </w:p>
        </w:tc>
        <w:tc>
          <w:tcPr>
            <w:tcW w:w="86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97D9F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476</w:t>
            </w:r>
          </w:p>
        </w:tc>
        <w:tc>
          <w:tcPr>
            <w:tcW w:w="93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90D0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478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A1C2A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478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B46F2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478</w:t>
            </w:r>
          </w:p>
        </w:tc>
      </w:tr>
      <w:tr w:rsidR="00A1066F" w:rsidRPr="00A1066F" w14:paraId="399B06E4"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175C5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02"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3F834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19308006"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642E1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6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4943A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3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B658C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79B49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1127C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0F4D6FE"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AC218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6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8EE62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448</w:t>
            </w:r>
          </w:p>
        </w:tc>
        <w:tc>
          <w:tcPr>
            <w:tcW w:w="93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1F28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5CC10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476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66987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476</w:t>
            </w:r>
          </w:p>
        </w:tc>
      </w:tr>
    </w:tbl>
    <w:p w14:paraId="1BE8911D"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učebných a študijných odborov je na podnikanie v remeslách a službách (kozmetička, kaderníčka, vizážistka, ...) v dennej a externej forme štúdia a v pomaturitnom kvalifikačnom štúdiu. </w:t>
      </w:r>
    </w:p>
    <w:p w14:paraId="4413B9E9"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8.3.41: SOŠ obchodu a služieb S. Jurkoviča, Sklenárova 1, BA - príspevková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1C71FDEB"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3CFF83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71F7AFE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C26F31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D48A79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5193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F9A8B6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6E262B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5F26CE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04808D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688322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F8699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B86A5C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23256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5EB22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E5D59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1 124 514,00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40D88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1 851 231,00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BE98F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164,62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0010B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1 948 702,00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8EA23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105,27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F1C80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2 045 889,00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92DF1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104,99</w:t>
            </w:r>
            <w:r w:rsidRPr="00A1066F">
              <w:rPr>
                <w:rFonts w:ascii="Calibri" w:eastAsia="Times New Roman" w:hAnsi="Calibri" w:cs="Calibri"/>
                <w:sz w:val="24"/>
                <w:szCs w:val="24"/>
                <w:lang w:eastAsia="sk-SK"/>
              </w:rPr>
              <w:t xml:space="preserve"> </w:t>
            </w:r>
          </w:p>
        </w:tc>
      </w:tr>
      <w:tr w:rsidR="00A1066F" w:rsidRPr="00A1066F" w14:paraId="77F1ABE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9233A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D3A93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0E80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1 124 514,00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6309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1 851 231,00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71780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164,62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1590C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1 948 702,00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6041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105,27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7B87E8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2 045 889,00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DAE78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104,99</w:t>
            </w:r>
            <w:r w:rsidRPr="00A1066F">
              <w:rPr>
                <w:rFonts w:ascii="Calibri" w:eastAsia="Times New Roman" w:hAnsi="Calibri" w:cs="Calibri"/>
                <w:sz w:val="24"/>
                <w:szCs w:val="24"/>
                <w:lang w:eastAsia="sk-SK"/>
              </w:rPr>
              <w:t xml:space="preserve"> </w:t>
            </w:r>
          </w:p>
        </w:tc>
      </w:tr>
      <w:tr w:rsidR="00A1066F" w:rsidRPr="00A1066F" w14:paraId="12D2B62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5D29D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1B046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85DC5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1 124 514,00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F618F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1 851 231,00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CBF82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164,62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0AB6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1 948 702,00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80F56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105,27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6AE1A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2 045 889,00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260B37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104,99</w:t>
            </w:r>
            <w:r w:rsidRPr="00A1066F">
              <w:rPr>
                <w:rFonts w:ascii="Calibri" w:eastAsia="Times New Roman" w:hAnsi="Calibri" w:cs="Calibri"/>
                <w:sz w:val="24"/>
                <w:szCs w:val="24"/>
                <w:lang w:eastAsia="sk-SK"/>
              </w:rPr>
              <w:t xml:space="preserve"> </w:t>
            </w:r>
          </w:p>
        </w:tc>
      </w:tr>
    </w:tbl>
    <w:p w14:paraId="38A3A82D"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59"/>
        <w:gridCol w:w="1856"/>
        <w:gridCol w:w="1914"/>
        <w:gridCol w:w="1803"/>
        <w:gridCol w:w="1818"/>
      </w:tblGrid>
      <w:tr w:rsidR="00A1066F" w:rsidRPr="00A1066F" w14:paraId="5886B4C5"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77994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0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40AF0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2B7D8059"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D1C9B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0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33B39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3F4C306D"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B19DA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0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FA599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41FB7C6"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EAAA6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970A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0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79CFD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27966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C15D2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19E68B4"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DA048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EC10C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298</w:t>
            </w:r>
          </w:p>
        </w:tc>
        <w:tc>
          <w:tcPr>
            <w:tcW w:w="90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4C471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497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4FD19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497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2842F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497</w:t>
            </w:r>
          </w:p>
        </w:tc>
      </w:tr>
      <w:tr w:rsidR="00A1066F" w:rsidRPr="00A1066F" w14:paraId="58703A14"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23B33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0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9ECEC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701B18C1"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71068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144D2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0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E0780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6A95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F005C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8FC27A8" w14:textId="77777777" w:rsidTr="007468A0">
        <w:trPr>
          <w:tblCellSpacing w:w="15" w:type="dxa"/>
        </w:trPr>
        <w:tc>
          <w:tcPr>
            <w:tcW w:w="145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91A66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AA1C7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281</w:t>
            </w:r>
          </w:p>
        </w:tc>
        <w:tc>
          <w:tcPr>
            <w:tcW w:w="90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136AB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486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F17B4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13C86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486</w:t>
            </w:r>
          </w:p>
        </w:tc>
      </w:tr>
    </w:tbl>
    <w:p w14:paraId="0C8A24C3"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Zameranie učebných a študijných odborov je na podnikanie a prevádzku v obchode a službách v dennej a externej forme štúdia. Od 1. 9. 2016 škola pôsobí ako Centrum odborného vzdelávania a prípravy pre oblasť obchodu a služieb s ním spojených.</w:t>
      </w:r>
    </w:p>
    <w:p w14:paraId="02A48530"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 xml:space="preserve">Prvok 8.3.42: SOŠ podnikania a služieb, </w:t>
      </w:r>
      <w:proofErr w:type="spellStart"/>
      <w:r w:rsidRPr="00A1066F">
        <w:rPr>
          <w:rFonts w:ascii="Calibri" w:eastAsia="Times New Roman" w:hAnsi="Calibri" w:cs="Calibri"/>
          <w:b/>
          <w:bCs/>
          <w:color w:val="0000FF"/>
          <w:sz w:val="24"/>
          <w:szCs w:val="24"/>
          <w:lang w:eastAsia="sk-SK"/>
        </w:rPr>
        <w:t>Myslenická</w:t>
      </w:r>
      <w:proofErr w:type="spellEnd"/>
      <w:r w:rsidRPr="00A1066F">
        <w:rPr>
          <w:rFonts w:ascii="Calibri" w:eastAsia="Times New Roman" w:hAnsi="Calibri" w:cs="Calibri"/>
          <w:b/>
          <w:bCs/>
          <w:color w:val="0000FF"/>
          <w:sz w:val="24"/>
          <w:szCs w:val="24"/>
          <w:lang w:eastAsia="sk-SK"/>
        </w:rPr>
        <w:t xml:space="preserve"> 1, Pezinok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2379"/>
        <w:gridCol w:w="1678"/>
        <w:gridCol w:w="1260"/>
        <w:gridCol w:w="700"/>
        <w:gridCol w:w="1260"/>
        <w:gridCol w:w="698"/>
        <w:gridCol w:w="1319"/>
        <w:gridCol w:w="676"/>
      </w:tblGrid>
      <w:tr w:rsidR="00A1066F" w:rsidRPr="00A1066F" w14:paraId="2782BBFF"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C9627D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6E41A6F3"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D72F73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12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E838B3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78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780B5B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58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FC712A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32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3246CB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58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6B513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32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188A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617"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7797AE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30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A6BA26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80D99CA"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AEA33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112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B7BD2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78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E09B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776 900,00</w:t>
            </w:r>
            <w:r w:rsidRPr="00A1066F">
              <w:rPr>
                <w:rFonts w:ascii="Calibri" w:eastAsia="Times New Roman" w:hAnsi="Calibri" w:cs="Calibri"/>
                <w:sz w:val="24"/>
                <w:szCs w:val="24"/>
                <w:lang w:eastAsia="sk-SK"/>
              </w:rPr>
              <w:t xml:space="preserve"> </w:t>
            </w:r>
          </w:p>
        </w:tc>
        <w:tc>
          <w:tcPr>
            <w:tcW w:w="58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B55E4E"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2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EFCB9A"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58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6290C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2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585D0F"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1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DF6E89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0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4577B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5D6786AA"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D1C81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112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F57E1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78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F3BFA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776 900,00</w:t>
            </w:r>
            <w:r w:rsidRPr="00A1066F">
              <w:rPr>
                <w:rFonts w:ascii="Calibri" w:eastAsia="Times New Roman" w:hAnsi="Calibri" w:cs="Calibri"/>
                <w:sz w:val="24"/>
                <w:szCs w:val="24"/>
                <w:lang w:eastAsia="sk-SK"/>
              </w:rPr>
              <w:t xml:space="preserve"> </w:t>
            </w:r>
          </w:p>
        </w:tc>
        <w:tc>
          <w:tcPr>
            <w:tcW w:w="58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C0C4E7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32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2A510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589"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7302FB"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2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46530A"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1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EC8A37"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0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7F22D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5226B081"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noWrap/>
            <w:vAlign w:val="center"/>
            <w:hideMark/>
          </w:tcPr>
          <w:p w14:paraId="67A6005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1124" w:type="pct"/>
            <w:tcBorders>
              <w:top w:val="outset" w:sz="6" w:space="0" w:color="000000"/>
              <w:left w:val="outset" w:sz="6" w:space="0" w:color="000000"/>
              <w:bottom w:val="outset" w:sz="6" w:space="0" w:color="000000"/>
              <w:right w:val="outset" w:sz="6" w:space="0" w:color="000000"/>
            </w:tcBorders>
            <w:vAlign w:val="center"/>
            <w:hideMark/>
          </w:tcPr>
          <w:p w14:paraId="66673E7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789" w:type="pct"/>
            <w:tcBorders>
              <w:top w:val="outset" w:sz="6" w:space="0" w:color="000000"/>
              <w:left w:val="outset" w:sz="6" w:space="0" w:color="000000"/>
              <w:bottom w:val="outset" w:sz="6" w:space="0" w:color="000000"/>
              <w:right w:val="outset" w:sz="6" w:space="0" w:color="000000"/>
            </w:tcBorders>
            <w:noWrap/>
            <w:vAlign w:val="center"/>
            <w:hideMark/>
          </w:tcPr>
          <w:p w14:paraId="21D3BA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331 500,00</w:t>
            </w:r>
            <w:r w:rsidRPr="00A1066F">
              <w:rPr>
                <w:rFonts w:ascii="Calibri" w:eastAsia="Times New Roman" w:hAnsi="Calibri" w:cs="Calibri"/>
                <w:sz w:val="24"/>
                <w:szCs w:val="24"/>
                <w:lang w:eastAsia="sk-SK"/>
              </w:rPr>
              <w:t xml:space="preserve"> </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52B4782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321" w:type="pct"/>
            <w:tcBorders>
              <w:top w:val="outset" w:sz="6" w:space="0" w:color="000000"/>
              <w:left w:val="outset" w:sz="6" w:space="0" w:color="000000"/>
              <w:bottom w:val="outset" w:sz="6" w:space="0" w:color="000000"/>
              <w:right w:val="outset" w:sz="6" w:space="0" w:color="000000"/>
            </w:tcBorders>
            <w:noWrap/>
            <w:vAlign w:val="center"/>
            <w:hideMark/>
          </w:tcPr>
          <w:p w14:paraId="7071DE5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5B6B5A3D"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20" w:type="pct"/>
            <w:tcBorders>
              <w:top w:val="outset" w:sz="6" w:space="0" w:color="000000"/>
              <w:left w:val="outset" w:sz="6" w:space="0" w:color="000000"/>
              <w:bottom w:val="outset" w:sz="6" w:space="0" w:color="000000"/>
              <w:right w:val="outset" w:sz="6" w:space="0" w:color="000000"/>
            </w:tcBorders>
            <w:noWrap/>
            <w:vAlign w:val="center"/>
            <w:hideMark/>
          </w:tcPr>
          <w:p w14:paraId="4071BDA3"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17" w:type="pct"/>
            <w:tcBorders>
              <w:top w:val="outset" w:sz="6" w:space="0" w:color="000000"/>
              <w:left w:val="outset" w:sz="6" w:space="0" w:color="000000"/>
              <w:bottom w:val="outset" w:sz="6" w:space="0" w:color="000000"/>
              <w:right w:val="outset" w:sz="6" w:space="0" w:color="000000"/>
            </w:tcBorders>
            <w:noWrap/>
            <w:vAlign w:val="center"/>
            <w:hideMark/>
          </w:tcPr>
          <w:p w14:paraId="6684EA2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02" w:type="pct"/>
            <w:tcBorders>
              <w:top w:val="outset" w:sz="6" w:space="0" w:color="000000"/>
              <w:left w:val="outset" w:sz="6" w:space="0" w:color="000000"/>
              <w:bottom w:val="outset" w:sz="6" w:space="0" w:color="000000"/>
              <w:right w:val="outset" w:sz="6" w:space="0" w:color="000000"/>
            </w:tcBorders>
            <w:noWrap/>
            <w:vAlign w:val="center"/>
            <w:hideMark/>
          </w:tcPr>
          <w:p w14:paraId="141704FA"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3D99D880"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noWrap/>
            <w:vAlign w:val="center"/>
            <w:hideMark/>
          </w:tcPr>
          <w:p w14:paraId="314E1BD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1124" w:type="pct"/>
            <w:tcBorders>
              <w:top w:val="outset" w:sz="6" w:space="0" w:color="000000"/>
              <w:left w:val="outset" w:sz="6" w:space="0" w:color="000000"/>
              <w:bottom w:val="outset" w:sz="6" w:space="0" w:color="000000"/>
              <w:right w:val="outset" w:sz="6" w:space="0" w:color="000000"/>
            </w:tcBorders>
            <w:vAlign w:val="center"/>
            <w:hideMark/>
          </w:tcPr>
          <w:p w14:paraId="1C8F75F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789" w:type="pct"/>
            <w:tcBorders>
              <w:top w:val="outset" w:sz="6" w:space="0" w:color="000000"/>
              <w:left w:val="outset" w:sz="6" w:space="0" w:color="000000"/>
              <w:bottom w:val="outset" w:sz="6" w:space="0" w:color="000000"/>
              <w:right w:val="outset" w:sz="6" w:space="0" w:color="000000"/>
            </w:tcBorders>
            <w:noWrap/>
            <w:vAlign w:val="center"/>
            <w:hideMark/>
          </w:tcPr>
          <w:p w14:paraId="46ADD4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117 915,00</w:t>
            </w:r>
            <w:r w:rsidRPr="00A1066F">
              <w:rPr>
                <w:rFonts w:ascii="Calibri" w:eastAsia="Times New Roman" w:hAnsi="Calibri" w:cs="Calibri"/>
                <w:sz w:val="24"/>
                <w:szCs w:val="24"/>
                <w:lang w:eastAsia="sk-SK"/>
              </w:rPr>
              <w:t xml:space="preserve"> </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15B88D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321" w:type="pct"/>
            <w:tcBorders>
              <w:top w:val="outset" w:sz="6" w:space="0" w:color="000000"/>
              <w:left w:val="outset" w:sz="6" w:space="0" w:color="000000"/>
              <w:bottom w:val="outset" w:sz="6" w:space="0" w:color="000000"/>
              <w:right w:val="outset" w:sz="6" w:space="0" w:color="000000"/>
            </w:tcBorders>
            <w:noWrap/>
            <w:vAlign w:val="center"/>
            <w:hideMark/>
          </w:tcPr>
          <w:p w14:paraId="6415D3A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3464A33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20" w:type="pct"/>
            <w:tcBorders>
              <w:top w:val="outset" w:sz="6" w:space="0" w:color="000000"/>
              <w:left w:val="outset" w:sz="6" w:space="0" w:color="000000"/>
              <w:bottom w:val="outset" w:sz="6" w:space="0" w:color="000000"/>
              <w:right w:val="outset" w:sz="6" w:space="0" w:color="000000"/>
            </w:tcBorders>
            <w:noWrap/>
            <w:vAlign w:val="center"/>
            <w:hideMark/>
          </w:tcPr>
          <w:p w14:paraId="13D5C1F5"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17" w:type="pct"/>
            <w:tcBorders>
              <w:top w:val="outset" w:sz="6" w:space="0" w:color="000000"/>
              <w:left w:val="outset" w:sz="6" w:space="0" w:color="000000"/>
              <w:bottom w:val="outset" w:sz="6" w:space="0" w:color="000000"/>
              <w:right w:val="outset" w:sz="6" w:space="0" w:color="000000"/>
            </w:tcBorders>
            <w:noWrap/>
            <w:vAlign w:val="center"/>
            <w:hideMark/>
          </w:tcPr>
          <w:p w14:paraId="0A7E931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02" w:type="pct"/>
            <w:tcBorders>
              <w:top w:val="outset" w:sz="6" w:space="0" w:color="000000"/>
              <w:left w:val="outset" w:sz="6" w:space="0" w:color="000000"/>
              <w:bottom w:val="outset" w:sz="6" w:space="0" w:color="000000"/>
              <w:right w:val="outset" w:sz="6" w:space="0" w:color="000000"/>
            </w:tcBorders>
            <w:noWrap/>
            <w:vAlign w:val="center"/>
            <w:hideMark/>
          </w:tcPr>
          <w:p w14:paraId="34DDD750"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r w:rsidR="00A1066F" w:rsidRPr="00A1066F" w14:paraId="2132A1BE"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noWrap/>
            <w:vAlign w:val="center"/>
            <w:hideMark/>
          </w:tcPr>
          <w:p w14:paraId="5213886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1124" w:type="pct"/>
            <w:tcBorders>
              <w:top w:val="outset" w:sz="6" w:space="0" w:color="000000"/>
              <w:left w:val="outset" w:sz="6" w:space="0" w:color="000000"/>
              <w:bottom w:val="outset" w:sz="6" w:space="0" w:color="000000"/>
              <w:right w:val="outset" w:sz="6" w:space="0" w:color="000000"/>
            </w:tcBorders>
            <w:vAlign w:val="center"/>
            <w:hideMark/>
          </w:tcPr>
          <w:p w14:paraId="5265CD4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789" w:type="pct"/>
            <w:tcBorders>
              <w:top w:val="outset" w:sz="6" w:space="0" w:color="000000"/>
              <w:left w:val="outset" w:sz="6" w:space="0" w:color="000000"/>
              <w:bottom w:val="outset" w:sz="6" w:space="0" w:color="000000"/>
              <w:right w:val="outset" w:sz="6" w:space="0" w:color="000000"/>
            </w:tcBorders>
            <w:noWrap/>
            <w:vAlign w:val="center"/>
            <w:hideMark/>
          </w:tcPr>
          <w:p w14:paraId="2682386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327 485,00</w:t>
            </w:r>
            <w:r w:rsidRPr="00A1066F">
              <w:rPr>
                <w:rFonts w:ascii="Calibri" w:eastAsia="Times New Roman" w:hAnsi="Calibri" w:cs="Calibri"/>
                <w:sz w:val="24"/>
                <w:szCs w:val="24"/>
                <w:lang w:eastAsia="sk-SK"/>
              </w:rPr>
              <w:t xml:space="preserve"> </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6CB98B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321" w:type="pct"/>
            <w:tcBorders>
              <w:top w:val="outset" w:sz="6" w:space="0" w:color="000000"/>
              <w:left w:val="outset" w:sz="6" w:space="0" w:color="000000"/>
              <w:bottom w:val="outset" w:sz="6" w:space="0" w:color="000000"/>
              <w:right w:val="outset" w:sz="6" w:space="0" w:color="000000"/>
            </w:tcBorders>
            <w:noWrap/>
            <w:vAlign w:val="center"/>
            <w:hideMark/>
          </w:tcPr>
          <w:p w14:paraId="251DF29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589" w:type="pct"/>
            <w:tcBorders>
              <w:top w:val="outset" w:sz="6" w:space="0" w:color="000000"/>
              <w:left w:val="outset" w:sz="6" w:space="0" w:color="000000"/>
              <w:bottom w:val="outset" w:sz="6" w:space="0" w:color="000000"/>
              <w:right w:val="outset" w:sz="6" w:space="0" w:color="000000"/>
            </w:tcBorders>
            <w:noWrap/>
            <w:vAlign w:val="center"/>
            <w:hideMark/>
          </w:tcPr>
          <w:p w14:paraId="08EFE386"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20" w:type="pct"/>
            <w:tcBorders>
              <w:top w:val="outset" w:sz="6" w:space="0" w:color="000000"/>
              <w:left w:val="outset" w:sz="6" w:space="0" w:color="000000"/>
              <w:bottom w:val="outset" w:sz="6" w:space="0" w:color="000000"/>
              <w:right w:val="outset" w:sz="6" w:space="0" w:color="000000"/>
            </w:tcBorders>
            <w:noWrap/>
            <w:vAlign w:val="center"/>
            <w:hideMark/>
          </w:tcPr>
          <w:p w14:paraId="75F8314A"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17" w:type="pct"/>
            <w:tcBorders>
              <w:top w:val="outset" w:sz="6" w:space="0" w:color="000000"/>
              <w:left w:val="outset" w:sz="6" w:space="0" w:color="000000"/>
              <w:bottom w:val="outset" w:sz="6" w:space="0" w:color="000000"/>
              <w:right w:val="outset" w:sz="6" w:space="0" w:color="000000"/>
            </w:tcBorders>
            <w:noWrap/>
            <w:vAlign w:val="center"/>
            <w:hideMark/>
          </w:tcPr>
          <w:p w14:paraId="4D87EB2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302" w:type="pct"/>
            <w:tcBorders>
              <w:top w:val="outset" w:sz="6" w:space="0" w:color="000000"/>
              <w:left w:val="outset" w:sz="6" w:space="0" w:color="000000"/>
              <w:bottom w:val="outset" w:sz="6" w:space="0" w:color="000000"/>
              <w:right w:val="outset" w:sz="6" w:space="0" w:color="000000"/>
            </w:tcBorders>
            <w:noWrap/>
            <w:vAlign w:val="center"/>
            <w:hideMark/>
          </w:tcPr>
          <w:p w14:paraId="72542594"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bl>
    <w:p w14:paraId="2E73BCFB"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16"/>
        <w:gridCol w:w="1663"/>
        <w:gridCol w:w="1747"/>
        <w:gridCol w:w="1854"/>
        <w:gridCol w:w="2070"/>
      </w:tblGrid>
      <w:tr w:rsidR="00A1066F" w:rsidRPr="00A1066F" w14:paraId="28DCFFD2" w14:textId="77777777" w:rsidTr="007468A0">
        <w:trPr>
          <w:tblCellSpacing w:w="15" w:type="dxa"/>
        </w:trPr>
        <w:tc>
          <w:tcPr>
            <w:tcW w:w="14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25C38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47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CBADF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3F69BDE8" w14:textId="77777777" w:rsidTr="007468A0">
        <w:trPr>
          <w:tblCellSpacing w:w="15" w:type="dxa"/>
        </w:trPr>
        <w:tc>
          <w:tcPr>
            <w:tcW w:w="14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4EEC2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47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C5D42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SOŠ</w:t>
            </w:r>
          </w:p>
        </w:tc>
      </w:tr>
      <w:tr w:rsidR="00A1066F" w:rsidRPr="00A1066F" w14:paraId="5CF7C3C8" w14:textId="77777777" w:rsidTr="007468A0">
        <w:trPr>
          <w:tblCellSpacing w:w="15" w:type="dxa"/>
        </w:trPr>
        <w:tc>
          <w:tcPr>
            <w:tcW w:w="14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A734E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47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A5C15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BDF45C9" w14:textId="77777777" w:rsidTr="007468A0">
        <w:trPr>
          <w:tblCellSpacing w:w="15" w:type="dxa"/>
        </w:trPr>
        <w:tc>
          <w:tcPr>
            <w:tcW w:w="14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1EB5E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78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3669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2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740E7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88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5AC4B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93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3A6FC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3EC8BCA" w14:textId="77777777" w:rsidTr="007468A0">
        <w:trPr>
          <w:tblCellSpacing w:w="15" w:type="dxa"/>
        </w:trPr>
        <w:tc>
          <w:tcPr>
            <w:tcW w:w="14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85331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78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05078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80</w:t>
            </w:r>
          </w:p>
        </w:tc>
        <w:tc>
          <w:tcPr>
            <w:tcW w:w="82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FF166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0</w:t>
            </w:r>
          </w:p>
        </w:tc>
        <w:tc>
          <w:tcPr>
            <w:tcW w:w="88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0BE6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93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8A4E5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r>
      <w:tr w:rsidR="00A1066F" w:rsidRPr="00A1066F" w14:paraId="0040998B" w14:textId="77777777" w:rsidTr="007468A0">
        <w:trPr>
          <w:tblCellSpacing w:w="15" w:type="dxa"/>
        </w:trPr>
        <w:tc>
          <w:tcPr>
            <w:tcW w:w="14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BBADF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Merateľný ukazovateľ</w:t>
            </w:r>
          </w:p>
        </w:tc>
        <w:tc>
          <w:tcPr>
            <w:tcW w:w="3476"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0D674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1D211D90" w14:textId="77777777" w:rsidTr="007468A0">
        <w:trPr>
          <w:tblCellSpacing w:w="15" w:type="dxa"/>
        </w:trPr>
        <w:tc>
          <w:tcPr>
            <w:tcW w:w="14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4F0F2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78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0665E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2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8113E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88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E4966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93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6AA3F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E58BD0A" w14:textId="77777777" w:rsidTr="007468A0">
        <w:trPr>
          <w:tblCellSpacing w:w="15" w:type="dxa"/>
        </w:trPr>
        <w:tc>
          <w:tcPr>
            <w:tcW w:w="1482"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77E73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78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ED206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65</w:t>
            </w:r>
          </w:p>
        </w:tc>
        <w:tc>
          <w:tcPr>
            <w:tcW w:w="82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004AC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0</w:t>
            </w:r>
          </w:p>
        </w:tc>
        <w:tc>
          <w:tcPr>
            <w:tcW w:w="88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41CC2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93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4294F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r>
    </w:tbl>
    <w:p w14:paraId="4D58FA28" w14:textId="77777777" w:rsidR="00A1066F" w:rsidRPr="00A1066F" w:rsidRDefault="00A1066F" w:rsidP="00A1066F">
      <w:pPr>
        <w:spacing w:before="100" w:beforeAutospacing="1" w:after="100" w:afterAutospacing="1"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Od 1. 9. 2024 je SOŠ podnikania a služieb, </w:t>
      </w:r>
      <w:proofErr w:type="spellStart"/>
      <w:r w:rsidRPr="00A1066F">
        <w:rPr>
          <w:rFonts w:ascii="Calibri" w:eastAsia="Times New Roman" w:hAnsi="Calibri" w:cs="Calibri"/>
          <w:sz w:val="24"/>
          <w:szCs w:val="24"/>
          <w:lang w:eastAsia="sk-SK"/>
        </w:rPr>
        <w:t>Myslenická</w:t>
      </w:r>
      <w:proofErr w:type="spellEnd"/>
      <w:r w:rsidRPr="00A1066F">
        <w:rPr>
          <w:rFonts w:ascii="Calibri" w:eastAsia="Times New Roman" w:hAnsi="Calibri" w:cs="Calibri"/>
          <w:sz w:val="24"/>
          <w:szCs w:val="24"/>
          <w:lang w:eastAsia="sk-SK"/>
        </w:rPr>
        <w:t xml:space="preserve"> 1, Pezinok, organizačnou zložkou Spojenej školy, </w:t>
      </w:r>
      <w:proofErr w:type="spellStart"/>
      <w:r w:rsidRPr="00A1066F">
        <w:rPr>
          <w:rFonts w:ascii="Calibri" w:eastAsia="Times New Roman" w:hAnsi="Calibri" w:cs="Calibri"/>
          <w:sz w:val="24"/>
          <w:szCs w:val="24"/>
          <w:lang w:eastAsia="sk-SK"/>
        </w:rPr>
        <w:t>Myslenická</w:t>
      </w:r>
      <w:proofErr w:type="spellEnd"/>
      <w:r w:rsidRPr="00A1066F">
        <w:rPr>
          <w:rFonts w:ascii="Calibri" w:eastAsia="Times New Roman" w:hAnsi="Calibri" w:cs="Calibri"/>
          <w:sz w:val="24"/>
          <w:szCs w:val="24"/>
          <w:lang w:eastAsia="sk-SK"/>
        </w:rPr>
        <w:t xml:space="preserve"> 1, Pezinok.</w:t>
      </w:r>
    </w:p>
    <w:p w14:paraId="69819BFB"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8.3.43: Spojená škola, Ivanka pri Dunaji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9"/>
        <w:gridCol w:w="1448"/>
        <w:gridCol w:w="647"/>
        <w:gridCol w:w="1448"/>
        <w:gridCol w:w="664"/>
      </w:tblGrid>
      <w:tr w:rsidR="00A1066F" w:rsidRPr="00A1066F" w14:paraId="2A7D0975"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C49E90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FD29B6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9E0A08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97B186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6444E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BB4BD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FE4C6F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B1B8F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B1291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6F97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18932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539935D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9FD27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59431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6ED35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4 140 564,00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AEAD9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4 246 800,00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C462C6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102,57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23691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4 206 800,00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83EEE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99,06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871C3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4 206 800,00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726BA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0F839E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B283B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73054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9F39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4 140 564,00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6659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4 246 800,00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8365A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102,57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DE8F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4 206 800,00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54096A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99,06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E047F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4 206 800,00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3539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65BB246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D336F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F0F4A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E690B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2 402 983,00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04ACBD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2 447 981,00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079FD2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101,87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F0733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2 447 981,00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D7FEB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F8CB31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2 447 981,00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3BFF2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655051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70851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AFB9D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798D8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807 783,00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3749C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898 049,00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8158FE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111,17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3DCD5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898 049,00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3FB160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884CB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898 049,00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1F45B0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DC6BD3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B2271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936DD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EA612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912 798,00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9E9D1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884 770,00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AFC64F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96,93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BA8F7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844 770,00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31E3DA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95,48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308B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844 770,00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364D1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EBACF2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57034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26DD6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0925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17 000,00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DEE24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99C6C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94,12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FB641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73C58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19D1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6935F4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5FAAEDE0"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47"/>
        <w:gridCol w:w="1847"/>
        <w:gridCol w:w="1847"/>
        <w:gridCol w:w="1847"/>
        <w:gridCol w:w="1862"/>
      </w:tblGrid>
      <w:tr w:rsidR="00A1066F" w:rsidRPr="00A1066F" w14:paraId="2F62953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74A66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1FC8A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43DBED5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02A52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8600D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Spojenej škole</w:t>
            </w:r>
          </w:p>
        </w:tc>
      </w:tr>
      <w:tr w:rsidR="00A1066F" w:rsidRPr="00A1066F" w14:paraId="2AC4F70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2CC7E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FE6DB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19677D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459BB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72881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DC2D2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BC231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9B8DA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7E12924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805F1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CC524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903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7DBA6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936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659D7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936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56F57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936</w:t>
            </w:r>
          </w:p>
        </w:tc>
      </w:tr>
      <w:tr w:rsidR="00A1066F" w:rsidRPr="00A1066F" w14:paraId="0200D69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83217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A77A0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49B41EB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35A20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96608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0123F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CE3C5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ED752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4F0399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0AA87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ECFB1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866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68E3B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911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F3C45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911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BFD23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911</w:t>
            </w:r>
          </w:p>
        </w:tc>
      </w:tr>
    </w:tbl>
    <w:p w14:paraId="5EDDEC8F"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Zameranie učebných a študijných odborov je na </w:t>
      </w:r>
      <w:proofErr w:type="spellStart"/>
      <w:r w:rsidRPr="00A1066F">
        <w:rPr>
          <w:rFonts w:ascii="Calibri" w:eastAsia="Times New Roman" w:hAnsi="Calibri" w:cs="Calibri"/>
          <w:sz w:val="24"/>
          <w:szCs w:val="24"/>
          <w:lang w:eastAsia="sk-SK"/>
        </w:rPr>
        <w:t>agropodnikanie</w:t>
      </w:r>
      <w:proofErr w:type="spellEnd"/>
      <w:r w:rsidRPr="00A1066F">
        <w:rPr>
          <w:rFonts w:ascii="Calibri" w:eastAsia="Times New Roman" w:hAnsi="Calibri" w:cs="Calibri"/>
          <w:sz w:val="24"/>
          <w:szCs w:val="24"/>
          <w:lang w:eastAsia="sk-SK"/>
        </w:rPr>
        <w:t>, poľnohospodárstvo, lesné hospodárstvo, rozvoj vidieka a služby v cestovnom ruchu, veterinárne zdravotníctvo a hygiena - drobnochov v dennej forme štúdia, nadstavbovom, externom a pomaturitnom štúdiu. Od 1. 9. 2012 škola pôsobí ako Centrum odborného vzdelávania a prípravy pre oblasť poľnohospodárstva a rozvoja vidieka.</w:t>
      </w:r>
    </w:p>
    <w:p w14:paraId="02C90537"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8.3.44 Spojená škola s VJM, Senec - SOŠ ekonomická a pedagogická s VJM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85"/>
        <w:gridCol w:w="2096"/>
        <w:gridCol w:w="1477"/>
        <w:gridCol w:w="1477"/>
        <w:gridCol w:w="548"/>
        <w:gridCol w:w="1477"/>
        <w:gridCol w:w="649"/>
        <w:gridCol w:w="1477"/>
        <w:gridCol w:w="664"/>
      </w:tblGrid>
      <w:tr w:rsidR="00A1066F" w:rsidRPr="00A1066F" w14:paraId="62648466"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4D9CB9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17E4FA4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538297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69C00C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9D72C8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ED5485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4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745C62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AD023C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DFA7AE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4A3E3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440E0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A8CB2E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62977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5A6F8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745A3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614 380,00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9B5CC3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585 878,00</w:t>
            </w:r>
            <w:r w:rsidRPr="00A1066F">
              <w:rPr>
                <w:rFonts w:ascii="Calibri" w:eastAsia="Times New Roman" w:hAnsi="Calibri" w:cs="Calibri"/>
                <w:sz w:val="24"/>
                <w:szCs w:val="24"/>
                <w:lang w:eastAsia="sk-SK"/>
              </w:rPr>
              <w:t xml:space="preserve"> </w:t>
            </w:r>
          </w:p>
        </w:tc>
        <w:tc>
          <w:tcPr>
            <w:tcW w:w="24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684AD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95,36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0B494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631 815,00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06434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107,84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4F5CD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693 602,00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A8CB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109,78</w:t>
            </w:r>
            <w:r w:rsidRPr="00A1066F">
              <w:rPr>
                <w:rFonts w:ascii="Calibri" w:eastAsia="Times New Roman" w:hAnsi="Calibri" w:cs="Calibri"/>
                <w:sz w:val="24"/>
                <w:szCs w:val="24"/>
                <w:lang w:eastAsia="sk-SK"/>
              </w:rPr>
              <w:t xml:space="preserve"> </w:t>
            </w:r>
          </w:p>
        </w:tc>
      </w:tr>
      <w:tr w:rsidR="00A1066F" w:rsidRPr="00A1066F" w14:paraId="3A6A741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B7FE8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ACDE0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CDBF7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614 380,00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36B5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585 878,00</w:t>
            </w:r>
            <w:r w:rsidRPr="00A1066F">
              <w:rPr>
                <w:rFonts w:ascii="Calibri" w:eastAsia="Times New Roman" w:hAnsi="Calibri" w:cs="Calibri"/>
                <w:sz w:val="24"/>
                <w:szCs w:val="24"/>
                <w:lang w:eastAsia="sk-SK"/>
              </w:rPr>
              <w:t xml:space="preserve"> </w:t>
            </w:r>
          </w:p>
        </w:tc>
        <w:tc>
          <w:tcPr>
            <w:tcW w:w="24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F04D4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95,36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D26B2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631 815,00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64708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107,84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3DFD4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693 602,00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2B626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109,78</w:t>
            </w:r>
            <w:r w:rsidRPr="00A1066F">
              <w:rPr>
                <w:rFonts w:ascii="Calibri" w:eastAsia="Times New Roman" w:hAnsi="Calibri" w:cs="Calibri"/>
                <w:sz w:val="24"/>
                <w:szCs w:val="24"/>
                <w:lang w:eastAsia="sk-SK"/>
              </w:rPr>
              <w:t xml:space="preserve"> </w:t>
            </w:r>
          </w:p>
        </w:tc>
      </w:tr>
      <w:tr w:rsidR="00A1066F" w:rsidRPr="00A1066F" w14:paraId="2B0681F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F36C9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98DFF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D44E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386 600,00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E6EDF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365 865,00</w:t>
            </w:r>
            <w:r w:rsidRPr="00A1066F">
              <w:rPr>
                <w:rFonts w:ascii="Calibri" w:eastAsia="Times New Roman" w:hAnsi="Calibri" w:cs="Calibri"/>
                <w:sz w:val="24"/>
                <w:szCs w:val="24"/>
                <w:lang w:eastAsia="sk-SK"/>
              </w:rPr>
              <w:t xml:space="preserve"> </w:t>
            </w:r>
          </w:p>
        </w:tc>
        <w:tc>
          <w:tcPr>
            <w:tcW w:w="245" w:type="pct"/>
            <w:tcBorders>
              <w:top w:val="outset" w:sz="6" w:space="0" w:color="000000"/>
              <w:left w:val="outset" w:sz="6" w:space="0" w:color="000000"/>
              <w:bottom w:val="outset" w:sz="6" w:space="0" w:color="000000"/>
              <w:right w:val="outset" w:sz="6" w:space="0" w:color="000000"/>
            </w:tcBorders>
            <w:noWrap/>
            <w:vAlign w:val="center"/>
            <w:hideMark/>
          </w:tcPr>
          <w:p w14:paraId="7944F7F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94,64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E8F47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402 452,00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34F7C60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7424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442 698,00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22B5944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r>
      <w:tr w:rsidR="00A1066F" w:rsidRPr="00A1066F" w14:paraId="4202646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B5E66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55FF2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2A31F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143 580,00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CABBE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138 842,00</w:t>
            </w:r>
            <w:r w:rsidRPr="00A1066F">
              <w:rPr>
                <w:rFonts w:ascii="Calibri" w:eastAsia="Times New Roman" w:hAnsi="Calibri" w:cs="Calibri"/>
                <w:sz w:val="24"/>
                <w:szCs w:val="24"/>
                <w:lang w:eastAsia="sk-SK"/>
              </w:rPr>
              <w:t xml:space="preserve"> </w:t>
            </w:r>
          </w:p>
        </w:tc>
        <w:tc>
          <w:tcPr>
            <w:tcW w:w="245" w:type="pct"/>
            <w:tcBorders>
              <w:top w:val="outset" w:sz="6" w:space="0" w:color="000000"/>
              <w:left w:val="outset" w:sz="6" w:space="0" w:color="000000"/>
              <w:bottom w:val="outset" w:sz="6" w:space="0" w:color="000000"/>
              <w:right w:val="outset" w:sz="6" w:space="0" w:color="000000"/>
            </w:tcBorders>
            <w:noWrap/>
            <w:vAlign w:val="center"/>
            <w:hideMark/>
          </w:tcPr>
          <w:p w14:paraId="7798309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96,70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8DD5B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152 727,00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04DCAA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63CFA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167 999,00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5721AD4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110,00</w:t>
            </w:r>
            <w:r w:rsidRPr="00A1066F">
              <w:rPr>
                <w:rFonts w:ascii="Calibri" w:eastAsia="Times New Roman" w:hAnsi="Calibri" w:cs="Calibri"/>
                <w:sz w:val="24"/>
                <w:szCs w:val="24"/>
                <w:lang w:eastAsia="sk-SK"/>
              </w:rPr>
              <w:t xml:space="preserve"> </w:t>
            </w:r>
          </w:p>
        </w:tc>
      </w:tr>
      <w:tr w:rsidR="00A1066F" w:rsidRPr="00A1066F" w14:paraId="7FBEEC5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0D184F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E6427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C9056C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84 200,00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5EB73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81 171,00</w:t>
            </w:r>
            <w:r w:rsidRPr="00A1066F">
              <w:rPr>
                <w:rFonts w:ascii="Calibri" w:eastAsia="Times New Roman" w:hAnsi="Calibri" w:cs="Calibri"/>
                <w:sz w:val="24"/>
                <w:szCs w:val="24"/>
                <w:lang w:eastAsia="sk-SK"/>
              </w:rPr>
              <w:t xml:space="preserve"> </w:t>
            </w:r>
          </w:p>
        </w:tc>
        <w:tc>
          <w:tcPr>
            <w:tcW w:w="245" w:type="pct"/>
            <w:tcBorders>
              <w:top w:val="outset" w:sz="6" w:space="0" w:color="000000"/>
              <w:left w:val="outset" w:sz="6" w:space="0" w:color="000000"/>
              <w:bottom w:val="outset" w:sz="6" w:space="0" w:color="000000"/>
              <w:right w:val="outset" w:sz="6" w:space="0" w:color="000000"/>
            </w:tcBorders>
            <w:noWrap/>
            <w:vAlign w:val="center"/>
            <w:hideMark/>
          </w:tcPr>
          <w:p w14:paraId="04A76A1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9C9A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76 636,00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03D8D93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94,41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12BB6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82 905,00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36AC016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108,18</w:t>
            </w:r>
            <w:r w:rsidRPr="00A1066F">
              <w:rPr>
                <w:rFonts w:ascii="Calibri" w:eastAsia="Times New Roman" w:hAnsi="Calibri" w:cs="Calibri"/>
                <w:sz w:val="24"/>
                <w:szCs w:val="24"/>
                <w:lang w:eastAsia="sk-SK"/>
              </w:rPr>
              <w:t xml:space="preserve"> </w:t>
            </w:r>
          </w:p>
        </w:tc>
      </w:tr>
    </w:tbl>
    <w:p w14:paraId="5A7CAABA"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47"/>
        <w:gridCol w:w="1847"/>
        <w:gridCol w:w="1847"/>
        <w:gridCol w:w="1847"/>
        <w:gridCol w:w="1862"/>
      </w:tblGrid>
      <w:tr w:rsidR="00A1066F" w:rsidRPr="00A1066F" w14:paraId="5CD79C7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AE908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EBD85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zariadenia</w:t>
            </w:r>
          </w:p>
        </w:tc>
      </w:tr>
      <w:tr w:rsidR="00A1066F" w:rsidRPr="00A1066F" w14:paraId="39CF6EB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9B05E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3E6C5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Spojenej škole</w:t>
            </w:r>
          </w:p>
        </w:tc>
      </w:tr>
      <w:tr w:rsidR="00A1066F" w:rsidRPr="00A1066F" w14:paraId="2C235F5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D7614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BB07B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66BB2E1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0DED2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504C9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95DDC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6A986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65715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7F877F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E3130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5DA6A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165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CEDD2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159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064F5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159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1ED5A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159</w:t>
            </w:r>
          </w:p>
        </w:tc>
      </w:tr>
      <w:tr w:rsidR="00A1066F" w:rsidRPr="00A1066F" w14:paraId="3F5B0B3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1DF21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DDA6F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0998E30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C9A09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22540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FECA4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A35DB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4FE1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F7D580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4B6F0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EEF1F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98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C5D18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109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03C3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109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60392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109</w:t>
            </w:r>
          </w:p>
        </w:tc>
      </w:tr>
    </w:tbl>
    <w:p w14:paraId="36A6A357"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Spojená škola poskytuje odborné vzdelanie v 4-ročnej forme štúdia v maďarskom vyučovacom jazyku. Organizačná zložka SOŠ ponúka vzdelávanie v odboroch učiteľstvo a vychovávateľstvo v materskej škole a logistika. Existencia školy má svoje opodstatnenie, nakoľko ide o jedinú odbornú školu v regióne, ktorá poskytuje vzdelávanie v jazyku národnostnej menšiny.</w:t>
      </w:r>
    </w:p>
    <w:p w14:paraId="31D50D42"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8.3.45: Spojená škola, Bratislavská 44, Malinovo, SOŠ záhradnícka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3"/>
        <w:gridCol w:w="2213"/>
        <w:gridCol w:w="1431"/>
        <w:gridCol w:w="1431"/>
        <w:gridCol w:w="647"/>
        <w:gridCol w:w="1432"/>
        <w:gridCol w:w="647"/>
        <w:gridCol w:w="1432"/>
        <w:gridCol w:w="664"/>
      </w:tblGrid>
      <w:tr w:rsidR="00A1066F" w:rsidRPr="00A1066F" w14:paraId="6F51AD9F"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6A6FD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E16A80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7EAC2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59EB2D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43F290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15223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3CDA44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32499B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295AA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388288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98713F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6CB265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39DE1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09798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894A0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640 648,00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EAAC2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595 200,00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DBA02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92,91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9AAF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594 500,00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491DE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99,88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0DD67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594 500,00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E8F3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ED0534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8BC9F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D04FF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988FE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640 648,00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D523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595 200,00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CE207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92,91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C14C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594 500,00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A581A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99,88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6B89E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594 500,00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B956F0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437E05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17A37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E5AE9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67CBD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237 252,00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02FF9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265 000,00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B144EE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111,70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24925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265 000,00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71009C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54B54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265 000,00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5BBE4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2053A6C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A5B41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FB557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0B62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109 596,00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D328C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119 900,00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8D145C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109,40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F6E75B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119 900,00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BA72E4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7A6F4C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119 900,00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B08EC0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45E8A75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32F3C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F8D1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95474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292 300,00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DB91F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205 300,00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37B3BD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70,24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9B2BCA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204 600,00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8FB686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99,66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FE1BB5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204 600,00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1DCFD2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4552D1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69B81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C6FB6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A7841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83793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ECE0D6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333,33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E5A4E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1F4F7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B5CD2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28BB2B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52B0A8AC"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47"/>
        <w:gridCol w:w="1847"/>
        <w:gridCol w:w="1847"/>
        <w:gridCol w:w="1847"/>
        <w:gridCol w:w="1862"/>
      </w:tblGrid>
      <w:tr w:rsidR="00A1066F" w:rsidRPr="00A1066F" w14:paraId="4A3173C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43A0F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83967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Spojenej škole</w:t>
            </w:r>
          </w:p>
        </w:tc>
      </w:tr>
      <w:tr w:rsidR="00A1066F" w:rsidRPr="00A1066F" w14:paraId="15E0210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32A95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97AD4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791F7F4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5F593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EE66C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E8B07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C586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CA0B4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7CAF0D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61BFF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0F7C5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83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2111B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97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B218C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97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6CC4E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97</w:t>
            </w:r>
          </w:p>
        </w:tc>
      </w:tr>
      <w:tr w:rsidR="00A1066F" w:rsidRPr="00A1066F" w14:paraId="1D11015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864BE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1B016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forma</w:t>
            </w:r>
          </w:p>
        </w:tc>
      </w:tr>
      <w:tr w:rsidR="00A1066F" w:rsidRPr="00A1066F" w14:paraId="2D50568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6D40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4E271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3E506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9E8DD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B3C9C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24A79D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14F36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C9A4C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C27C1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69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207C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4EEF9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69</w:t>
            </w:r>
          </w:p>
        </w:tc>
      </w:tr>
    </w:tbl>
    <w:p w14:paraId="7E308B29"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Spojená škola, Malinovo má 2 organizačné zložky: SOŠ záhradnícku a základnú školu. Škola bola zriadená 1. septembra 2019. Stredná odborná škola záhradnícka Malinovo je najstaršia záhradnícka škola na Slovensku (od r. 1923). Škola sa nachádza v prírodno-krajinárskom parku s pestrou a historickou výsadbou drevín a ponúka študijné a učebné odbory záhradníckeho smeru.</w:t>
      </w:r>
    </w:p>
    <w:p w14:paraId="2757993D" w14:textId="77777777" w:rsidR="00A1066F" w:rsidRPr="00A1066F" w:rsidRDefault="00A1066F" w:rsidP="00A1066F">
      <w:pPr>
        <w:spacing w:before="100" w:beforeAutospacing="1" w:after="100" w:afterAutospacing="1" w:line="240" w:lineRule="auto"/>
        <w:jc w:val="both"/>
        <w:rPr>
          <w:rFonts w:ascii="Calibri" w:eastAsia="Times New Roman" w:hAnsi="Calibri" w:cs="Calibri"/>
          <w:b/>
          <w:bCs/>
          <w:sz w:val="24"/>
          <w:szCs w:val="24"/>
          <w:lang w:eastAsia="sk-SK"/>
        </w:rPr>
      </w:pPr>
      <w:r w:rsidRPr="00A1066F">
        <w:rPr>
          <w:rFonts w:ascii="Calibri" w:eastAsia="Times New Roman" w:hAnsi="Calibri" w:cs="Calibri"/>
          <w:b/>
          <w:bCs/>
          <w:sz w:val="24"/>
          <w:szCs w:val="24"/>
          <w:lang w:eastAsia="sk-SK"/>
        </w:rPr>
        <w:t xml:space="preserve"> </w:t>
      </w:r>
      <w:r w:rsidRPr="00A1066F">
        <w:rPr>
          <w:rFonts w:ascii="Calibri" w:eastAsia="Times New Roman" w:hAnsi="Calibri" w:cs="Calibri"/>
          <w:b/>
          <w:bCs/>
          <w:color w:val="0000FF"/>
          <w:sz w:val="24"/>
          <w:szCs w:val="24"/>
          <w:lang w:eastAsia="sk-SK"/>
        </w:rPr>
        <w:t xml:space="preserve">Prvok 8.3.46: Spojená škola, </w:t>
      </w:r>
      <w:proofErr w:type="spellStart"/>
      <w:r w:rsidRPr="00A1066F">
        <w:rPr>
          <w:rFonts w:ascii="Calibri" w:eastAsia="Times New Roman" w:hAnsi="Calibri" w:cs="Calibri"/>
          <w:b/>
          <w:bCs/>
          <w:color w:val="0000FF"/>
          <w:sz w:val="24"/>
          <w:szCs w:val="24"/>
          <w:lang w:eastAsia="sk-SK"/>
        </w:rPr>
        <w:t>Ostredkova</w:t>
      </w:r>
      <w:proofErr w:type="spellEnd"/>
      <w:r w:rsidRPr="00A1066F">
        <w:rPr>
          <w:rFonts w:ascii="Calibri" w:eastAsia="Times New Roman" w:hAnsi="Calibri" w:cs="Calibri"/>
          <w:b/>
          <w:bCs/>
          <w:color w:val="0000FF"/>
          <w:sz w:val="24"/>
          <w:szCs w:val="24"/>
          <w:lang w:eastAsia="sk-SK"/>
        </w:rPr>
        <w:t xml:space="preserve"> 10, BA - Stredná športová škola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67053786"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69E6E9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197D323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E2FF10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03DD80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F96745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9FB077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5A98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8CF3C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E70F5A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8DECA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BB9CD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6F863FE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FCF5D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71503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1E3C1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1 750 012,00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F44BE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1 962 725,00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106E9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112,15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6FDEB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1 962 725,00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BEF09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1F8A0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1 962 725,00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7FDD2A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AF86FB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C4E83D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23CF5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7D695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1 750 012,00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24AA6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1 962 725,00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FA9CB7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112,15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F082B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1 962 725,00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D31CB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602675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1 962 725,00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431E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6F37A6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E2FE3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40A24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C9DA2F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847 096,00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824B5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1 040 000,00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F90AEC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122,77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C8D08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1 040 000,00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998FB2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E7889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1 040 000,00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96FF41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811B7B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ABCB2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A9CD20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317DD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306 061,00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B5057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369 000,00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19F32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120,56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5C2A5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369 000,00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1D0746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50DE9A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369 000,00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1CAB1B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9ACE05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C0C9D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0BC3A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5CA37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576 625,00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F8245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553 725,00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996C6B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96,03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85336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553 725,00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B5122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A37D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553 725,00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5005AE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3B82B4B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27EDF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lastRenderedPageBreak/>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EE197B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871A8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20 230,00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11AA52"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9C0009B"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5E3F4AD"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52E7DCB"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9CB2A1"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D7DBB2E"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r>
    </w:tbl>
    <w:p w14:paraId="205CBF7B"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47"/>
        <w:gridCol w:w="1847"/>
        <w:gridCol w:w="1847"/>
        <w:gridCol w:w="1847"/>
        <w:gridCol w:w="1862"/>
      </w:tblGrid>
      <w:tr w:rsidR="00A1066F" w:rsidRPr="00A1066F" w14:paraId="76487D3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2A9F1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25DAD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Spojenej škole</w:t>
            </w:r>
          </w:p>
        </w:tc>
      </w:tr>
      <w:tr w:rsidR="00A1066F" w:rsidRPr="00A1066F" w14:paraId="7EE10F5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F943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A479C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celkom</w:t>
            </w:r>
          </w:p>
        </w:tc>
      </w:tr>
      <w:tr w:rsidR="00A1066F" w:rsidRPr="00A1066F" w14:paraId="24355F2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16C8C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219FC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FCAB6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487B2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A8DD0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108AC0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8FD67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22C29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90A36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332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DA74B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BDAFA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332</w:t>
            </w:r>
          </w:p>
        </w:tc>
      </w:tr>
      <w:tr w:rsidR="00A1066F" w:rsidRPr="00A1066F" w14:paraId="787F517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BB726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20198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77F2AFF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660A4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A4B53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C9932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1FA05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5689D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004044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5616D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B6E3E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318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5154A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332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28842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63641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332</w:t>
            </w:r>
          </w:p>
        </w:tc>
      </w:tr>
    </w:tbl>
    <w:p w14:paraId="7525C30E"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Spojená škola, </w:t>
      </w:r>
      <w:proofErr w:type="spellStart"/>
      <w:r w:rsidRPr="00A1066F">
        <w:rPr>
          <w:rFonts w:ascii="Calibri" w:eastAsia="Times New Roman" w:hAnsi="Calibri" w:cs="Calibri"/>
          <w:sz w:val="24"/>
          <w:szCs w:val="24"/>
          <w:lang w:eastAsia="sk-SK"/>
        </w:rPr>
        <w:t>Ostredkova</w:t>
      </w:r>
      <w:proofErr w:type="spellEnd"/>
      <w:r w:rsidRPr="00A1066F">
        <w:rPr>
          <w:rFonts w:ascii="Calibri" w:eastAsia="Times New Roman" w:hAnsi="Calibri" w:cs="Calibri"/>
          <w:sz w:val="24"/>
          <w:szCs w:val="24"/>
          <w:lang w:eastAsia="sk-SK"/>
        </w:rPr>
        <w:t xml:space="preserve"> 10 bola zriadená 3. 9. 2020. Má dve organizačné zložky - základnú školu a strednú športovú školu. Základná škola je </w:t>
      </w:r>
      <w:proofErr w:type="spellStart"/>
      <w:r w:rsidRPr="00A1066F">
        <w:rPr>
          <w:rFonts w:ascii="Calibri" w:eastAsia="Times New Roman" w:hAnsi="Calibri" w:cs="Calibri"/>
          <w:sz w:val="24"/>
          <w:szCs w:val="24"/>
          <w:lang w:eastAsia="sk-SK"/>
        </w:rPr>
        <w:t>neplnoorganizovaná</w:t>
      </w:r>
      <w:proofErr w:type="spellEnd"/>
      <w:r w:rsidRPr="00A1066F">
        <w:rPr>
          <w:rFonts w:ascii="Calibri" w:eastAsia="Times New Roman" w:hAnsi="Calibri" w:cs="Calibri"/>
          <w:sz w:val="24"/>
          <w:szCs w:val="24"/>
          <w:lang w:eastAsia="sk-SK"/>
        </w:rPr>
        <w:t xml:space="preserve">, poskytuje športové vzdelanie na II. stupni ZŠ. Organizačná zložka Stredná športová škola poskytuje vzdelávanie v študijných odboroch 7451 J športové gymnázium a 7471 M športový manažment. </w:t>
      </w:r>
    </w:p>
    <w:p w14:paraId="44B8DC0F" w14:textId="77777777" w:rsidR="00A1066F" w:rsidRPr="00A1066F" w:rsidRDefault="00A1066F" w:rsidP="00A1066F">
      <w:pPr>
        <w:spacing w:before="100" w:beforeAutospacing="1" w:after="100" w:afterAutospacing="1" w:line="240" w:lineRule="auto"/>
        <w:outlineLvl w:val="3"/>
        <w:rPr>
          <w:rFonts w:ascii="Calibri" w:eastAsia="Times New Roman" w:hAnsi="Calibri" w:cs="Calibri"/>
          <w:b/>
          <w:bCs/>
          <w:sz w:val="24"/>
          <w:szCs w:val="24"/>
          <w:lang w:eastAsia="sk-SK"/>
        </w:rPr>
      </w:pPr>
      <w:r w:rsidRPr="00A1066F">
        <w:rPr>
          <w:rFonts w:ascii="Calibri" w:eastAsia="Times New Roman" w:hAnsi="Calibri" w:cs="Calibri"/>
          <w:b/>
          <w:bCs/>
          <w:color w:val="0000FF"/>
          <w:sz w:val="24"/>
          <w:szCs w:val="24"/>
          <w:lang w:eastAsia="sk-SK"/>
        </w:rPr>
        <w:t>Prvok 8.3.47: Spojená škola, Pezinok - rozpočtová organizácia</w:t>
      </w:r>
      <w:r w:rsidRPr="00A1066F">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78"/>
        <w:gridCol w:w="2518"/>
        <w:gridCol w:w="1399"/>
        <w:gridCol w:w="1458"/>
        <w:gridCol w:w="626"/>
        <w:gridCol w:w="1200"/>
        <w:gridCol w:w="705"/>
        <w:gridCol w:w="1402"/>
        <w:gridCol w:w="664"/>
      </w:tblGrid>
      <w:tr w:rsidR="00A1066F" w:rsidRPr="00A1066F" w14:paraId="3F650A5E"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2DEFB8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F1E3DBC"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4B903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19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E782B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65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8D807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68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A85351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8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35346A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56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CC9E8C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32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8F3128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657"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01A736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1CAE0C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1FE8855D"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33306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119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D5012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9B6E7F"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68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EAD2E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1 721 788,00</w:t>
            </w:r>
            <w:r w:rsidRPr="00A1066F">
              <w:rPr>
                <w:rFonts w:ascii="Calibri" w:eastAsia="Times New Roman" w:hAnsi="Calibri" w:cs="Calibri"/>
                <w:sz w:val="24"/>
                <w:szCs w:val="24"/>
                <w:lang w:eastAsia="sk-SK"/>
              </w:rPr>
              <w:t xml:space="preserve"> </w:t>
            </w:r>
          </w:p>
        </w:tc>
        <w:tc>
          <w:tcPr>
            <w:tcW w:w="28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A8EC49" w14:textId="77777777" w:rsidR="00A1066F" w:rsidRPr="00A1066F" w:rsidRDefault="00A1066F" w:rsidP="00A1066F">
            <w:pPr>
              <w:spacing w:after="0" w:line="240" w:lineRule="auto"/>
              <w:jc w:val="right"/>
              <w:rPr>
                <w:rFonts w:ascii="Calibri" w:eastAsia="Times New Roman" w:hAnsi="Calibri" w:cs="Calibri"/>
                <w:sz w:val="20"/>
                <w:szCs w:val="20"/>
                <w:lang w:eastAsia="sk-SK"/>
              </w:rPr>
            </w:pPr>
            <w:r w:rsidRPr="00A1066F">
              <w:rPr>
                <w:rFonts w:ascii="Calibri" w:eastAsia="Times New Roman" w:hAnsi="Calibri" w:cs="Calibri"/>
                <w:sz w:val="20"/>
                <w:szCs w:val="20"/>
                <w:lang w:eastAsia="sk-SK"/>
              </w:rPr>
              <w:t>0,00</w:t>
            </w:r>
          </w:p>
        </w:tc>
        <w:tc>
          <w:tcPr>
            <w:tcW w:w="56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7D919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1 858 832,00</w:t>
            </w:r>
            <w:r w:rsidRPr="00A1066F">
              <w:rPr>
                <w:rFonts w:ascii="Calibri" w:eastAsia="Times New Roman" w:hAnsi="Calibri" w:cs="Calibri"/>
                <w:sz w:val="24"/>
                <w:szCs w:val="24"/>
                <w:lang w:eastAsia="sk-SK"/>
              </w:rPr>
              <w:t xml:space="preserve"> </w:t>
            </w:r>
          </w:p>
        </w:tc>
        <w:tc>
          <w:tcPr>
            <w:tcW w:w="32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4775C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107,96</w:t>
            </w:r>
            <w:r w:rsidRPr="00A1066F">
              <w:rPr>
                <w:rFonts w:ascii="Calibri" w:eastAsia="Times New Roman" w:hAnsi="Calibri" w:cs="Calibri"/>
                <w:sz w:val="24"/>
                <w:szCs w:val="24"/>
                <w:lang w:eastAsia="sk-SK"/>
              </w:rPr>
              <w:t xml:space="preserve"> </w:t>
            </w:r>
          </w:p>
        </w:tc>
        <w:tc>
          <w:tcPr>
            <w:tcW w:w="65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D7DE29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2 003 632,00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6A23B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107,79</w:t>
            </w:r>
            <w:r w:rsidRPr="00A1066F">
              <w:rPr>
                <w:rFonts w:ascii="Calibri" w:eastAsia="Times New Roman" w:hAnsi="Calibri" w:cs="Calibri"/>
                <w:sz w:val="24"/>
                <w:szCs w:val="24"/>
                <w:lang w:eastAsia="sk-SK"/>
              </w:rPr>
              <w:t xml:space="preserve"> </w:t>
            </w:r>
          </w:p>
        </w:tc>
      </w:tr>
      <w:tr w:rsidR="00A1066F" w:rsidRPr="00A1066F" w14:paraId="11A5C1D2"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50F38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119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9AC14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F6A99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68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D436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1 721 788,00</w:t>
            </w:r>
            <w:r w:rsidRPr="00A1066F">
              <w:rPr>
                <w:rFonts w:ascii="Calibri" w:eastAsia="Times New Roman" w:hAnsi="Calibri" w:cs="Calibri"/>
                <w:sz w:val="24"/>
                <w:szCs w:val="24"/>
                <w:lang w:eastAsia="sk-SK"/>
              </w:rPr>
              <w:t xml:space="preserve"> </w:t>
            </w:r>
          </w:p>
        </w:tc>
        <w:tc>
          <w:tcPr>
            <w:tcW w:w="28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4A44D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56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406DC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1 858 832,00</w:t>
            </w:r>
            <w:r w:rsidRPr="00A1066F">
              <w:rPr>
                <w:rFonts w:ascii="Calibri" w:eastAsia="Times New Roman" w:hAnsi="Calibri" w:cs="Calibri"/>
                <w:sz w:val="24"/>
                <w:szCs w:val="24"/>
                <w:lang w:eastAsia="sk-SK"/>
              </w:rPr>
              <w:t xml:space="preserve"> </w:t>
            </w:r>
          </w:p>
        </w:tc>
        <w:tc>
          <w:tcPr>
            <w:tcW w:w="324"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C084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107,96</w:t>
            </w:r>
            <w:r w:rsidRPr="00A1066F">
              <w:rPr>
                <w:rFonts w:ascii="Calibri" w:eastAsia="Times New Roman" w:hAnsi="Calibri" w:cs="Calibri"/>
                <w:sz w:val="24"/>
                <w:szCs w:val="24"/>
                <w:lang w:eastAsia="sk-SK"/>
              </w:rPr>
              <w:t xml:space="preserve"> </w:t>
            </w:r>
          </w:p>
        </w:tc>
        <w:tc>
          <w:tcPr>
            <w:tcW w:w="657"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B72CF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2 003 632,00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44EF8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107,79</w:t>
            </w:r>
            <w:r w:rsidRPr="00A1066F">
              <w:rPr>
                <w:rFonts w:ascii="Calibri" w:eastAsia="Times New Roman" w:hAnsi="Calibri" w:cs="Calibri"/>
                <w:sz w:val="24"/>
                <w:szCs w:val="24"/>
                <w:lang w:eastAsia="sk-SK"/>
              </w:rPr>
              <w:t xml:space="preserve"> </w:t>
            </w:r>
          </w:p>
        </w:tc>
      </w:tr>
      <w:tr w:rsidR="00A1066F" w:rsidRPr="00A1066F" w14:paraId="4F7C9051"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noWrap/>
            <w:vAlign w:val="center"/>
            <w:hideMark/>
          </w:tcPr>
          <w:p w14:paraId="1F095C7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1191" w:type="pct"/>
            <w:tcBorders>
              <w:top w:val="outset" w:sz="6" w:space="0" w:color="000000"/>
              <w:left w:val="outset" w:sz="6" w:space="0" w:color="000000"/>
              <w:bottom w:val="outset" w:sz="6" w:space="0" w:color="000000"/>
              <w:right w:val="outset" w:sz="6" w:space="0" w:color="000000"/>
            </w:tcBorders>
            <w:vAlign w:val="center"/>
            <w:hideMark/>
          </w:tcPr>
          <w:p w14:paraId="452D56D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noWrap/>
            <w:vAlign w:val="center"/>
            <w:hideMark/>
          </w:tcPr>
          <w:p w14:paraId="776A2C0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684" w:type="pct"/>
            <w:tcBorders>
              <w:top w:val="outset" w:sz="6" w:space="0" w:color="000000"/>
              <w:left w:val="outset" w:sz="6" w:space="0" w:color="000000"/>
              <w:bottom w:val="outset" w:sz="6" w:space="0" w:color="000000"/>
              <w:right w:val="outset" w:sz="6" w:space="0" w:color="000000"/>
            </w:tcBorders>
            <w:noWrap/>
            <w:vAlign w:val="center"/>
            <w:hideMark/>
          </w:tcPr>
          <w:p w14:paraId="3F272CC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902 403,00</w:t>
            </w:r>
            <w:r w:rsidRPr="00A1066F">
              <w:rPr>
                <w:rFonts w:ascii="Calibri" w:eastAsia="Times New Roman" w:hAnsi="Calibri" w:cs="Calibri"/>
                <w:sz w:val="24"/>
                <w:szCs w:val="24"/>
                <w:lang w:eastAsia="sk-SK"/>
              </w:rPr>
              <w:t xml:space="preserve"> </w:t>
            </w:r>
          </w:p>
        </w:tc>
        <w:tc>
          <w:tcPr>
            <w:tcW w:w="286" w:type="pct"/>
            <w:tcBorders>
              <w:top w:val="outset" w:sz="6" w:space="0" w:color="000000"/>
              <w:left w:val="outset" w:sz="6" w:space="0" w:color="000000"/>
              <w:bottom w:val="outset" w:sz="6" w:space="0" w:color="000000"/>
              <w:right w:val="outset" w:sz="6" w:space="0" w:color="000000"/>
            </w:tcBorders>
            <w:noWrap/>
            <w:vAlign w:val="center"/>
            <w:hideMark/>
          </w:tcPr>
          <w:p w14:paraId="5CECD4D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561" w:type="pct"/>
            <w:tcBorders>
              <w:top w:val="outset" w:sz="6" w:space="0" w:color="000000"/>
              <w:left w:val="outset" w:sz="6" w:space="0" w:color="000000"/>
              <w:bottom w:val="outset" w:sz="6" w:space="0" w:color="000000"/>
              <w:right w:val="outset" w:sz="6" w:space="0" w:color="000000"/>
            </w:tcBorders>
            <w:noWrap/>
            <w:vAlign w:val="center"/>
            <w:hideMark/>
          </w:tcPr>
          <w:p w14:paraId="04ADDEB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981 251,00</w:t>
            </w:r>
            <w:r w:rsidRPr="00A1066F">
              <w:rPr>
                <w:rFonts w:ascii="Calibri" w:eastAsia="Times New Roman" w:hAnsi="Calibri" w:cs="Calibri"/>
                <w:sz w:val="24"/>
                <w:szCs w:val="24"/>
                <w:lang w:eastAsia="sk-SK"/>
              </w:rPr>
              <w:t xml:space="preserve"> </w:t>
            </w:r>
          </w:p>
        </w:tc>
        <w:tc>
          <w:tcPr>
            <w:tcW w:w="324" w:type="pct"/>
            <w:tcBorders>
              <w:top w:val="outset" w:sz="6" w:space="0" w:color="000000"/>
              <w:left w:val="outset" w:sz="6" w:space="0" w:color="000000"/>
              <w:bottom w:val="outset" w:sz="6" w:space="0" w:color="000000"/>
              <w:right w:val="outset" w:sz="6" w:space="0" w:color="000000"/>
            </w:tcBorders>
            <w:noWrap/>
            <w:vAlign w:val="center"/>
            <w:hideMark/>
          </w:tcPr>
          <w:p w14:paraId="1D4635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108,74</w:t>
            </w:r>
            <w:r w:rsidRPr="00A1066F">
              <w:rPr>
                <w:rFonts w:ascii="Calibri" w:eastAsia="Times New Roman" w:hAnsi="Calibri" w:cs="Calibri"/>
                <w:sz w:val="24"/>
                <w:szCs w:val="24"/>
                <w:lang w:eastAsia="sk-SK"/>
              </w:rPr>
              <w:t xml:space="preserve"> </w:t>
            </w:r>
          </w:p>
        </w:tc>
        <w:tc>
          <w:tcPr>
            <w:tcW w:w="657" w:type="pct"/>
            <w:tcBorders>
              <w:top w:val="outset" w:sz="6" w:space="0" w:color="000000"/>
              <w:left w:val="outset" w:sz="6" w:space="0" w:color="000000"/>
              <w:bottom w:val="outset" w:sz="6" w:space="0" w:color="000000"/>
              <w:right w:val="outset" w:sz="6" w:space="0" w:color="000000"/>
            </w:tcBorders>
            <w:noWrap/>
            <w:vAlign w:val="center"/>
            <w:hideMark/>
          </w:tcPr>
          <w:p w14:paraId="298E987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1 067 756,00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5E7BD3E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108,82</w:t>
            </w:r>
            <w:r w:rsidRPr="00A1066F">
              <w:rPr>
                <w:rFonts w:ascii="Calibri" w:eastAsia="Times New Roman" w:hAnsi="Calibri" w:cs="Calibri"/>
                <w:sz w:val="24"/>
                <w:szCs w:val="24"/>
                <w:lang w:eastAsia="sk-SK"/>
              </w:rPr>
              <w:t xml:space="preserve"> </w:t>
            </w:r>
          </w:p>
        </w:tc>
      </w:tr>
      <w:tr w:rsidR="00A1066F" w:rsidRPr="00A1066F" w14:paraId="0F1FDDE4"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noWrap/>
            <w:vAlign w:val="center"/>
            <w:hideMark/>
          </w:tcPr>
          <w:p w14:paraId="78B95FF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1191" w:type="pct"/>
            <w:tcBorders>
              <w:top w:val="outset" w:sz="6" w:space="0" w:color="000000"/>
              <w:left w:val="outset" w:sz="6" w:space="0" w:color="000000"/>
              <w:bottom w:val="outset" w:sz="6" w:space="0" w:color="000000"/>
              <w:right w:val="outset" w:sz="6" w:space="0" w:color="000000"/>
            </w:tcBorders>
            <w:vAlign w:val="center"/>
            <w:hideMark/>
          </w:tcPr>
          <w:p w14:paraId="7AA49B0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noWrap/>
            <w:vAlign w:val="center"/>
            <w:hideMark/>
          </w:tcPr>
          <w:p w14:paraId="17DCD3E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684" w:type="pct"/>
            <w:tcBorders>
              <w:top w:val="outset" w:sz="6" w:space="0" w:color="000000"/>
              <w:left w:val="outset" w:sz="6" w:space="0" w:color="000000"/>
              <w:bottom w:val="outset" w:sz="6" w:space="0" w:color="000000"/>
              <w:right w:val="outset" w:sz="6" w:space="0" w:color="000000"/>
            </w:tcBorders>
            <w:noWrap/>
            <w:vAlign w:val="center"/>
            <w:hideMark/>
          </w:tcPr>
          <w:p w14:paraId="0DBB30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327 800,00</w:t>
            </w:r>
            <w:r w:rsidRPr="00A1066F">
              <w:rPr>
                <w:rFonts w:ascii="Calibri" w:eastAsia="Times New Roman" w:hAnsi="Calibri" w:cs="Calibri"/>
                <w:sz w:val="24"/>
                <w:szCs w:val="24"/>
                <w:lang w:eastAsia="sk-SK"/>
              </w:rPr>
              <w:t xml:space="preserve"> </w:t>
            </w:r>
          </w:p>
        </w:tc>
        <w:tc>
          <w:tcPr>
            <w:tcW w:w="286" w:type="pct"/>
            <w:tcBorders>
              <w:top w:val="outset" w:sz="6" w:space="0" w:color="000000"/>
              <w:left w:val="outset" w:sz="6" w:space="0" w:color="000000"/>
              <w:bottom w:val="outset" w:sz="6" w:space="0" w:color="000000"/>
              <w:right w:val="outset" w:sz="6" w:space="0" w:color="000000"/>
            </w:tcBorders>
            <w:noWrap/>
            <w:vAlign w:val="center"/>
            <w:hideMark/>
          </w:tcPr>
          <w:p w14:paraId="6147F15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561" w:type="pct"/>
            <w:tcBorders>
              <w:top w:val="outset" w:sz="6" w:space="0" w:color="000000"/>
              <w:left w:val="outset" w:sz="6" w:space="0" w:color="000000"/>
              <w:bottom w:val="outset" w:sz="6" w:space="0" w:color="000000"/>
              <w:right w:val="outset" w:sz="6" w:space="0" w:color="000000"/>
            </w:tcBorders>
            <w:noWrap/>
            <w:vAlign w:val="center"/>
            <w:hideMark/>
          </w:tcPr>
          <w:p w14:paraId="20022D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360 731,00</w:t>
            </w:r>
            <w:r w:rsidRPr="00A1066F">
              <w:rPr>
                <w:rFonts w:ascii="Calibri" w:eastAsia="Times New Roman" w:hAnsi="Calibri" w:cs="Calibri"/>
                <w:sz w:val="24"/>
                <w:szCs w:val="24"/>
                <w:lang w:eastAsia="sk-SK"/>
              </w:rPr>
              <w:t xml:space="preserve"> </w:t>
            </w:r>
          </w:p>
        </w:tc>
        <w:tc>
          <w:tcPr>
            <w:tcW w:w="324" w:type="pct"/>
            <w:tcBorders>
              <w:top w:val="outset" w:sz="6" w:space="0" w:color="000000"/>
              <w:left w:val="outset" w:sz="6" w:space="0" w:color="000000"/>
              <w:bottom w:val="outset" w:sz="6" w:space="0" w:color="000000"/>
              <w:right w:val="outset" w:sz="6" w:space="0" w:color="000000"/>
            </w:tcBorders>
            <w:noWrap/>
            <w:vAlign w:val="center"/>
            <w:hideMark/>
          </w:tcPr>
          <w:p w14:paraId="0E96CAB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110,05</w:t>
            </w:r>
            <w:r w:rsidRPr="00A1066F">
              <w:rPr>
                <w:rFonts w:ascii="Calibri" w:eastAsia="Times New Roman" w:hAnsi="Calibri" w:cs="Calibri"/>
                <w:sz w:val="24"/>
                <w:szCs w:val="24"/>
                <w:lang w:eastAsia="sk-SK"/>
              </w:rPr>
              <w:t xml:space="preserve"> </w:t>
            </w:r>
          </w:p>
        </w:tc>
        <w:tc>
          <w:tcPr>
            <w:tcW w:w="657" w:type="pct"/>
            <w:tcBorders>
              <w:top w:val="outset" w:sz="6" w:space="0" w:color="000000"/>
              <w:left w:val="outset" w:sz="6" w:space="0" w:color="000000"/>
              <w:bottom w:val="outset" w:sz="6" w:space="0" w:color="000000"/>
              <w:right w:val="outset" w:sz="6" w:space="0" w:color="000000"/>
            </w:tcBorders>
            <w:noWrap/>
            <w:vAlign w:val="center"/>
            <w:hideMark/>
          </w:tcPr>
          <w:p w14:paraId="49EB362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396 906,00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5F88688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110,03</w:t>
            </w:r>
            <w:r w:rsidRPr="00A1066F">
              <w:rPr>
                <w:rFonts w:ascii="Calibri" w:eastAsia="Times New Roman" w:hAnsi="Calibri" w:cs="Calibri"/>
                <w:sz w:val="24"/>
                <w:szCs w:val="24"/>
                <w:lang w:eastAsia="sk-SK"/>
              </w:rPr>
              <w:t xml:space="preserve"> </w:t>
            </w:r>
          </w:p>
        </w:tc>
      </w:tr>
      <w:tr w:rsidR="00A1066F" w:rsidRPr="00A1066F" w14:paraId="4A23D478" w14:textId="77777777" w:rsidTr="007468A0">
        <w:trPr>
          <w:tblCellSpacing w:w="15" w:type="dxa"/>
        </w:trPr>
        <w:tc>
          <w:tcPr>
            <w:tcW w:w="208" w:type="pct"/>
            <w:tcBorders>
              <w:top w:val="outset" w:sz="6" w:space="0" w:color="000000"/>
              <w:left w:val="outset" w:sz="6" w:space="0" w:color="000000"/>
              <w:bottom w:val="outset" w:sz="6" w:space="0" w:color="000000"/>
              <w:right w:val="outset" w:sz="6" w:space="0" w:color="000000"/>
            </w:tcBorders>
            <w:noWrap/>
            <w:vAlign w:val="center"/>
            <w:hideMark/>
          </w:tcPr>
          <w:p w14:paraId="5490202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1191" w:type="pct"/>
            <w:tcBorders>
              <w:top w:val="outset" w:sz="6" w:space="0" w:color="000000"/>
              <w:left w:val="outset" w:sz="6" w:space="0" w:color="000000"/>
              <w:bottom w:val="outset" w:sz="6" w:space="0" w:color="000000"/>
              <w:right w:val="outset" w:sz="6" w:space="0" w:color="000000"/>
            </w:tcBorders>
            <w:vAlign w:val="center"/>
            <w:hideMark/>
          </w:tcPr>
          <w:p w14:paraId="382F994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656" w:type="pct"/>
            <w:tcBorders>
              <w:top w:val="outset" w:sz="6" w:space="0" w:color="000000"/>
              <w:left w:val="outset" w:sz="6" w:space="0" w:color="000000"/>
              <w:bottom w:val="outset" w:sz="6" w:space="0" w:color="000000"/>
              <w:right w:val="outset" w:sz="6" w:space="0" w:color="000000"/>
            </w:tcBorders>
            <w:noWrap/>
            <w:vAlign w:val="center"/>
            <w:hideMark/>
          </w:tcPr>
          <w:p w14:paraId="1518B38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684" w:type="pct"/>
            <w:tcBorders>
              <w:top w:val="outset" w:sz="6" w:space="0" w:color="000000"/>
              <w:left w:val="outset" w:sz="6" w:space="0" w:color="000000"/>
              <w:bottom w:val="outset" w:sz="6" w:space="0" w:color="000000"/>
              <w:right w:val="outset" w:sz="6" w:space="0" w:color="000000"/>
            </w:tcBorders>
            <w:noWrap/>
            <w:vAlign w:val="center"/>
            <w:hideMark/>
          </w:tcPr>
          <w:p w14:paraId="6FAB2CD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491 585,00</w:t>
            </w:r>
            <w:r w:rsidRPr="00A1066F">
              <w:rPr>
                <w:rFonts w:ascii="Calibri" w:eastAsia="Times New Roman" w:hAnsi="Calibri" w:cs="Calibri"/>
                <w:sz w:val="24"/>
                <w:szCs w:val="24"/>
                <w:lang w:eastAsia="sk-SK"/>
              </w:rPr>
              <w:t xml:space="preserve"> </w:t>
            </w:r>
          </w:p>
        </w:tc>
        <w:tc>
          <w:tcPr>
            <w:tcW w:w="286" w:type="pct"/>
            <w:tcBorders>
              <w:top w:val="outset" w:sz="6" w:space="0" w:color="000000"/>
              <w:left w:val="outset" w:sz="6" w:space="0" w:color="000000"/>
              <w:bottom w:val="outset" w:sz="6" w:space="0" w:color="000000"/>
              <w:right w:val="outset" w:sz="6" w:space="0" w:color="000000"/>
            </w:tcBorders>
            <w:noWrap/>
            <w:vAlign w:val="center"/>
            <w:hideMark/>
          </w:tcPr>
          <w:p w14:paraId="14E4DB5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0,00</w:t>
            </w:r>
          </w:p>
        </w:tc>
        <w:tc>
          <w:tcPr>
            <w:tcW w:w="561" w:type="pct"/>
            <w:tcBorders>
              <w:top w:val="outset" w:sz="6" w:space="0" w:color="000000"/>
              <w:left w:val="outset" w:sz="6" w:space="0" w:color="000000"/>
              <w:bottom w:val="outset" w:sz="6" w:space="0" w:color="000000"/>
              <w:right w:val="outset" w:sz="6" w:space="0" w:color="000000"/>
            </w:tcBorders>
            <w:noWrap/>
            <w:vAlign w:val="center"/>
            <w:hideMark/>
          </w:tcPr>
          <w:p w14:paraId="2ABECC1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516 850,00</w:t>
            </w:r>
            <w:r w:rsidRPr="00A1066F">
              <w:rPr>
                <w:rFonts w:ascii="Calibri" w:eastAsia="Times New Roman" w:hAnsi="Calibri" w:cs="Calibri"/>
                <w:sz w:val="24"/>
                <w:szCs w:val="24"/>
                <w:lang w:eastAsia="sk-SK"/>
              </w:rPr>
              <w:t xml:space="preserve"> </w:t>
            </w:r>
          </w:p>
        </w:tc>
        <w:tc>
          <w:tcPr>
            <w:tcW w:w="324" w:type="pct"/>
            <w:tcBorders>
              <w:top w:val="outset" w:sz="6" w:space="0" w:color="000000"/>
              <w:left w:val="outset" w:sz="6" w:space="0" w:color="000000"/>
              <w:bottom w:val="outset" w:sz="6" w:space="0" w:color="000000"/>
              <w:right w:val="outset" w:sz="6" w:space="0" w:color="000000"/>
            </w:tcBorders>
            <w:noWrap/>
            <w:vAlign w:val="center"/>
            <w:hideMark/>
          </w:tcPr>
          <w:p w14:paraId="74A8F03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105,14</w:t>
            </w:r>
            <w:r w:rsidRPr="00A1066F">
              <w:rPr>
                <w:rFonts w:ascii="Calibri" w:eastAsia="Times New Roman" w:hAnsi="Calibri" w:cs="Calibri"/>
                <w:sz w:val="24"/>
                <w:szCs w:val="24"/>
                <w:lang w:eastAsia="sk-SK"/>
              </w:rPr>
              <w:t xml:space="preserve"> </w:t>
            </w:r>
          </w:p>
        </w:tc>
        <w:tc>
          <w:tcPr>
            <w:tcW w:w="657" w:type="pct"/>
            <w:tcBorders>
              <w:top w:val="outset" w:sz="6" w:space="0" w:color="000000"/>
              <w:left w:val="outset" w:sz="6" w:space="0" w:color="000000"/>
              <w:bottom w:val="outset" w:sz="6" w:space="0" w:color="000000"/>
              <w:right w:val="outset" w:sz="6" w:space="0" w:color="000000"/>
            </w:tcBorders>
            <w:noWrap/>
            <w:vAlign w:val="center"/>
            <w:hideMark/>
          </w:tcPr>
          <w:p w14:paraId="10134D1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538 970,00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4F8205C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104,28</w:t>
            </w:r>
            <w:r w:rsidRPr="00A1066F">
              <w:rPr>
                <w:rFonts w:ascii="Calibri" w:eastAsia="Times New Roman" w:hAnsi="Calibri" w:cs="Calibri"/>
                <w:sz w:val="24"/>
                <w:szCs w:val="24"/>
                <w:lang w:eastAsia="sk-SK"/>
              </w:rPr>
              <w:t xml:space="preserve"> </w:t>
            </w:r>
          </w:p>
        </w:tc>
      </w:tr>
    </w:tbl>
    <w:p w14:paraId="5B9AD622"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361"/>
        <w:gridCol w:w="1553"/>
        <w:gridCol w:w="1743"/>
        <w:gridCol w:w="1889"/>
        <w:gridCol w:w="1904"/>
      </w:tblGrid>
      <w:tr w:rsidR="00A1066F" w:rsidRPr="00A1066F" w14:paraId="737169D8" w14:textId="77777777" w:rsidTr="007468A0">
        <w:trPr>
          <w:tblCellSpacing w:w="15" w:type="dxa"/>
        </w:trPr>
        <w:tc>
          <w:tcPr>
            <w:tcW w:w="16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15CEA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357"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A704D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Riaditeľ školy</w:t>
            </w:r>
          </w:p>
        </w:tc>
      </w:tr>
      <w:tr w:rsidR="00A1066F" w:rsidRPr="00A1066F" w14:paraId="31B94D29" w14:textId="77777777" w:rsidTr="007468A0">
        <w:trPr>
          <w:tblCellSpacing w:w="15" w:type="dxa"/>
        </w:trPr>
        <w:tc>
          <w:tcPr>
            <w:tcW w:w="16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F6771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357"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4344F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kvalitný vzdelávací proces na Spojenej škole</w:t>
            </w:r>
          </w:p>
        </w:tc>
      </w:tr>
      <w:tr w:rsidR="00A1066F" w:rsidRPr="00A1066F" w14:paraId="58B31A53" w14:textId="77777777" w:rsidTr="007468A0">
        <w:trPr>
          <w:tblCellSpacing w:w="15" w:type="dxa"/>
        </w:trPr>
        <w:tc>
          <w:tcPr>
            <w:tcW w:w="16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D1F5C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357"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CEFC5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w:t>
            </w:r>
          </w:p>
        </w:tc>
      </w:tr>
      <w:tr w:rsidR="00A1066F" w:rsidRPr="00A1066F" w14:paraId="320ADAEB" w14:textId="77777777" w:rsidTr="007468A0">
        <w:trPr>
          <w:tblCellSpacing w:w="15" w:type="dxa"/>
        </w:trPr>
        <w:tc>
          <w:tcPr>
            <w:tcW w:w="16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05CCF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73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96539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2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11927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2D759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04F3D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2696D415" w14:textId="77777777" w:rsidTr="007468A0">
        <w:trPr>
          <w:tblCellSpacing w:w="15" w:type="dxa"/>
        </w:trPr>
        <w:tc>
          <w:tcPr>
            <w:tcW w:w="16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7D271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73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5250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82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F2134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319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DA3F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319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C76C6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319</w:t>
            </w:r>
          </w:p>
        </w:tc>
      </w:tr>
      <w:tr w:rsidR="00A1066F" w:rsidRPr="00A1066F" w14:paraId="2A38FB34" w14:textId="77777777" w:rsidTr="007468A0">
        <w:trPr>
          <w:tblCellSpacing w:w="15" w:type="dxa"/>
        </w:trPr>
        <w:tc>
          <w:tcPr>
            <w:tcW w:w="16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52FE9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357"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FE0CA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dennej forme</w:t>
            </w:r>
          </w:p>
        </w:tc>
      </w:tr>
      <w:tr w:rsidR="00A1066F" w:rsidRPr="00A1066F" w14:paraId="6FF1164F" w14:textId="77777777" w:rsidTr="007468A0">
        <w:trPr>
          <w:tblCellSpacing w:w="15" w:type="dxa"/>
        </w:trPr>
        <w:tc>
          <w:tcPr>
            <w:tcW w:w="16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09C6C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73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1B34F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2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CC4A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57432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B8DC8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6393E45" w14:textId="77777777" w:rsidTr="007468A0">
        <w:trPr>
          <w:tblCellSpacing w:w="15" w:type="dxa"/>
        </w:trPr>
        <w:tc>
          <w:tcPr>
            <w:tcW w:w="160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F1CAC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73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FD650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0</w:t>
            </w:r>
          </w:p>
        </w:tc>
        <w:tc>
          <w:tcPr>
            <w:tcW w:w="82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1A6A0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319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6190E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319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003D3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319</w:t>
            </w:r>
          </w:p>
        </w:tc>
      </w:tr>
    </w:tbl>
    <w:p w14:paraId="6D16CE5B"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Spojená škola bola zaradená do siete škôl a školských zariadení dňom 1. 9. 2024. Má organizačné zložky Obchodná akadémia a SOŠ podnikania a služieb. Učebné a študijné odbory sú zamerané na ekonomiku a služby v cestovom ruchu v dennej forme štúdia (obchodná akadémia, služby v cestovnom ruchu) a odbory zamerané na obchod a služby (čašník, kaderník, kuchár, pekár).</w:t>
      </w:r>
    </w:p>
    <w:p w14:paraId="1EF76B7A" w14:textId="77777777" w:rsidR="00A1066F" w:rsidRPr="00A1066F" w:rsidRDefault="00A1066F" w:rsidP="00A1066F">
      <w:pPr>
        <w:spacing w:before="100" w:beforeAutospacing="1" w:after="100" w:afterAutospacing="1" w:line="240" w:lineRule="auto"/>
        <w:outlineLvl w:val="2"/>
        <w:rPr>
          <w:rFonts w:ascii="Calibri" w:eastAsia="Times New Roman" w:hAnsi="Calibri" w:cs="Calibri"/>
          <w:b/>
          <w:bCs/>
          <w:sz w:val="27"/>
          <w:szCs w:val="27"/>
          <w:lang w:eastAsia="sk-SK"/>
        </w:rPr>
      </w:pPr>
      <w:r w:rsidRPr="00A1066F">
        <w:rPr>
          <w:rFonts w:ascii="Calibri" w:eastAsia="Times New Roman" w:hAnsi="Calibri" w:cs="Calibri"/>
          <w:b/>
          <w:bCs/>
          <w:color w:val="0000FF"/>
          <w:sz w:val="27"/>
          <w:szCs w:val="27"/>
          <w:lang w:eastAsia="sk-SK"/>
        </w:rPr>
        <w:t>Podprogram 8.4: Školské stravovanie</w:t>
      </w:r>
      <w:r w:rsidRPr="00A1066F">
        <w:rPr>
          <w:rFonts w:ascii="Calibri" w:eastAsia="Times New Roman" w:hAnsi="Calibri" w:cs="Calibri"/>
          <w:b/>
          <w:bCs/>
          <w:sz w:val="27"/>
          <w:szCs w:val="27"/>
          <w:lang w:eastAsia="sk-SK"/>
        </w:rPr>
        <w:t xml:space="preserve"> </w:t>
      </w:r>
    </w:p>
    <w:p w14:paraId="14E2E8E3" w14:textId="77777777" w:rsid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Zámer: </w:t>
      </w:r>
      <w:r w:rsidRPr="00A1066F">
        <w:rPr>
          <w:rFonts w:ascii="Calibri" w:eastAsia="Times New Roman" w:hAnsi="Calibri" w:cs="Calibri"/>
          <w:sz w:val="24"/>
          <w:szCs w:val="24"/>
          <w:lang w:eastAsia="sk-SK"/>
        </w:rPr>
        <w:t>Financovanie v podprograme Školské stravovanie sa riadi aktuálnym všeobecne záväzným nariadením, schváleným Zastupiteľstvom BSK.</w:t>
      </w:r>
    </w:p>
    <w:p w14:paraId="3E6A522A" w14:textId="77777777" w:rsidR="002A232D" w:rsidRDefault="002A232D" w:rsidP="00A1066F">
      <w:pPr>
        <w:spacing w:before="100" w:beforeAutospacing="1" w:after="100" w:afterAutospacing="1" w:line="240" w:lineRule="auto"/>
        <w:jc w:val="both"/>
        <w:rPr>
          <w:rFonts w:ascii="Calibri" w:eastAsia="Times New Roman" w:hAnsi="Calibri" w:cs="Calibri"/>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6"/>
        <w:gridCol w:w="2142"/>
        <w:gridCol w:w="1460"/>
        <w:gridCol w:w="1460"/>
        <w:gridCol w:w="649"/>
        <w:gridCol w:w="1460"/>
        <w:gridCol w:w="649"/>
        <w:gridCol w:w="1460"/>
        <w:gridCol w:w="664"/>
      </w:tblGrid>
      <w:tr w:rsidR="00A1066F" w:rsidRPr="00A1066F" w14:paraId="6D64B67D"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0CFD7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lastRenderedPageBreak/>
              <w:t>Rozpočet v EUR</w:t>
            </w:r>
          </w:p>
        </w:tc>
      </w:tr>
      <w:tr w:rsidR="00A1066F" w:rsidRPr="00A1066F" w14:paraId="53C42B9E" w14:textId="77777777" w:rsidTr="001B5DF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B9C7B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4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12F2C9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9CF764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F9433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39411C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7A209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40DD8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8059D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00465D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398262EA" w14:textId="77777777" w:rsidTr="001B5DF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CA3AE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43202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34C59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5 909 208,00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8D1AC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6 473 754,00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48435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109,55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4C49B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6 695 814,00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B55E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103,43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FEFC1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6 859 234,00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19594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102,44</w:t>
            </w:r>
            <w:r w:rsidRPr="00A1066F">
              <w:rPr>
                <w:rFonts w:ascii="Calibri" w:eastAsia="Times New Roman" w:hAnsi="Calibri" w:cs="Calibri"/>
                <w:sz w:val="24"/>
                <w:szCs w:val="24"/>
                <w:lang w:eastAsia="sk-SK"/>
              </w:rPr>
              <w:t xml:space="preserve"> </w:t>
            </w:r>
          </w:p>
        </w:tc>
      </w:tr>
      <w:tr w:rsidR="00A1066F" w:rsidRPr="00A1066F" w14:paraId="35FCE87F" w14:textId="77777777" w:rsidTr="001B5DF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19835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D0CD1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858CA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5 909 208,00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5B17C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6 473 754,00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AC3F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109,55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0C13D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6 695 814,00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622E3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103,43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C93F1A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6 859 234,00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A9C52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102,44</w:t>
            </w:r>
            <w:r w:rsidRPr="00A1066F">
              <w:rPr>
                <w:rFonts w:ascii="Calibri" w:eastAsia="Times New Roman" w:hAnsi="Calibri" w:cs="Calibri"/>
                <w:sz w:val="24"/>
                <w:szCs w:val="24"/>
                <w:lang w:eastAsia="sk-SK"/>
              </w:rPr>
              <w:t xml:space="preserve"> </w:t>
            </w:r>
          </w:p>
        </w:tc>
      </w:tr>
      <w:tr w:rsidR="00A1066F" w:rsidRPr="00A1066F" w14:paraId="17E4F386" w14:textId="77777777" w:rsidTr="001B5DF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27011A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60F78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04A5B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1 634 245,00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558B9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1 726 211,00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0D8BEE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105,63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1F8FD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1 794 166,00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3DEC7C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103,94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A2395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1 866 792,00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E7E8C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104,05</w:t>
            </w:r>
            <w:r w:rsidRPr="00A1066F">
              <w:rPr>
                <w:rFonts w:ascii="Calibri" w:eastAsia="Times New Roman" w:hAnsi="Calibri" w:cs="Calibri"/>
                <w:sz w:val="24"/>
                <w:szCs w:val="24"/>
                <w:lang w:eastAsia="sk-SK"/>
              </w:rPr>
              <w:t xml:space="preserve"> </w:t>
            </w:r>
          </w:p>
        </w:tc>
      </w:tr>
      <w:tr w:rsidR="00A1066F" w:rsidRPr="00A1066F" w14:paraId="1E1481C7" w14:textId="77777777" w:rsidTr="001B5DF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55F0DA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A9BC5C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FFB57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591 682,00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E1835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631 282,00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677F2F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106,69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B122E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648 767,00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095001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102,77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30413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668 881,00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943189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103,10</w:t>
            </w:r>
            <w:r w:rsidRPr="00A1066F">
              <w:rPr>
                <w:rFonts w:ascii="Calibri" w:eastAsia="Times New Roman" w:hAnsi="Calibri" w:cs="Calibri"/>
                <w:sz w:val="24"/>
                <w:szCs w:val="24"/>
                <w:lang w:eastAsia="sk-SK"/>
              </w:rPr>
              <w:t xml:space="preserve"> </w:t>
            </w:r>
          </w:p>
        </w:tc>
      </w:tr>
      <w:tr w:rsidR="00A1066F" w:rsidRPr="00A1066F" w14:paraId="3028ABC9" w14:textId="77777777" w:rsidTr="001B5DF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C3661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2F6B8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3DBDB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3 215 639,00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A4DA5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3 801 909,00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65A38C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118,23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40914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3 866 770,00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E11C4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101,71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AA3CB2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3 933 197,00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8B6996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101,72</w:t>
            </w:r>
            <w:r w:rsidRPr="00A1066F">
              <w:rPr>
                <w:rFonts w:ascii="Calibri" w:eastAsia="Times New Roman" w:hAnsi="Calibri" w:cs="Calibri"/>
                <w:sz w:val="24"/>
                <w:szCs w:val="24"/>
                <w:lang w:eastAsia="sk-SK"/>
              </w:rPr>
              <w:t xml:space="preserve"> </w:t>
            </w:r>
          </w:p>
        </w:tc>
      </w:tr>
      <w:tr w:rsidR="00A1066F" w:rsidRPr="00A1066F" w14:paraId="2154C9C1" w14:textId="77777777" w:rsidTr="001B5DF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5318E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EF62C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AD7F1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467 642,00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9F0F5B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314 352,00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C10147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67,22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EE44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386 111,00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2C19EE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122,83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8F97B6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390 364,00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05FEF6F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101,10</w:t>
            </w:r>
            <w:r w:rsidRPr="00A1066F">
              <w:rPr>
                <w:rFonts w:ascii="Calibri" w:eastAsia="Times New Roman" w:hAnsi="Calibri" w:cs="Calibri"/>
                <w:sz w:val="24"/>
                <w:szCs w:val="24"/>
                <w:lang w:eastAsia="sk-SK"/>
              </w:rPr>
              <w:t xml:space="preserve"> </w:t>
            </w:r>
          </w:p>
        </w:tc>
      </w:tr>
    </w:tbl>
    <w:p w14:paraId="4CCCC628"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74"/>
        <w:gridCol w:w="1554"/>
        <w:gridCol w:w="1969"/>
        <w:gridCol w:w="1969"/>
        <w:gridCol w:w="1984"/>
      </w:tblGrid>
      <w:tr w:rsidR="00A1066F" w:rsidRPr="00A1066F" w14:paraId="38C3C564"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DACC9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E791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Odbor školstva, mládeže a športu</w:t>
            </w:r>
          </w:p>
        </w:tc>
      </w:tr>
      <w:tr w:rsidR="00A1066F" w:rsidRPr="00A1066F" w14:paraId="2C4D1031"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78544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464EE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stravovacie služby pre žiakov základných a stredných škôl</w:t>
            </w:r>
          </w:p>
        </w:tc>
      </w:tr>
      <w:tr w:rsidR="00A1066F" w:rsidRPr="00A1066F" w14:paraId="13272F65"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72E45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AED4D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školských stravovacích zariadení spolu za rok</w:t>
            </w:r>
          </w:p>
        </w:tc>
      </w:tr>
      <w:tr w:rsidR="00A1066F" w:rsidRPr="00A1066F" w14:paraId="7AE2319C"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51E48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7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B8B05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50B96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E5F4D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EFCEE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0EAAD43"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9633D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7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50B1C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C0E8E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B29B1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F4804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20</w:t>
            </w:r>
          </w:p>
        </w:tc>
      </w:tr>
      <w:tr w:rsidR="00A1066F" w:rsidRPr="00A1066F" w14:paraId="102A1B0D"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05D26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64DAC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vydaných jedál (v tis. ks) spolu za rok</w:t>
            </w:r>
          </w:p>
        </w:tc>
      </w:tr>
      <w:tr w:rsidR="00A1066F" w:rsidRPr="00A1066F" w14:paraId="24F59724"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5C86E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7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AF58A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E9D71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EE4D7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1E0D6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FEF53AB"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B40EA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73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A3F17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1 062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7259C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1 107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EB56C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1 107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6CD33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1 107</w:t>
            </w:r>
          </w:p>
        </w:tc>
      </w:tr>
    </w:tbl>
    <w:p w14:paraId="4B69C8E6"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Vzdelávacie aktivity a samotné vyučovanie žiakov prebieha v školách a školské jedálne sú ich súčasťou (ŠJ sú bez právnej subjektivity). Prostredníctvom týchto zariadení Bratislavský samosprávny kraj zabezpečuje stravovanie pre žiakov škôl. V tomto podprograme je rozpočtovaných 20 školských jedální. Pri tvorbe návrhu rozpočtu pre zariadenia školského stravovania na rok 2025 sme zohľadnili počet vydaných jedál.</w:t>
      </w:r>
    </w:p>
    <w:p w14:paraId="344CEA1C" w14:textId="77777777" w:rsidR="00A1066F" w:rsidRPr="00A1066F" w:rsidRDefault="00A1066F" w:rsidP="00A1066F">
      <w:pPr>
        <w:spacing w:before="100" w:beforeAutospacing="1" w:after="100" w:afterAutospacing="1" w:line="240" w:lineRule="auto"/>
        <w:outlineLvl w:val="2"/>
        <w:rPr>
          <w:rFonts w:ascii="Calibri" w:eastAsia="Times New Roman" w:hAnsi="Calibri" w:cs="Calibri"/>
          <w:b/>
          <w:bCs/>
          <w:sz w:val="27"/>
          <w:szCs w:val="27"/>
          <w:lang w:eastAsia="sk-SK"/>
        </w:rPr>
      </w:pPr>
      <w:r w:rsidRPr="00A1066F">
        <w:rPr>
          <w:rFonts w:ascii="Calibri" w:eastAsia="Times New Roman" w:hAnsi="Calibri" w:cs="Calibri"/>
          <w:b/>
          <w:bCs/>
          <w:color w:val="0000FF"/>
          <w:sz w:val="27"/>
          <w:szCs w:val="27"/>
          <w:lang w:eastAsia="sk-SK"/>
        </w:rPr>
        <w:t>Podprogram 8.5: Školské ubytovanie</w:t>
      </w:r>
      <w:r w:rsidRPr="00A1066F">
        <w:rPr>
          <w:rFonts w:ascii="Calibri" w:eastAsia="Times New Roman" w:hAnsi="Calibri" w:cs="Calibri"/>
          <w:b/>
          <w:bCs/>
          <w:sz w:val="27"/>
          <w:szCs w:val="27"/>
          <w:lang w:eastAsia="sk-SK"/>
        </w:rPr>
        <w:t xml:space="preserve"> </w:t>
      </w:r>
    </w:p>
    <w:p w14:paraId="05BE03C0"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Zámer: </w:t>
      </w:r>
      <w:r w:rsidRPr="00A1066F">
        <w:rPr>
          <w:rFonts w:ascii="Calibri" w:eastAsia="Times New Roman" w:hAnsi="Calibri" w:cs="Calibri"/>
          <w:sz w:val="24"/>
          <w:szCs w:val="24"/>
          <w:lang w:eastAsia="sk-SK"/>
        </w:rPr>
        <w:t>Financovanie v podprograme Školské ubytovanie sa riadi aktuálnym všeobecne záväzným nariadením, schváleným Zastupiteľstvom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7"/>
        <w:gridCol w:w="1448"/>
        <w:gridCol w:w="649"/>
        <w:gridCol w:w="1448"/>
        <w:gridCol w:w="664"/>
      </w:tblGrid>
      <w:tr w:rsidR="00A1066F" w:rsidRPr="00A1066F" w14:paraId="27F41936"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5A28C7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5F5BAF1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A77EDE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5EDB29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E9539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439016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9F6B63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B8221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B0066E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77AB1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EEC6E9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0185CF4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59A29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C0018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90877F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6 327 717,00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EFB86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5 992 569,00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81B6D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94,70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50EA5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6 549 179,00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3BE6D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109,29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12FBD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6 706 692,00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54B3E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102,41</w:t>
            </w:r>
            <w:r w:rsidRPr="00A1066F">
              <w:rPr>
                <w:rFonts w:ascii="Calibri" w:eastAsia="Times New Roman" w:hAnsi="Calibri" w:cs="Calibri"/>
                <w:sz w:val="24"/>
                <w:szCs w:val="24"/>
                <w:lang w:eastAsia="sk-SK"/>
              </w:rPr>
              <w:t xml:space="preserve"> </w:t>
            </w:r>
          </w:p>
        </w:tc>
      </w:tr>
      <w:tr w:rsidR="00A1066F" w:rsidRPr="00A1066F" w14:paraId="45F4171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6D990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94914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9596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6 327 717,00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A89D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5 992 569,00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9EAD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94,70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6A72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6 549 179,00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BD662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109,29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04DF2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6 706 692,00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F2B41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102,41</w:t>
            </w:r>
            <w:r w:rsidRPr="00A1066F">
              <w:rPr>
                <w:rFonts w:ascii="Calibri" w:eastAsia="Times New Roman" w:hAnsi="Calibri" w:cs="Calibri"/>
                <w:sz w:val="24"/>
                <w:szCs w:val="24"/>
                <w:lang w:eastAsia="sk-SK"/>
              </w:rPr>
              <w:t xml:space="preserve"> </w:t>
            </w:r>
          </w:p>
        </w:tc>
      </w:tr>
      <w:tr w:rsidR="00A1066F" w:rsidRPr="00A1066F" w14:paraId="60BE45C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275E3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575EE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E0400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2 045 409,00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04EEE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2 216 244,00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D4F2E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108,35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C9F2B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2 246 244,00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B71B58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101,35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4E658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2 276 244,00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E9978D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101,34</w:t>
            </w:r>
            <w:r w:rsidRPr="00A1066F">
              <w:rPr>
                <w:rFonts w:ascii="Calibri" w:eastAsia="Times New Roman" w:hAnsi="Calibri" w:cs="Calibri"/>
                <w:sz w:val="24"/>
                <w:szCs w:val="24"/>
                <w:lang w:eastAsia="sk-SK"/>
              </w:rPr>
              <w:t xml:space="preserve"> </w:t>
            </w:r>
          </w:p>
        </w:tc>
      </w:tr>
      <w:tr w:rsidR="00A1066F" w:rsidRPr="00A1066F" w14:paraId="33A2C80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886DA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E3E25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B6EAD2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713 703,00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FF45AB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789 931,00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C494A9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110,68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BF657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804 431,00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3A43B3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101,84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8023D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816 931,00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4EBC2F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101,55</w:t>
            </w:r>
            <w:r w:rsidRPr="00A1066F">
              <w:rPr>
                <w:rFonts w:ascii="Calibri" w:eastAsia="Times New Roman" w:hAnsi="Calibri" w:cs="Calibri"/>
                <w:sz w:val="24"/>
                <w:szCs w:val="24"/>
                <w:lang w:eastAsia="sk-SK"/>
              </w:rPr>
              <w:t xml:space="preserve"> </w:t>
            </w:r>
          </w:p>
        </w:tc>
      </w:tr>
      <w:tr w:rsidR="00A1066F" w:rsidRPr="00A1066F" w14:paraId="0F23A3F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DFC58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1A891F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F5BCF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1 650 720,00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5EA3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1 930 218,00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9C27E6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116,93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790D9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1 974 718,00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00A31B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102,31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222229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2 010 528,00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29668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101,81</w:t>
            </w:r>
            <w:r w:rsidRPr="00A1066F">
              <w:rPr>
                <w:rFonts w:ascii="Calibri" w:eastAsia="Times New Roman" w:hAnsi="Calibri" w:cs="Calibri"/>
                <w:sz w:val="24"/>
                <w:szCs w:val="24"/>
                <w:lang w:eastAsia="sk-SK"/>
              </w:rPr>
              <w:t xml:space="preserve"> </w:t>
            </w:r>
          </w:p>
        </w:tc>
      </w:tr>
      <w:tr w:rsidR="00A1066F" w:rsidRPr="00A1066F" w14:paraId="320B437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55AC9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CA2A3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C25D4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1 917 885,00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80D9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1 056 176,00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91223B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55,07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F1761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1 523 786,00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54CB3F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144,27</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A1C40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1 602 989,00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AE9451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105,20</w:t>
            </w:r>
            <w:r w:rsidRPr="00A1066F">
              <w:rPr>
                <w:rFonts w:ascii="Calibri" w:eastAsia="Times New Roman" w:hAnsi="Calibri" w:cs="Calibri"/>
                <w:sz w:val="24"/>
                <w:szCs w:val="24"/>
                <w:lang w:eastAsia="sk-SK"/>
              </w:rPr>
              <w:t xml:space="preserve"> </w:t>
            </w:r>
          </w:p>
        </w:tc>
      </w:tr>
    </w:tbl>
    <w:p w14:paraId="7527FF19"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75"/>
        <w:gridCol w:w="1565"/>
        <w:gridCol w:w="1965"/>
        <w:gridCol w:w="1965"/>
        <w:gridCol w:w="1980"/>
      </w:tblGrid>
      <w:tr w:rsidR="00A1066F" w:rsidRPr="00A1066F" w14:paraId="0AD326F8"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725E3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96234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Odbor školstva, mládeže a športu</w:t>
            </w:r>
          </w:p>
        </w:tc>
      </w:tr>
      <w:tr w:rsidR="00A1066F" w:rsidRPr="00A1066F" w14:paraId="711B4901"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8AADF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40CD9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ubytovacie služby pre žiakov základných a stredných škôl</w:t>
            </w:r>
          </w:p>
        </w:tc>
      </w:tr>
      <w:tr w:rsidR="00A1066F" w:rsidRPr="00A1066F" w14:paraId="3CC0602D"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CCABF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4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ED0AB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ubytovaných žiakov v školských internátoch spolu za rok</w:t>
            </w:r>
          </w:p>
        </w:tc>
      </w:tr>
      <w:tr w:rsidR="00A1066F" w:rsidRPr="00A1066F" w14:paraId="4BBE7F9B"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366E7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74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37EBE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6294C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F25A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7A5FE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3A9EF70B" w14:textId="77777777" w:rsidTr="007468A0">
        <w:trPr>
          <w:tblCellSpacing w:w="15" w:type="dxa"/>
        </w:trPr>
        <w:tc>
          <w:tcPr>
            <w:tcW w:w="141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3230D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74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8909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2 256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3828E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2 151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85AE5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2 151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7CF3B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2 151</w:t>
            </w:r>
          </w:p>
        </w:tc>
      </w:tr>
    </w:tbl>
    <w:p w14:paraId="7F783DFB"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 xml:space="preserve">Komentár: </w:t>
      </w:r>
      <w:r w:rsidRPr="00A1066F">
        <w:rPr>
          <w:rFonts w:ascii="Calibri" w:eastAsia="Times New Roman" w:hAnsi="Calibri" w:cs="Calibri"/>
          <w:sz w:val="24"/>
          <w:szCs w:val="24"/>
          <w:lang w:eastAsia="sk-SK"/>
        </w:rPr>
        <w:t xml:space="preserve">Žiaci umiestnení v školách v zriaďovateľskej pôsobnosti Bratislavského samosprávneho kraja sú nielen z okolia Bratislavy, ale aj z ostatných krajov Slovenska, preto je nutné pre nich zabezpečiť ubytovanie a financovať tieto školské zariadenia. Úlohou školských internátov je aj zabezpečenie </w:t>
      </w:r>
      <w:proofErr w:type="spellStart"/>
      <w:r w:rsidRPr="00A1066F">
        <w:rPr>
          <w:rFonts w:ascii="Calibri" w:eastAsia="Times New Roman" w:hAnsi="Calibri" w:cs="Calibri"/>
          <w:sz w:val="24"/>
          <w:szCs w:val="24"/>
          <w:lang w:eastAsia="sk-SK"/>
        </w:rPr>
        <w:t>mimovyučovacích</w:t>
      </w:r>
      <w:proofErr w:type="spellEnd"/>
      <w:r w:rsidRPr="00A1066F">
        <w:rPr>
          <w:rFonts w:ascii="Calibri" w:eastAsia="Times New Roman" w:hAnsi="Calibri" w:cs="Calibri"/>
          <w:sz w:val="24"/>
          <w:szCs w:val="24"/>
          <w:lang w:eastAsia="sk-SK"/>
        </w:rPr>
        <w:t xml:space="preserve"> aktivít pre žiakov. V tomto podprograme sú rozpočtované finančné prostriedky pre 12 školských internátov, z toho ŠI pri SOŠ chemická vo Vlčom hrdle zahájil činnosť od 1.1.2024. Merateľným ukazovateľom všetkých prvkov tohto podprogramu je počet ubytovaných žiakov v školských internátoch, uvedený v štatistickom výkaze o školskom internáte - </w:t>
      </w:r>
      <w:proofErr w:type="spellStart"/>
      <w:r w:rsidRPr="00A1066F">
        <w:rPr>
          <w:rFonts w:ascii="Calibri" w:eastAsia="Times New Roman" w:hAnsi="Calibri" w:cs="Calibri"/>
          <w:sz w:val="24"/>
          <w:szCs w:val="24"/>
          <w:lang w:eastAsia="sk-SK"/>
        </w:rPr>
        <w:t>Škol</w:t>
      </w:r>
      <w:proofErr w:type="spellEnd"/>
      <w:r w:rsidRPr="00A1066F">
        <w:rPr>
          <w:rFonts w:ascii="Calibri" w:eastAsia="Times New Roman" w:hAnsi="Calibri" w:cs="Calibri"/>
          <w:sz w:val="24"/>
          <w:szCs w:val="24"/>
          <w:lang w:eastAsia="sk-SK"/>
        </w:rPr>
        <w:t xml:space="preserve"> 19-01 k 15.9.2024.</w:t>
      </w:r>
    </w:p>
    <w:p w14:paraId="42EEAFFC" w14:textId="77777777" w:rsidR="00A1066F" w:rsidRPr="00A1066F" w:rsidRDefault="00A1066F" w:rsidP="00A1066F">
      <w:pPr>
        <w:spacing w:before="100" w:beforeAutospacing="1" w:after="100" w:afterAutospacing="1" w:line="240" w:lineRule="auto"/>
        <w:outlineLvl w:val="2"/>
        <w:rPr>
          <w:rFonts w:ascii="Calibri" w:eastAsia="Times New Roman" w:hAnsi="Calibri" w:cs="Calibri"/>
          <w:b/>
          <w:bCs/>
          <w:sz w:val="27"/>
          <w:szCs w:val="27"/>
          <w:lang w:eastAsia="sk-SK"/>
        </w:rPr>
      </w:pPr>
      <w:r w:rsidRPr="00A1066F">
        <w:rPr>
          <w:rFonts w:ascii="Calibri" w:eastAsia="Times New Roman" w:hAnsi="Calibri" w:cs="Calibri"/>
          <w:b/>
          <w:bCs/>
          <w:color w:val="0000FF"/>
          <w:sz w:val="27"/>
          <w:szCs w:val="27"/>
          <w:lang w:eastAsia="sk-SK"/>
        </w:rPr>
        <w:t>Podprogram 8.6: Voľnočasové aktivity</w:t>
      </w:r>
      <w:r w:rsidRPr="00A1066F">
        <w:rPr>
          <w:rFonts w:ascii="Calibri" w:eastAsia="Times New Roman" w:hAnsi="Calibri" w:cs="Calibri"/>
          <w:b/>
          <w:bCs/>
          <w:sz w:val="27"/>
          <w:szCs w:val="27"/>
          <w:lang w:eastAsia="sk-SK"/>
        </w:rPr>
        <w:t xml:space="preserve"> </w:t>
      </w:r>
    </w:p>
    <w:p w14:paraId="59E21C4E"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Zámer: </w:t>
      </w:r>
      <w:r w:rsidRPr="00A1066F">
        <w:rPr>
          <w:rFonts w:ascii="Calibri" w:eastAsia="Times New Roman" w:hAnsi="Calibri" w:cs="Calibri"/>
          <w:sz w:val="24"/>
          <w:szCs w:val="24"/>
          <w:lang w:eastAsia="sk-SK"/>
        </w:rPr>
        <w:t>Financovanie zmysluplného využitia voľného času v podprograme Voľnočasové aktivity sa riadi aktuálnym všeobecne záväzným nariadením, schváleným Zastupiteľstvom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5"/>
        <w:gridCol w:w="2053"/>
        <w:gridCol w:w="1493"/>
        <w:gridCol w:w="1479"/>
        <w:gridCol w:w="647"/>
        <w:gridCol w:w="1480"/>
        <w:gridCol w:w="649"/>
        <w:gridCol w:w="1480"/>
        <w:gridCol w:w="664"/>
      </w:tblGrid>
      <w:tr w:rsidR="00A1066F" w:rsidRPr="00A1066F" w14:paraId="7D4BC6E7"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264BA4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265C378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F1A8F3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98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F42DA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73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A8769B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7F0088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9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E83AB2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C4928D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DB1ADA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460CEA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0E5438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6103C96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CA492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9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65F9B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73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2AE94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2 951 901,00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44415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2 852 372,00</w:t>
            </w:r>
            <w:r w:rsidRPr="00A1066F">
              <w:rPr>
                <w:rFonts w:ascii="Calibri" w:eastAsia="Times New Roman" w:hAnsi="Calibri" w:cs="Calibri"/>
                <w:sz w:val="24"/>
                <w:szCs w:val="24"/>
                <w:lang w:eastAsia="sk-SK"/>
              </w:rPr>
              <w:t xml:space="preserve"> </w:t>
            </w:r>
          </w:p>
        </w:tc>
        <w:tc>
          <w:tcPr>
            <w:tcW w:w="29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8BFD8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96,63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88EF3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3 251 036,00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4EEB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113,98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BCB03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3 678 211,00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C224A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113,14</w:t>
            </w:r>
            <w:r w:rsidRPr="00A1066F">
              <w:rPr>
                <w:rFonts w:ascii="Calibri" w:eastAsia="Times New Roman" w:hAnsi="Calibri" w:cs="Calibri"/>
                <w:sz w:val="24"/>
                <w:szCs w:val="24"/>
                <w:lang w:eastAsia="sk-SK"/>
              </w:rPr>
              <w:t xml:space="preserve"> </w:t>
            </w:r>
          </w:p>
        </w:tc>
      </w:tr>
      <w:tr w:rsidR="00A1066F" w:rsidRPr="00A1066F" w14:paraId="18106C0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51F52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9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37456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73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6EE8B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2 951 901,00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E1D1C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2 852 372,00</w:t>
            </w:r>
            <w:r w:rsidRPr="00A1066F">
              <w:rPr>
                <w:rFonts w:ascii="Calibri" w:eastAsia="Times New Roman" w:hAnsi="Calibri" w:cs="Calibri"/>
                <w:sz w:val="24"/>
                <w:szCs w:val="24"/>
                <w:lang w:eastAsia="sk-SK"/>
              </w:rPr>
              <w:t xml:space="preserve"> </w:t>
            </w:r>
          </w:p>
        </w:tc>
        <w:tc>
          <w:tcPr>
            <w:tcW w:w="29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3A76D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96,63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FEE207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3 251 036,00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6194C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113,98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95A52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3 678 211,00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EEBE8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113,14</w:t>
            </w:r>
            <w:r w:rsidRPr="00A1066F">
              <w:rPr>
                <w:rFonts w:ascii="Calibri" w:eastAsia="Times New Roman" w:hAnsi="Calibri" w:cs="Calibri"/>
                <w:sz w:val="24"/>
                <w:szCs w:val="24"/>
                <w:lang w:eastAsia="sk-SK"/>
              </w:rPr>
              <w:t xml:space="preserve"> </w:t>
            </w:r>
          </w:p>
        </w:tc>
      </w:tr>
      <w:tr w:rsidR="00A1066F" w:rsidRPr="00A1066F" w14:paraId="5F3220F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0D35B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985" w:type="pct"/>
            <w:tcBorders>
              <w:top w:val="outset" w:sz="6" w:space="0" w:color="000000"/>
              <w:left w:val="outset" w:sz="6" w:space="0" w:color="000000"/>
              <w:bottom w:val="outset" w:sz="6" w:space="0" w:color="000000"/>
              <w:right w:val="outset" w:sz="6" w:space="0" w:color="000000"/>
            </w:tcBorders>
            <w:vAlign w:val="center"/>
            <w:hideMark/>
          </w:tcPr>
          <w:p w14:paraId="1AD279E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731" w:type="pct"/>
            <w:tcBorders>
              <w:top w:val="outset" w:sz="6" w:space="0" w:color="000000"/>
              <w:left w:val="outset" w:sz="6" w:space="0" w:color="000000"/>
              <w:bottom w:val="outset" w:sz="6" w:space="0" w:color="000000"/>
              <w:right w:val="outset" w:sz="6" w:space="0" w:color="000000"/>
            </w:tcBorders>
            <w:noWrap/>
            <w:vAlign w:val="center"/>
            <w:hideMark/>
          </w:tcPr>
          <w:p w14:paraId="179B9D9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684 544,00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FA4BD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744 100,00</w:t>
            </w:r>
            <w:r w:rsidRPr="00A1066F">
              <w:rPr>
                <w:rFonts w:ascii="Calibri" w:eastAsia="Times New Roman" w:hAnsi="Calibri" w:cs="Calibri"/>
                <w:sz w:val="24"/>
                <w:szCs w:val="24"/>
                <w:lang w:eastAsia="sk-SK"/>
              </w:rPr>
              <w:t xml:space="preserve"> </w:t>
            </w:r>
          </w:p>
        </w:tc>
        <w:tc>
          <w:tcPr>
            <w:tcW w:w="291" w:type="pct"/>
            <w:tcBorders>
              <w:top w:val="outset" w:sz="6" w:space="0" w:color="000000"/>
              <w:left w:val="outset" w:sz="6" w:space="0" w:color="000000"/>
              <w:bottom w:val="outset" w:sz="6" w:space="0" w:color="000000"/>
              <w:right w:val="outset" w:sz="6" w:space="0" w:color="000000"/>
            </w:tcBorders>
            <w:noWrap/>
            <w:vAlign w:val="center"/>
            <w:hideMark/>
          </w:tcPr>
          <w:p w14:paraId="683BDBE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108,70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702F9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780 100,00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79DEABA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104,84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6C839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823 300,00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5401AC0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105,54</w:t>
            </w:r>
            <w:r w:rsidRPr="00A1066F">
              <w:rPr>
                <w:rFonts w:ascii="Calibri" w:eastAsia="Times New Roman" w:hAnsi="Calibri" w:cs="Calibri"/>
                <w:sz w:val="24"/>
                <w:szCs w:val="24"/>
                <w:lang w:eastAsia="sk-SK"/>
              </w:rPr>
              <w:t xml:space="preserve"> </w:t>
            </w:r>
          </w:p>
        </w:tc>
      </w:tr>
      <w:tr w:rsidR="00A1066F" w:rsidRPr="00A1066F" w14:paraId="52087AD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28D24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985" w:type="pct"/>
            <w:tcBorders>
              <w:top w:val="outset" w:sz="6" w:space="0" w:color="000000"/>
              <w:left w:val="outset" w:sz="6" w:space="0" w:color="000000"/>
              <w:bottom w:val="outset" w:sz="6" w:space="0" w:color="000000"/>
              <w:right w:val="outset" w:sz="6" w:space="0" w:color="000000"/>
            </w:tcBorders>
            <w:vAlign w:val="center"/>
            <w:hideMark/>
          </w:tcPr>
          <w:p w14:paraId="36176FA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731" w:type="pct"/>
            <w:tcBorders>
              <w:top w:val="outset" w:sz="6" w:space="0" w:color="000000"/>
              <w:left w:val="outset" w:sz="6" w:space="0" w:color="000000"/>
              <w:bottom w:val="outset" w:sz="6" w:space="0" w:color="000000"/>
              <w:right w:val="outset" w:sz="6" w:space="0" w:color="000000"/>
            </w:tcBorders>
            <w:noWrap/>
            <w:vAlign w:val="center"/>
            <w:hideMark/>
          </w:tcPr>
          <w:p w14:paraId="3C23BB5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248 652,00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1D7496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245 800,00</w:t>
            </w:r>
            <w:r w:rsidRPr="00A1066F">
              <w:rPr>
                <w:rFonts w:ascii="Calibri" w:eastAsia="Times New Roman" w:hAnsi="Calibri" w:cs="Calibri"/>
                <w:sz w:val="24"/>
                <w:szCs w:val="24"/>
                <w:lang w:eastAsia="sk-SK"/>
              </w:rPr>
              <w:t xml:space="preserve"> </w:t>
            </w:r>
          </w:p>
        </w:tc>
        <w:tc>
          <w:tcPr>
            <w:tcW w:w="291" w:type="pct"/>
            <w:tcBorders>
              <w:top w:val="outset" w:sz="6" w:space="0" w:color="000000"/>
              <w:left w:val="outset" w:sz="6" w:space="0" w:color="000000"/>
              <w:bottom w:val="outset" w:sz="6" w:space="0" w:color="000000"/>
              <w:right w:val="outset" w:sz="6" w:space="0" w:color="000000"/>
            </w:tcBorders>
            <w:noWrap/>
            <w:vAlign w:val="center"/>
            <w:hideMark/>
          </w:tcPr>
          <w:p w14:paraId="7B28E3B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98,85</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B4CCC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259 900,00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351FE9E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105,74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5CD1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277 000,00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17E1F1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106,58</w:t>
            </w:r>
            <w:r w:rsidRPr="00A1066F">
              <w:rPr>
                <w:rFonts w:ascii="Calibri" w:eastAsia="Times New Roman" w:hAnsi="Calibri" w:cs="Calibri"/>
                <w:sz w:val="24"/>
                <w:szCs w:val="24"/>
                <w:lang w:eastAsia="sk-SK"/>
              </w:rPr>
              <w:t xml:space="preserve"> </w:t>
            </w:r>
          </w:p>
        </w:tc>
      </w:tr>
      <w:tr w:rsidR="00A1066F" w:rsidRPr="00A1066F" w14:paraId="0765B37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5E200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985" w:type="pct"/>
            <w:tcBorders>
              <w:top w:val="outset" w:sz="6" w:space="0" w:color="000000"/>
              <w:left w:val="outset" w:sz="6" w:space="0" w:color="000000"/>
              <w:bottom w:val="outset" w:sz="6" w:space="0" w:color="000000"/>
              <w:right w:val="outset" w:sz="6" w:space="0" w:color="000000"/>
            </w:tcBorders>
            <w:vAlign w:val="center"/>
            <w:hideMark/>
          </w:tcPr>
          <w:p w14:paraId="77FF07F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731" w:type="pct"/>
            <w:tcBorders>
              <w:top w:val="outset" w:sz="6" w:space="0" w:color="000000"/>
              <w:left w:val="outset" w:sz="6" w:space="0" w:color="000000"/>
              <w:bottom w:val="outset" w:sz="6" w:space="0" w:color="000000"/>
              <w:right w:val="outset" w:sz="6" w:space="0" w:color="000000"/>
            </w:tcBorders>
            <w:noWrap/>
            <w:vAlign w:val="center"/>
            <w:hideMark/>
          </w:tcPr>
          <w:p w14:paraId="0DE1E97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245 100,00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C59C5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227 900,00</w:t>
            </w:r>
            <w:r w:rsidRPr="00A1066F">
              <w:rPr>
                <w:rFonts w:ascii="Calibri" w:eastAsia="Times New Roman" w:hAnsi="Calibri" w:cs="Calibri"/>
                <w:sz w:val="24"/>
                <w:szCs w:val="24"/>
                <w:lang w:eastAsia="sk-SK"/>
              </w:rPr>
              <w:t xml:space="preserve"> </w:t>
            </w:r>
          </w:p>
        </w:tc>
        <w:tc>
          <w:tcPr>
            <w:tcW w:w="291" w:type="pct"/>
            <w:tcBorders>
              <w:top w:val="outset" w:sz="6" w:space="0" w:color="000000"/>
              <w:left w:val="outset" w:sz="6" w:space="0" w:color="000000"/>
              <w:bottom w:val="outset" w:sz="6" w:space="0" w:color="000000"/>
              <w:right w:val="outset" w:sz="6" w:space="0" w:color="000000"/>
            </w:tcBorders>
            <w:noWrap/>
            <w:vAlign w:val="center"/>
            <w:hideMark/>
          </w:tcPr>
          <w:p w14:paraId="6E0BC55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92,98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9D9D1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237 900,00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3DA0BED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104,39</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C63A7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249 900,00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01BE94F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105,04</w:t>
            </w:r>
            <w:r w:rsidRPr="00A1066F">
              <w:rPr>
                <w:rFonts w:ascii="Calibri" w:eastAsia="Times New Roman" w:hAnsi="Calibri" w:cs="Calibri"/>
                <w:sz w:val="24"/>
                <w:szCs w:val="24"/>
                <w:lang w:eastAsia="sk-SK"/>
              </w:rPr>
              <w:t xml:space="preserve"> </w:t>
            </w:r>
          </w:p>
        </w:tc>
      </w:tr>
      <w:tr w:rsidR="00A1066F" w:rsidRPr="00A1066F" w14:paraId="33EC977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A330C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985" w:type="pct"/>
            <w:tcBorders>
              <w:top w:val="outset" w:sz="6" w:space="0" w:color="000000"/>
              <w:left w:val="outset" w:sz="6" w:space="0" w:color="000000"/>
              <w:bottom w:val="outset" w:sz="6" w:space="0" w:color="000000"/>
              <w:right w:val="outset" w:sz="6" w:space="0" w:color="000000"/>
            </w:tcBorders>
            <w:vAlign w:val="center"/>
            <w:hideMark/>
          </w:tcPr>
          <w:p w14:paraId="0694255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731" w:type="pct"/>
            <w:tcBorders>
              <w:top w:val="outset" w:sz="6" w:space="0" w:color="000000"/>
              <w:left w:val="outset" w:sz="6" w:space="0" w:color="000000"/>
              <w:bottom w:val="outset" w:sz="6" w:space="0" w:color="000000"/>
              <w:right w:val="outset" w:sz="6" w:space="0" w:color="000000"/>
            </w:tcBorders>
            <w:noWrap/>
            <w:vAlign w:val="center"/>
            <w:hideMark/>
          </w:tcPr>
          <w:p w14:paraId="7C6A703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1 773 605,00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A5F215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1 634 572,00</w:t>
            </w:r>
            <w:r w:rsidRPr="00A1066F">
              <w:rPr>
                <w:rFonts w:ascii="Calibri" w:eastAsia="Times New Roman" w:hAnsi="Calibri" w:cs="Calibri"/>
                <w:sz w:val="24"/>
                <w:szCs w:val="24"/>
                <w:lang w:eastAsia="sk-SK"/>
              </w:rPr>
              <w:t xml:space="preserve"> </w:t>
            </w:r>
          </w:p>
        </w:tc>
        <w:tc>
          <w:tcPr>
            <w:tcW w:w="291" w:type="pct"/>
            <w:tcBorders>
              <w:top w:val="outset" w:sz="6" w:space="0" w:color="000000"/>
              <w:left w:val="outset" w:sz="6" w:space="0" w:color="000000"/>
              <w:bottom w:val="outset" w:sz="6" w:space="0" w:color="000000"/>
              <w:right w:val="outset" w:sz="6" w:space="0" w:color="000000"/>
            </w:tcBorders>
            <w:noWrap/>
            <w:vAlign w:val="center"/>
            <w:hideMark/>
          </w:tcPr>
          <w:p w14:paraId="4E8E746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92,16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14419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1 973 136,00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06247A0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120,71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6AE9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2 328 011,00</w:t>
            </w:r>
            <w:r w:rsidRPr="00A1066F">
              <w:rPr>
                <w:rFonts w:ascii="Calibri" w:eastAsia="Times New Roman" w:hAnsi="Calibri" w:cs="Calibri"/>
                <w:sz w:val="24"/>
                <w:szCs w:val="24"/>
                <w:lang w:eastAsia="sk-SK"/>
              </w:rPr>
              <w:t xml:space="preserve"> </w:t>
            </w:r>
          </w:p>
        </w:tc>
        <w:tc>
          <w:tcPr>
            <w:tcW w:w="292" w:type="pct"/>
            <w:tcBorders>
              <w:top w:val="outset" w:sz="6" w:space="0" w:color="000000"/>
              <w:left w:val="outset" w:sz="6" w:space="0" w:color="000000"/>
              <w:bottom w:val="outset" w:sz="6" w:space="0" w:color="000000"/>
              <w:right w:val="outset" w:sz="6" w:space="0" w:color="000000"/>
            </w:tcBorders>
            <w:noWrap/>
            <w:vAlign w:val="center"/>
            <w:hideMark/>
          </w:tcPr>
          <w:p w14:paraId="608A47A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117,99</w:t>
            </w:r>
            <w:r w:rsidRPr="00A1066F">
              <w:rPr>
                <w:rFonts w:ascii="Calibri" w:eastAsia="Times New Roman" w:hAnsi="Calibri" w:cs="Calibri"/>
                <w:sz w:val="24"/>
                <w:szCs w:val="24"/>
                <w:lang w:eastAsia="sk-SK"/>
              </w:rPr>
              <w:t xml:space="preserve"> </w:t>
            </w:r>
          </w:p>
        </w:tc>
      </w:tr>
    </w:tbl>
    <w:p w14:paraId="167B34A7"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4998" w:type="pct"/>
        <w:tblCellSpacing w:w="15" w:type="dxa"/>
        <w:tblInd w:w="6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98"/>
        <w:gridCol w:w="1757"/>
        <w:gridCol w:w="1917"/>
        <w:gridCol w:w="2079"/>
        <w:gridCol w:w="2195"/>
      </w:tblGrid>
      <w:tr w:rsidR="00A1066F" w:rsidRPr="00A1066F" w14:paraId="3F75D6CC" w14:textId="77777777" w:rsidTr="007468A0">
        <w:trPr>
          <w:trHeight w:val="321"/>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9FB9A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77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A1B3A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Odbor školstva, mládeže a športu</w:t>
            </w:r>
            <w:r w:rsidRPr="00A1066F">
              <w:rPr>
                <w:rFonts w:ascii="Calibri" w:eastAsia="Times New Roman" w:hAnsi="Calibri" w:cs="Calibri"/>
                <w:sz w:val="24"/>
                <w:szCs w:val="24"/>
                <w:lang w:eastAsia="sk-SK"/>
              </w:rPr>
              <w:br/>
            </w:r>
          </w:p>
        </w:tc>
      </w:tr>
      <w:tr w:rsidR="00A1066F" w:rsidRPr="00A1066F" w14:paraId="390473EC" w14:textId="77777777" w:rsidTr="007468A0">
        <w:trPr>
          <w:trHeight w:val="627"/>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BE34B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77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FA0E53" w14:textId="77777777" w:rsidR="00A1066F" w:rsidRPr="00A1066F" w:rsidRDefault="00A1066F" w:rsidP="00A1066F">
            <w:pPr>
              <w:spacing w:after="0"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možnosti voľno-časových aktivít pre deti a podporu jazykového vzdelávania</w:t>
            </w:r>
          </w:p>
        </w:tc>
      </w:tr>
      <w:tr w:rsidR="00A1066F" w:rsidRPr="00A1066F" w14:paraId="51E6E192" w14:textId="77777777" w:rsidTr="007468A0">
        <w:trPr>
          <w:trHeight w:val="305"/>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E0028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77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CE783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detí, využívajúcich služby školských klubov detí spolu za rok</w:t>
            </w:r>
          </w:p>
        </w:tc>
      </w:tr>
      <w:tr w:rsidR="00A1066F" w:rsidRPr="00A1066F" w14:paraId="50877D38" w14:textId="77777777" w:rsidTr="007468A0">
        <w:trPr>
          <w:trHeight w:val="321"/>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68872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162A0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572B3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99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22445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99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A553A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E035656" w14:textId="77777777" w:rsidTr="007468A0">
        <w:trPr>
          <w:trHeight w:val="305"/>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DBACB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7E3E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754 </w:t>
            </w:r>
          </w:p>
        </w:tc>
        <w:tc>
          <w:tcPr>
            <w:tcW w:w="9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241FAF" w14:textId="77777777" w:rsidR="00A1066F" w:rsidRPr="00A1066F" w:rsidRDefault="00A1066F" w:rsidP="00A1066F">
            <w:pPr>
              <w:spacing w:after="0" w:line="240" w:lineRule="auto"/>
              <w:jc w:val="center"/>
              <w:rPr>
                <w:rFonts w:ascii="Calibri" w:eastAsia="Times New Roman" w:hAnsi="Calibri" w:cs="Calibri"/>
                <w:b/>
                <w:bCs/>
                <w:sz w:val="24"/>
                <w:szCs w:val="24"/>
                <w:lang w:eastAsia="sk-SK"/>
              </w:rPr>
            </w:pPr>
            <w:r w:rsidRPr="00A1066F">
              <w:rPr>
                <w:rFonts w:ascii="Calibri" w:eastAsia="Times New Roman" w:hAnsi="Calibri" w:cs="Calibri"/>
                <w:b/>
                <w:bCs/>
                <w:sz w:val="24"/>
                <w:szCs w:val="24"/>
                <w:lang w:eastAsia="sk-SK"/>
              </w:rPr>
              <w:t>748</w:t>
            </w:r>
          </w:p>
        </w:tc>
        <w:tc>
          <w:tcPr>
            <w:tcW w:w="99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E0668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748</w:t>
            </w:r>
          </w:p>
        </w:tc>
        <w:tc>
          <w:tcPr>
            <w:tcW w:w="99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C9F68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748 </w:t>
            </w:r>
          </w:p>
        </w:tc>
      </w:tr>
      <w:tr w:rsidR="00A1066F" w:rsidRPr="00A1066F" w14:paraId="0A3E808C" w14:textId="77777777" w:rsidTr="007468A0">
        <w:trPr>
          <w:trHeight w:val="321"/>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tcPr>
          <w:p w14:paraId="3113EB33" w14:textId="77777777" w:rsidR="00A1066F" w:rsidRPr="00A1066F" w:rsidRDefault="00A1066F" w:rsidP="00A1066F">
            <w:pPr>
              <w:spacing w:after="0" w:line="240" w:lineRule="auto"/>
              <w:rPr>
                <w:rFonts w:ascii="Calibri" w:eastAsia="Times New Roman" w:hAnsi="Calibri" w:cs="Calibri"/>
                <w:b/>
                <w:bCs/>
                <w:sz w:val="24"/>
                <w:szCs w:val="24"/>
                <w:lang w:eastAsia="sk-SK"/>
              </w:rPr>
            </w:pPr>
            <w:r w:rsidRPr="00A1066F">
              <w:rPr>
                <w:rFonts w:ascii="Calibri" w:eastAsia="Times New Roman" w:hAnsi="Calibri" w:cs="Calibri"/>
                <w:b/>
                <w:bCs/>
                <w:sz w:val="24"/>
                <w:szCs w:val="24"/>
                <w:lang w:eastAsia="sk-SK"/>
              </w:rPr>
              <w:t>Cieľ</w:t>
            </w:r>
          </w:p>
        </w:tc>
        <w:tc>
          <w:tcPr>
            <w:tcW w:w="377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6432C1B7" w14:textId="77777777" w:rsidR="00A1066F" w:rsidRPr="00A1066F" w:rsidRDefault="00A1066F" w:rsidP="00A1066F">
            <w:pPr>
              <w:spacing w:after="0" w:line="240" w:lineRule="auto"/>
              <w:rPr>
                <w:rFonts w:ascii="Calibri" w:eastAsia="Times New Roman" w:hAnsi="Calibri" w:cs="Calibri"/>
                <w:b/>
                <w:bCs/>
                <w:sz w:val="24"/>
                <w:szCs w:val="24"/>
                <w:lang w:eastAsia="sk-SK"/>
              </w:rPr>
            </w:pPr>
            <w:r w:rsidRPr="00A1066F">
              <w:rPr>
                <w:rFonts w:ascii="Calibri" w:eastAsia="Times New Roman" w:hAnsi="Calibri" w:cs="Calibri"/>
                <w:b/>
                <w:bCs/>
                <w:sz w:val="24"/>
                <w:szCs w:val="24"/>
                <w:lang w:eastAsia="sk-SK"/>
              </w:rPr>
              <w:t>Zabezpečiť podporu jazykového vzdelávania pre všetkých obyvateľov kraja</w:t>
            </w:r>
          </w:p>
        </w:tc>
      </w:tr>
      <w:tr w:rsidR="00A1066F" w:rsidRPr="00A1066F" w14:paraId="01D56B49" w14:textId="77777777" w:rsidTr="007468A0">
        <w:trPr>
          <w:trHeight w:val="305"/>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D6200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77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97639E"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poslucháčov jazykových škôl spolu za rok</w:t>
            </w:r>
          </w:p>
        </w:tc>
      </w:tr>
      <w:tr w:rsidR="00A1066F" w:rsidRPr="00A1066F" w14:paraId="563D8393" w14:textId="77777777" w:rsidTr="007468A0">
        <w:trPr>
          <w:trHeight w:val="321"/>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817C8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940D6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D42E9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99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0B695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99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D3E67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570CF059" w14:textId="77777777" w:rsidTr="007468A0">
        <w:trPr>
          <w:trHeight w:val="305"/>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ED938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41052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2 941</w:t>
            </w:r>
          </w:p>
        </w:tc>
        <w:tc>
          <w:tcPr>
            <w:tcW w:w="9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6E4BC2" w14:textId="77777777" w:rsidR="00A1066F" w:rsidRPr="0069550B" w:rsidRDefault="00A1066F" w:rsidP="00A1066F">
            <w:pPr>
              <w:spacing w:after="0" w:line="240" w:lineRule="auto"/>
              <w:jc w:val="center"/>
              <w:rPr>
                <w:rFonts w:ascii="Calibri" w:eastAsia="Times New Roman" w:hAnsi="Calibri" w:cs="Calibri"/>
                <w:b/>
                <w:bCs/>
                <w:sz w:val="24"/>
                <w:szCs w:val="24"/>
                <w:lang w:eastAsia="sk-SK"/>
              </w:rPr>
            </w:pPr>
            <w:r w:rsidRPr="0069550B">
              <w:rPr>
                <w:rFonts w:ascii="Calibri" w:eastAsia="Times New Roman" w:hAnsi="Calibri" w:cs="Calibri"/>
                <w:b/>
                <w:bCs/>
                <w:sz w:val="24"/>
                <w:szCs w:val="24"/>
                <w:lang w:eastAsia="sk-SK"/>
              </w:rPr>
              <w:t>3 094</w:t>
            </w:r>
          </w:p>
        </w:tc>
        <w:tc>
          <w:tcPr>
            <w:tcW w:w="99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5D0E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3 094 </w:t>
            </w:r>
          </w:p>
        </w:tc>
        <w:tc>
          <w:tcPr>
            <w:tcW w:w="99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06A5A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3 094</w:t>
            </w:r>
          </w:p>
        </w:tc>
      </w:tr>
      <w:tr w:rsidR="00A1066F" w:rsidRPr="00A1066F" w14:paraId="647C71D3" w14:textId="77777777" w:rsidTr="007468A0">
        <w:trPr>
          <w:trHeight w:val="321"/>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tcPr>
          <w:p w14:paraId="266D5E86" w14:textId="77777777" w:rsidR="00A1066F" w:rsidRPr="00A1066F" w:rsidRDefault="00A1066F" w:rsidP="00A1066F">
            <w:pPr>
              <w:spacing w:after="0" w:line="240" w:lineRule="auto"/>
              <w:rPr>
                <w:rFonts w:ascii="Calibri" w:eastAsia="Times New Roman" w:hAnsi="Calibri" w:cs="Calibri"/>
                <w:b/>
                <w:bCs/>
                <w:sz w:val="24"/>
                <w:szCs w:val="24"/>
                <w:lang w:eastAsia="sk-SK"/>
              </w:rPr>
            </w:pPr>
            <w:r w:rsidRPr="00A1066F">
              <w:rPr>
                <w:rFonts w:ascii="Calibri" w:eastAsia="Times New Roman" w:hAnsi="Calibri" w:cs="Calibri"/>
                <w:b/>
                <w:bCs/>
                <w:sz w:val="24"/>
                <w:szCs w:val="24"/>
                <w:lang w:eastAsia="sk-SK"/>
              </w:rPr>
              <w:t>Cieľ</w:t>
            </w:r>
          </w:p>
        </w:tc>
        <w:tc>
          <w:tcPr>
            <w:tcW w:w="377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4CD00C80" w14:textId="77777777" w:rsidR="00A1066F" w:rsidRPr="00A1066F" w:rsidRDefault="00A1066F" w:rsidP="00A1066F">
            <w:pPr>
              <w:spacing w:after="0" w:line="240" w:lineRule="auto"/>
              <w:rPr>
                <w:rFonts w:ascii="Calibri" w:eastAsia="Times New Roman" w:hAnsi="Calibri" w:cs="Calibri"/>
                <w:b/>
                <w:bCs/>
                <w:sz w:val="24"/>
                <w:szCs w:val="24"/>
                <w:lang w:eastAsia="sk-SK"/>
              </w:rPr>
            </w:pPr>
            <w:r w:rsidRPr="00A1066F">
              <w:rPr>
                <w:rFonts w:ascii="Calibri" w:eastAsia="Times New Roman" w:hAnsi="Calibri" w:cs="Calibri"/>
                <w:b/>
                <w:bCs/>
                <w:sz w:val="24"/>
                <w:szCs w:val="24"/>
                <w:lang w:eastAsia="sk-SK"/>
              </w:rPr>
              <w:t>Zabezpečiť možnosť voľno-časových aktivít v centre voľného času</w:t>
            </w:r>
          </w:p>
        </w:tc>
      </w:tr>
      <w:tr w:rsidR="00A1066F" w:rsidRPr="00A1066F" w14:paraId="145C8DCD" w14:textId="77777777" w:rsidTr="007468A0">
        <w:trPr>
          <w:trHeight w:val="305"/>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27980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773"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FF048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využívajúcich služby centra voľného času spolu za rok</w:t>
            </w:r>
          </w:p>
        </w:tc>
      </w:tr>
      <w:tr w:rsidR="00A1066F" w:rsidRPr="00A1066F" w14:paraId="2F3E2A9F" w14:textId="77777777" w:rsidTr="007468A0">
        <w:trPr>
          <w:trHeight w:val="321"/>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B8A92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3DC8B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49A08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99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A0D7C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99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82BA9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0430833E" w14:textId="77777777" w:rsidTr="007468A0">
        <w:trPr>
          <w:trHeight w:val="305"/>
          <w:tblCellSpacing w:w="15" w:type="dxa"/>
        </w:trPr>
        <w:tc>
          <w:tcPr>
            <w:tcW w:w="1185"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F5ECD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3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8B5D6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150</w:t>
            </w:r>
          </w:p>
        </w:tc>
        <w:tc>
          <w:tcPr>
            <w:tcW w:w="911"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8B10E8" w14:textId="77777777" w:rsidR="00A1066F" w:rsidRPr="0069550B" w:rsidRDefault="00A1066F" w:rsidP="00A1066F">
            <w:pPr>
              <w:spacing w:after="0" w:line="240" w:lineRule="auto"/>
              <w:jc w:val="center"/>
              <w:rPr>
                <w:rFonts w:ascii="Calibri" w:eastAsia="Times New Roman" w:hAnsi="Calibri" w:cs="Calibri"/>
                <w:b/>
                <w:bCs/>
                <w:sz w:val="24"/>
                <w:szCs w:val="24"/>
                <w:lang w:eastAsia="sk-SK"/>
              </w:rPr>
            </w:pPr>
            <w:r w:rsidRPr="0069550B">
              <w:rPr>
                <w:rFonts w:ascii="Calibri" w:eastAsia="Times New Roman" w:hAnsi="Calibri" w:cs="Calibri"/>
                <w:b/>
                <w:bCs/>
                <w:sz w:val="24"/>
                <w:szCs w:val="24"/>
                <w:lang w:eastAsia="sk-SK"/>
              </w:rPr>
              <w:t>0</w:t>
            </w:r>
          </w:p>
        </w:tc>
        <w:tc>
          <w:tcPr>
            <w:tcW w:w="99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1481F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0</w:t>
            </w:r>
          </w:p>
        </w:tc>
        <w:tc>
          <w:tcPr>
            <w:tcW w:w="99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CB2AA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0</w:t>
            </w:r>
          </w:p>
        </w:tc>
      </w:tr>
    </w:tbl>
    <w:p w14:paraId="54279FF0"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Zabezpečenie výchovno-vzdelávacieho procesu v kraji nemožno obmedziť len na poskytovanie vzdelávania, ale je nevyhnutné poskytnúť aj voľnočasové aktivity, ktoré podporujú všestranný vývoj detí a mládeže. Účelom a zámerom tohto podprogramu je zabezpečiť práve tieto dôležité úlohy a vytvoriť podmienky pre zvyšovanie úrovne služieb poskytovaných v príslušných školských zariadeniach. V tomto podprograme sú rozpočtované finančné prostriedky pre štyri školské kluby detí a dve jazykové školy. Pri školských kluboch detí sa vychádza z merateľného ukazovateľa, ktorým je počet detí zapísaných do ŠKD, uvedený v štatistickom výkaze </w:t>
      </w:r>
      <w:proofErr w:type="spellStart"/>
      <w:r w:rsidRPr="00A1066F">
        <w:rPr>
          <w:rFonts w:ascii="Calibri" w:eastAsia="Times New Roman" w:hAnsi="Calibri" w:cs="Calibri"/>
          <w:sz w:val="24"/>
          <w:szCs w:val="24"/>
          <w:lang w:eastAsia="sk-SK"/>
        </w:rPr>
        <w:t>Škol</w:t>
      </w:r>
      <w:proofErr w:type="spellEnd"/>
      <w:r w:rsidRPr="00A1066F">
        <w:rPr>
          <w:rFonts w:ascii="Calibri" w:eastAsia="Times New Roman" w:hAnsi="Calibri" w:cs="Calibri"/>
          <w:sz w:val="24"/>
          <w:szCs w:val="24"/>
          <w:lang w:eastAsia="sk-SK"/>
        </w:rPr>
        <w:t xml:space="preserve"> 40-01 k 15.9.2024. Merateľný ukazovateľ pri jazykových školách je počet poslucháčov jazykových škôl, ktorí sú uvedení v štatistickom výkaze o JŠ - </w:t>
      </w:r>
      <w:proofErr w:type="spellStart"/>
      <w:r w:rsidRPr="00A1066F">
        <w:rPr>
          <w:rFonts w:ascii="Calibri" w:eastAsia="Times New Roman" w:hAnsi="Calibri" w:cs="Calibri"/>
          <w:sz w:val="24"/>
          <w:szCs w:val="24"/>
          <w:lang w:eastAsia="sk-SK"/>
        </w:rPr>
        <w:t>Škol</w:t>
      </w:r>
      <w:proofErr w:type="spellEnd"/>
      <w:r w:rsidRPr="00A1066F">
        <w:rPr>
          <w:rFonts w:ascii="Calibri" w:eastAsia="Times New Roman" w:hAnsi="Calibri" w:cs="Calibri"/>
          <w:sz w:val="24"/>
          <w:szCs w:val="24"/>
          <w:lang w:eastAsia="sk-SK"/>
        </w:rPr>
        <w:t xml:space="preserve"> 18-01 k 15.9.2024.</w:t>
      </w:r>
    </w:p>
    <w:p w14:paraId="0F2F9FCB" w14:textId="20BD0622" w:rsidR="00A1066F" w:rsidRPr="00A1066F" w:rsidRDefault="00A1066F" w:rsidP="00A1066F">
      <w:pPr>
        <w:spacing w:before="100" w:beforeAutospacing="1" w:after="100" w:afterAutospacing="1" w:line="240" w:lineRule="auto"/>
        <w:outlineLvl w:val="2"/>
        <w:rPr>
          <w:rFonts w:ascii="Calibri" w:eastAsia="Times New Roman" w:hAnsi="Calibri" w:cs="Calibri"/>
          <w:b/>
          <w:bCs/>
          <w:sz w:val="27"/>
          <w:szCs w:val="27"/>
          <w:lang w:eastAsia="sk-SK"/>
        </w:rPr>
      </w:pPr>
      <w:r w:rsidRPr="00A1066F">
        <w:rPr>
          <w:rFonts w:ascii="Calibri" w:eastAsia="Times New Roman" w:hAnsi="Calibri" w:cs="Calibri"/>
          <w:b/>
          <w:bCs/>
          <w:color w:val="0000FF"/>
          <w:sz w:val="27"/>
          <w:szCs w:val="27"/>
          <w:lang w:eastAsia="sk-SK"/>
        </w:rPr>
        <w:lastRenderedPageBreak/>
        <w:t>Podprogram 8.7: Ostatní zriaďovatelia JŠ a školských zariadení</w:t>
      </w:r>
      <w:r w:rsidRPr="00A1066F">
        <w:rPr>
          <w:rFonts w:ascii="Calibri" w:eastAsia="Times New Roman" w:hAnsi="Calibri" w:cs="Calibri"/>
          <w:b/>
          <w:bCs/>
          <w:sz w:val="27"/>
          <w:szCs w:val="27"/>
          <w:lang w:eastAsia="sk-SK"/>
        </w:rPr>
        <w:t xml:space="preserve"> </w:t>
      </w:r>
    </w:p>
    <w:p w14:paraId="3111EDE9"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Zámer: </w:t>
      </w:r>
      <w:r w:rsidRPr="00A1066F">
        <w:rPr>
          <w:rFonts w:ascii="Calibri" w:eastAsia="Times New Roman" w:hAnsi="Calibri" w:cs="Calibri"/>
          <w:sz w:val="24"/>
          <w:szCs w:val="24"/>
          <w:lang w:eastAsia="sk-SK"/>
        </w:rPr>
        <w:t>Financovanie v podprograme Ostatní zriaďovatelia JŠ a školských zariadení sa riadi zákonom                      č. 596/2003 Z. z. o štátnej správe v školstve a školskej samospráve a o zmene a doplnení niektorých zákonov v znení neskorších predpisov (viď § 9 a §9aa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4"/>
        <w:gridCol w:w="2167"/>
        <w:gridCol w:w="1479"/>
        <w:gridCol w:w="1479"/>
        <w:gridCol w:w="548"/>
        <w:gridCol w:w="1480"/>
        <w:gridCol w:w="649"/>
        <w:gridCol w:w="1480"/>
        <w:gridCol w:w="664"/>
      </w:tblGrid>
      <w:tr w:rsidR="00A1066F" w:rsidRPr="00A1066F" w14:paraId="2952C793"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E0E23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58520D4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7BF0E5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7962BC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1B052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2A287E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44B31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6972AB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04F3CA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AD76C2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55DBE1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68E0E9E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D390D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6774B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F5AC0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2 500 000,00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7D58C0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2 400 000,00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6A535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0D210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2 400 000,00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B8E85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B5AFB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2 400 000,00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23BB9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1C255F1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779FD1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EE26D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5563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2 500 000,00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D4D59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2 400 000,00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13FA1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96,00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6D5F0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2 400 000,00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E45FB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539FD1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2 400 000,00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B08D3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6EF05F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0BE3B3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CF3885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C29B7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2 500 000,00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D31C0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2 400 000,00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EE796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96,00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84C74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2 400 000,00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1DD932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625CD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2 400 000,00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491582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1AC59BA5"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901"/>
        <w:gridCol w:w="1661"/>
        <w:gridCol w:w="2018"/>
        <w:gridCol w:w="1872"/>
        <w:gridCol w:w="1998"/>
      </w:tblGrid>
      <w:tr w:rsidR="00A1066F" w:rsidRPr="00A1066F" w14:paraId="01EBF602" w14:textId="77777777" w:rsidTr="007468A0">
        <w:trPr>
          <w:tblCellSpacing w:w="15" w:type="dxa"/>
        </w:trPr>
        <w:tc>
          <w:tcPr>
            <w:tcW w:w="137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F0CF8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579"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56259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Odbor školstva, mládeže a športu</w:t>
            </w:r>
          </w:p>
        </w:tc>
      </w:tr>
      <w:tr w:rsidR="00A1066F" w:rsidRPr="00A1066F" w14:paraId="552FB435" w14:textId="77777777" w:rsidTr="007468A0">
        <w:trPr>
          <w:tblCellSpacing w:w="15" w:type="dxa"/>
        </w:trPr>
        <w:tc>
          <w:tcPr>
            <w:tcW w:w="137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49656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579"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C3B627"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Zabezpečiť činnosť ostatných zriaďovateľov JŠ a školských zariadení</w:t>
            </w:r>
          </w:p>
        </w:tc>
      </w:tr>
      <w:tr w:rsidR="00A1066F" w:rsidRPr="00A1066F" w14:paraId="1CABA06A" w14:textId="77777777" w:rsidTr="007468A0">
        <w:trPr>
          <w:tblCellSpacing w:w="15" w:type="dxa"/>
        </w:trPr>
        <w:tc>
          <w:tcPr>
            <w:tcW w:w="137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213E6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579"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62E30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xml:space="preserve">Počet žiakov využívajúcich služby ostatných zriaďovateľov za rok </w:t>
            </w:r>
          </w:p>
        </w:tc>
      </w:tr>
      <w:tr w:rsidR="00A1066F" w:rsidRPr="00A1066F" w14:paraId="5E6B042E" w14:textId="77777777" w:rsidTr="007468A0">
        <w:trPr>
          <w:tblCellSpacing w:w="15" w:type="dxa"/>
        </w:trPr>
        <w:tc>
          <w:tcPr>
            <w:tcW w:w="137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35D081"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78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8CE870"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96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BDE908"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8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A1914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90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50160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626D7F61" w14:textId="77777777" w:rsidTr="007468A0">
        <w:trPr>
          <w:tblCellSpacing w:w="15" w:type="dxa"/>
        </w:trPr>
        <w:tc>
          <w:tcPr>
            <w:tcW w:w="137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8C448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78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2DFDD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3 211</w:t>
            </w:r>
          </w:p>
        </w:tc>
        <w:tc>
          <w:tcPr>
            <w:tcW w:w="96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709C57"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3 781</w:t>
            </w:r>
          </w:p>
        </w:tc>
        <w:tc>
          <w:tcPr>
            <w:tcW w:w="889"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2A910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3 781</w:t>
            </w:r>
          </w:p>
        </w:tc>
        <w:tc>
          <w:tcPr>
            <w:tcW w:w="900"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0A4E5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3 781</w:t>
            </w:r>
          </w:p>
        </w:tc>
      </w:tr>
    </w:tbl>
    <w:p w14:paraId="1DBCA999"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Zabezpečovanie vzdelávania v kraji je dôležitá úloha, ktorú nemožno obmedziť len na poskytovanie vzdelávania, ale aj na ostatné činnosti, podporujúce vývoj detí a mládeže. Účelom a zámerom tohto podprogramu je zabezpečiť práve tieto dôležité úlohy. V podprograme sú zohľadnené finančné prostriedky pre neštátnych (súkromných a cirkevných ) a iných (MČ, RÚŠS) zriaďovateľov jazykových škôl a školských zariadení. Finančné prostriedky sú im poskytované v zmysle § 9 a §9aa zákona č. 596/2003 Z. z. o štátnej správe v školstve a školskej samospráve a o zmene a doplnení niektorých zákonov v znení neskorších predpisov.</w:t>
      </w:r>
    </w:p>
    <w:p w14:paraId="69C301A3" w14:textId="77777777" w:rsidR="00A1066F" w:rsidRPr="00A1066F" w:rsidRDefault="00A1066F" w:rsidP="00A1066F">
      <w:pPr>
        <w:spacing w:before="100" w:beforeAutospacing="1" w:after="100" w:afterAutospacing="1" w:line="240" w:lineRule="auto"/>
        <w:outlineLvl w:val="2"/>
        <w:rPr>
          <w:rFonts w:ascii="Calibri" w:eastAsia="Times New Roman" w:hAnsi="Calibri" w:cs="Calibri"/>
          <w:b/>
          <w:bCs/>
          <w:sz w:val="27"/>
          <w:szCs w:val="27"/>
          <w:lang w:eastAsia="sk-SK"/>
        </w:rPr>
      </w:pPr>
      <w:r w:rsidRPr="00A1066F">
        <w:rPr>
          <w:rFonts w:ascii="Calibri" w:eastAsia="Times New Roman" w:hAnsi="Calibri" w:cs="Calibri"/>
          <w:b/>
          <w:bCs/>
          <w:color w:val="0000FF"/>
          <w:sz w:val="27"/>
          <w:szCs w:val="27"/>
          <w:lang w:eastAsia="sk-SK"/>
        </w:rPr>
        <w:t>Podprogram 8.8: Strediská odbornej praxe</w:t>
      </w:r>
      <w:r w:rsidRPr="00A1066F">
        <w:rPr>
          <w:rFonts w:ascii="Calibri" w:eastAsia="Times New Roman" w:hAnsi="Calibri" w:cs="Calibri"/>
          <w:b/>
          <w:bCs/>
          <w:sz w:val="27"/>
          <w:szCs w:val="27"/>
          <w:lang w:eastAsia="sk-SK"/>
        </w:rPr>
        <w:t xml:space="preserve"> </w:t>
      </w:r>
    </w:p>
    <w:p w14:paraId="7922A6C0"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Zámer: </w:t>
      </w:r>
      <w:r w:rsidRPr="00A1066F">
        <w:rPr>
          <w:rFonts w:ascii="Calibri" w:eastAsia="Times New Roman" w:hAnsi="Calibri" w:cs="Calibri"/>
          <w:sz w:val="24"/>
          <w:szCs w:val="24"/>
          <w:lang w:eastAsia="sk-SK"/>
        </w:rPr>
        <w:t>Financovanie v Podprograme Strediská odbornej praxe sa riadi aktuálnym všeobecne záväzným nariadením, schváleným Zastupiteľstvom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1066F" w:rsidRPr="00A1066F" w14:paraId="337E9615"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63FA1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5EA36D2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A5066E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988FD3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766270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4F321E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E68CB9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5579242"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B92DA7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BD42E66"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604BBB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3D450B0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A0023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81813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46421D"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1 063 610,00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63426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1 147 180,00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F74A8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107,86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7F2E01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1 847 180,00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8C351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161,02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CDD7F8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1 847 180,00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73606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5FD1682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C508A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EA955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70D35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1 063 610,00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67D60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1 147 180,00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8A408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107,86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6D961D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1 847 180,00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8A574F"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161,02</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44370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1 847 180,00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FF223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7E6B291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96ADB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610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293FD4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Mzdy, platy, ...</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2679F7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504 341,00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5DBE4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519 456,00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3594AB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103,00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9311D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719 456,00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C1F242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138,50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1BB43A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719 456,00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81F938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84A037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0140DAD"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620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5D9A3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Poistné do poisťovní</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F1E6E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178 574,00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340B3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202 614,00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B9F8BB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113,46</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2BF7E3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262 614,00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759C73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129,61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3B7A0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262 614,00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6C4D5C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66CA19F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A73D3B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630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8D9AA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Tovary a služby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73A31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375 930,00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452EDB"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420 310,00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F235E8C"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111,81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EF1CA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860 310,00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22A9C1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204,68</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7B3EAE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860 310,00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C46E4F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r w:rsidR="00A1066F" w:rsidRPr="00A1066F" w14:paraId="085EB42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53E55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91F9B3"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24F967"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4 765,00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80D92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117AD3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100,73</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5D277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4BEFBA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CA360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4 800,00</w:t>
            </w:r>
            <w:r w:rsidRPr="00A106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188638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100,00</w:t>
            </w:r>
            <w:r w:rsidRPr="00A1066F">
              <w:rPr>
                <w:rFonts w:ascii="Calibri" w:eastAsia="Times New Roman" w:hAnsi="Calibri" w:cs="Calibri"/>
                <w:sz w:val="24"/>
                <w:szCs w:val="24"/>
                <w:lang w:eastAsia="sk-SK"/>
              </w:rPr>
              <w:t xml:space="preserve"> </w:t>
            </w:r>
          </w:p>
        </w:tc>
      </w:tr>
    </w:tbl>
    <w:p w14:paraId="3431A637"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35"/>
        <w:gridCol w:w="1786"/>
        <w:gridCol w:w="1938"/>
        <w:gridCol w:w="1938"/>
        <w:gridCol w:w="1953"/>
      </w:tblGrid>
      <w:tr w:rsidR="00A1066F" w:rsidRPr="00A1066F" w14:paraId="7F3BCB2F"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C25D5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611"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84299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Odbor školstva, mládeže a športu</w:t>
            </w:r>
            <w:r w:rsidRPr="00A1066F">
              <w:rPr>
                <w:rFonts w:ascii="Calibri" w:eastAsia="Times New Roman" w:hAnsi="Calibri" w:cs="Calibri"/>
                <w:sz w:val="24"/>
                <w:szCs w:val="24"/>
                <w:lang w:eastAsia="sk-SK"/>
              </w:rPr>
              <w:br/>
            </w:r>
          </w:p>
        </w:tc>
      </w:tr>
      <w:tr w:rsidR="00A1066F" w:rsidRPr="00A1066F" w14:paraId="2BFF3832"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EEC1A9"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611"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88465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Zvýšiť kvalitu </w:t>
            </w:r>
            <w:proofErr w:type="spellStart"/>
            <w:r w:rsidRPr="00A1066F">
              <w:rPr>
                <w:rFonts w:ascii="Calibri" w:eastAsia="Times New Roman" w:hAnsi="Calibri" w:cs="Calibri"/>
                <w:b/>
                <w:bCs/>
                <w:sz w:val="24"/>
                <w:szCs w:val="24"/>
                <w:lang w:eastAsia="sk-SK"/>
              </w:rPr>
              <w:t>výchovno</w:t>
            </w:r>
            <w:proofErr w:type="spellEnd"/>
            <w:r w:rsidRPr="00A1066F">
              <w:rPr>
                <w:rFonts w:ascii="Calibri" w:eastAsia="Times New Roman" w:hAnsi="Calibri" w:cs="Calibri"/>
                <w:b/>
                <w:bCs/>
                <w:sz w:val="24"/>
                <w:szCs w:val="24"/>
                <w:lang w:eastAsia="sk-SK"/>
              </w:rPr>
              <w:t xml:space="preserve"> - vzdelávacieho procesu v SOP</w:t>
            </w:r>
          </w:p>
        </w:tc>
      </w:tr>
      <w:tr w:rsidR="00A1066F" w:rsidRPr="00A1066F" w14:paraId="4B4B4E7E"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1B9FAA"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611"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C9443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žiakov v strediskách odbornej praxe spolu za rok</w:t>
            </w:r>
          </w:p>
        </w:tc>
      </w:tr>
      <w:tr w:rsidR="00A1066F" w:rsidRPr="00A1066F" w14:paraId="05329D48"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0F276B"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4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68001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D7A85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6166A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ACAB4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41B514E2" w14:textId="77777777" w:rsidTr="007468A0">
        <w:trPr>
          <w:tblCellSpacing w:w="15" w:type="dxa"/>
        </w:trPr>
        <w:tc>
          <w:tcPr>
            <w:tcW w:w="134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C87D4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47"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7A76B1"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990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2827B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1 090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895A69"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1 090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5E5A2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1 090</w:t>
            </w:r>
          </w:p>
        </w:tc>
      </w:tr>
    </w:tbl>
    <w:p w14:paraId="5AEEFAF7" w14:textId="77777777" w:rsidR="00A1066F" w:rsidRPr="00A1066F" w:rsidRDefault="00A1066F" w:rsidP="00A1066F">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lastRenderedPageBreak/>
        <w:t xml:space="preserve">Komentár: </w:t>
      </w:r>
      <w:r w:rsidRPr="00A1066F">
        <w:rPr>
          <w:rFonts w:ascii="Calibri" w:eastAsia="Times New Roman" w:hAnsi="Calibri" w:cs="Calibri"/>
          <w:sz w:val="24"/>
          <w:szCs w:val="24"/>
          <w:lang w:eastAsia="sk-SK"/>
        </w:rPr>
        <w:t xml:space="preserve">V strediskách odbornej praxe si žiaci overujú získané teoretické vedomosti v praxi. Merateľný ukazovateľ u všetkých prvkov tohto podprogramu je počet žiakov v strediskách odbornej praxe, uvedený v štatistickom výkaze o strednej škole - </w:t>
      </w:r>
      <w:proofErr w:type="spellStart"/>
      <w:r w:rsidRPr="00A1066F">
        <w:rPr>
          <w:rFonts w:ascii="Calibri" w:eastAsia="Times New Roman" w:hAnsi="Calibri" w:cs="Calibri"/>
          <w:sz w:val="24"/>
          <w:szCs w:val="24"/>
          <w:lang w:eastAsia="sk-SK"/>
        </w:rPr>
        <w:t>Škol</w:t>
      </w:r>
      <w:proofErr w:type="spellEnd"/>
      <w:r w:rsidRPr="00A1066F">
        <w:rPr>
          <w:rFonts w:ascii="Calibri" w:eastAsia="Times New Roman" w:hAnsi="Calibri" w:cs="Calibri"/>
          <w:sz w:val="24"/>
          <w:szCs w:val="24"/>
          <w:lang w:eastAsia="sk-SK"/>
        </w:rPr>
        <w:t xml:space="preserve"> 27-01 k 15.9.2024. V zriaďovateľskej pôsobnosti BSK sú dve strediská odbornej praxe.</w:t>
      </w:r>
    </w:p>
    <w:p w14:paraId="1D1EBFE8" w14:textId="77777777" w:rsidR="00A1066F" w:rsidRPr="00A1066F" w:rsidRDefault="00A1066F" w:rsidP="00A1066F">
      <w:pPr>
        <w:spacing w:before="100" w:beforeAutospacing="1" w:after="100" w:afterAutospacing="1" w:line="240" w:lineRule="auto"/>
        <w:outlineLvl w:val="2"/>
        <w:rPr>
          <w:rFonts w:ascii="Calibri" w:eastAsia="Times New Roman" w:hAnsi="Calibri" w:cs="Calibri"/>
          <w:b/>
          <w:bCs/>
          <w:sz w:val="27"/>
          <w:szCs w:val="27"/>
          <w:lang w:eastAsia="sk-SK"/>
        </w:rPr>
      </w:pPr>
      <w:r w:rsidRPr="00A1066F">
        <w:rPr>
          <w:rFonts w:ascii="Calibri" w:eastAsia="Times New Roman" w:hAnsi="Calibri" w:cs="Calibri"/>
          <w:b/>
          <w:bCs/>
          <w:color w:val="0000FF"/>
          <w:sz w:val="27"/>
          <w:szCs w:val="27"/>
          <w:lang w:eastAsia="sk-SK"/>
        </w:rPr>
        <w:t>Podprogram 8.9: Ostatné výdavky na školstvo</w:t>
      </w:r>
      <w:r w:rsidRPr="00A1066F">
        <w:rPr>
          <w:rFonts w:ascii="Calibri" w:eastAsia="Times New Roman" w:hAnsi="Calibri" w:cs="Calibri"/>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18"/>
        <w:gridCol w:w="2096"/>
        <w:gridCol w:w="1493"/>
        <w:gridCol w:w="1494"/>
        <w:gridCol w:w="649"/>
        <w:gridCol w:w="1494"/>
        <w:gridCol w:w="548"/>
        <w:gridCol w:w="1494"/>
        <w:gridCol w:w="664"/>
      </w:tblGrid>
      <w:tr w:rsidR="00A1066F" w:rsidRPr="00A1066F" w14:paraId="1A6F5CAC"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B4E98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i/>
                <w:iCs/>
                <w:sz w:val="24"/>
                <w:szCs w:val="24"/>
                <w:lang w:eastAsia="sk-SK"/>
              </w:rPr>
              <w:t>Rozpočet v EUR</w:t>
            </w:r>
          </w:p>
        </w:tc>
      </w:tr>
      <w:tr w:rsidR="00A1066F" w:rsidRPr="00A1066F" w14:paraId="30938B0B" w14:textId="77777777" w:rsidTr="00E80D7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D4305A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w:t>
            </w:r>
          </w:p>
        </w:tc>
        <w:tc>
          <w:tcPr>
            <w:tcW w:w="102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3CC95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A04B0C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0FE6F2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FBE39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9580F2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2026</w:t>
            </w:r>
          </w:p>
        </w:tc>
        <w:tc>
          <w:tcPr>
            <w:tcW w:w="24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4ADE9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D4AAF0E"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52AA89D"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w:t>
            </w:r>
          </w:p>
        </w:tc>
      </w:tr>
      <w:tr w:rsidR="00A1066F" w:rsidRPr="00A1066F" w14:paraId="7B5E283F" w14:textId="77777777" w:rsidTr="00E80D7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49F013"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8BE2E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Výdavky celkom</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8C247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2 000 000,00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5EADD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3 384 890,00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3FB9B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169,24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C48CB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2 796 312,00</w:t>
            </w:r>
            <w:r w:rsidRPr="00A1066F">
              <w:rPr>
                <w:rFonts w:ascii="Calibri" w:eastAsia="Times New Roman" w:hAnsi="Calibri" w:cs="Calibri"/>
                <w:sz w:val="24"/>
                <w:szCs w:val="24"/>
                <w:lang w:eastAsia="sk-SK"/>
              </w:rPr>
              <w:t xml:space="preserve"> </w:t>
            </w:r>
          </w:p>
        </w:tc>
        <w:tc>
          <w:tcPr>
            <w:tcW w:w="24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756AC7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82,61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322E0E4"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2 801 931,00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C1A633E"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100,20</w:t>
            </w:r>
            <w:r w:rsidRPr="00A1066F">
              <w:rPr>
                <w:rFonts w:ascii="Calibri" w:eastAsia="Times New Roman" w:hAnsi="Calibri" w:cs="Calibri"/>
                <w:sz w:val="24"/>
                <w:szCs w:val="24"/>
                <w:lang w:eastAsia="sk-SK"/>
              </w:rPr>
              <w:t xml:space="preserve"> </w:t>
            </w:r>
          </w:p>
        </w:tc>
      </w:tr>
      <w:tr w:rsidR="00A1066F" w:rsidRPr="00A1066F" w14:paraId="01D0E3F2" w14:textId="77777777" w:rsidTr="00E80D7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63AFA36"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600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9DD73C"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Bežné výdavky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5570F0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2 000 000,00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7E89805"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3 384 890,00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1CEA2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169,24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4FE16A"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2 796 312,00</w:t>
            </w:r>
            <w:r w:rsidRPr="00A1066F">
              <w:rPr>
                <w:rFonts w:ascii="Calibri" w:eastAsia="Times New Roman" w:hAnsi="Calibri" w:cs="Calibri"/>
                <w:sz w:val="24"/>
                <w:szCs w:val="24"/>
                <w:lang w:eastAsia="sk-SK"/>
              </w:rPr>
              <w:t xml:space="preserve"> </w:t>
            </w:r>
          </w:p>
        </w:tc>
        <w:tc>
          <w:tcPr>
            <w:tcW w:w="24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877408"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82,61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7B0630"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2 801 931,00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A92A8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b/>
                <w:bCs/>
                <w:sz w:val="20"/>
                <w:szCs w:val="20"/>
                <w:lang w:eastAsia="sk-SK"/>
              </w:rPr>
              <w:t>100,20</w:t>
            </w:r>
            <w:r w:rsidRPr="00A1066F">
              <w:rPr>
                <w:rFonts w:ascii="Calibri" w:eastAsia="Times New Roman" w:hAnsi="Calibri" w:cs="Calibri"/>
                <w:sz w:val="24"/>
                <w:szCs w:val="24"/>
                <w:lang w:eastAsia="sk-SK"/>
              </w:rPr>
              <w:t xml:space="preserve"> </w:t>
            </w:r>
          </w:p>
        </w:tc>
      </w:tr>
      <w:tr w:rsidR="00A1066F" w:rsidRPr="00A1066F" w14:paraId="1D5767AB" w14:textId="77777777" w:rsidTr="00E80D78">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FF689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640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5D5FA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Bežné transfery</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2B2C8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2 000 000,00</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05762E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3 384 890,00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379EC12"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169,24</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623233"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2 796 312,00</w:t>
            </w:r>
            <w:r w:rsidRPr="00A1066F">
              <w:rPr>
                <w:rFonts w:ascii="Calibri" w:eastAsia="Times New Roman" w:hAnsi="Calibri" w:cs="Calibri"/>
                <w:sz w:val="24"/>
                <w:szCs w:val="24"/>
                <w:lang w:eastAsia="sk-SK"/>
              </w:rPr>
              <w:t xml:space="preserve"> </w:t>
            </w:r>
          </w:p>
        </w:tc>
        <w:tc>
          <w:tcPr>
            <w:tcW w:w="248" w:type="pct"/>
            <w:tcBorders>
              <w:top w:val="outset" w:sz="6" w:space="0" w:color="000000"/>
              <w:left w:val="outset" w:sz="6" w:space="0" w:color="000000"/>
              <w:bottom w:val="outset" w:sz="6" w:space="0" w:color="000000"/>
              <w:right w:val="outset" w:sz="6" w:space="0" w:color="000000"/>
            </w:tcBorders>
            <w:noWrap/>
            <w:vAlign w:val="center"/>
            <w:hideMark/>
          </w:tcPr>
          <w:p w14:paraId="1D2CA931"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82,61</w:t>
            </w:r>
            <w:r w:rsidRPr="00A106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5638E66"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2 801 931,00</w:t>
            </w:r>
            <w:r w:rsidRPr="00A1066F">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75AB179" w14:textId="77777777" w:rsidR="00A1066F" w:rsidRPr="00A1066F" w:rsidRDefault="00A1066F" w:rsidP="00A1066F">
            <w:pPr>
              <w:spacing w:after="0" w:line="240" w:lineRule="auto"/>
              <w:jc w:val="right"/>
              <w:rPr>
                <w:rFonts w:ascii="Calibri" w:eastAsia="Times New Roman" w:hAnsi="Calibri" w:cs="Calibri"/>
                <w:sz w:val="24"/>
                <w:szCs w:val="24"/>
                <w:lang w:eastAsia="sk-SK"/>
              </w:rPr>
            </w:pPr>
            <w:r w:rsidRPr="00A1066F">
              <w:rPr>
                <w:rFonts w:ascii="Calibri" w:eastAsia="Times New Roman" w:hAnsi="Calibri" w:cs="Calibri"/>
                <w:sz w:val="20"/>
                <w:szCs w:val="20"/>
                <w:lang w:eastAsia="sk-SK"/>
              </w:rPr>
              <w:t>100,20</w:t>
            </w:r>
            <w:r w:rsidRPr="00A1066F">
              <w:rPr>
                <w:rFonts w:ascii="Calibri" w:eastAsia="Times New Roman" w:hAnsi="Calibri" w:cs="Calibri"/>
                <w:sz w:val="24"/>
                <w:szCs w:val="24"/>
                <w:lang w:eastAsia="sk-SK"/>
              </w:rPr>
              <w:t xml:space="preserve"> </w:t>
            </w:r>
          </w:p>
        </w:tc>
      </w:tr>
    </w:tbl>
    <w:p w14:paraId="3D30D680" w14:textId="77777777" w:rsidR="00A1066F" w:rsidRPr="00A1066F" w:rsidRDefault="00A1066F" w:rsidP="00A106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48"/>
        <w:gridCol w:w="1886"/>
        <w:gridCol w:w="1869"/>
        <w:gridCol w:w="1842"/>
        <w:gridCol w:w="2005"/>
      </w:tblGrid>
      <w:tr w:rsidR="00A1066F" w:rsidRPr="00A1066F" w14:paraId="7D3B6D44" w14:textId="77777777" w:rsidTr="007468A0">
        <w:trPr>
          <w:tblCellSpacing w:w="15" w:type="dxa"/>
        </w:trPr>
        <w:tc>
          <w:tcPr>
            <w:tcW w:w="135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A1BC00"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Zodpovednosť</w:t>
            </w:r>
          </w:p>
        </w:tc>
        <w:tc>
          <w:tcPr>
            <w:tcW w:w="360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B61B1F"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Odbor školstva, mládeže a športu</w:t>
            </w:r>
            <w:r w:rsidRPr="00A1066F">
              <w:rPr>
                <w:rFonts w:ascii="Calibri" w:eastAsia="Times New Roman" w:hAnsi="Calibri" w:cs="Calibri"/>
                <w:sz w:val="24"/>
                <w:szCs w:val="24"/>
                <w:lang w:eastAsia="sk-SK"/>
              </w:rPr>
              <w:br/>
            </w:r>
          </w:p>
        </w:tc>
      </w:tr>
      <w:tr w:rsidR="00A1066F" w:rsidRPr="00A1066F" w14:paraId="7F13B04B" w14:textId="77777777" w:rsidTr="007468A0">
        <w:trPr>
          <w:tblCellSpacing w:w="15" w:type="dxa"/>
        </w:trPr>
        <w:tc>
          <w:tcPr>
            <w:tcW w:w="135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DBD764"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Cieľ</w:t>
            </w:r>
          </w:p>
        </w:tc>
        <w:tc>
          <w:tcPr>
            <w:tcW w:w="360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E303BF" w14:textId="77777777" w:rsidR="00A1066F" w:rsidRPr="00A1066F" w:rsidRDefault="00A1066F" w:rsidP="00A1066F">
            <w:pPr>
              <w:spacing w:after="0"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Efektívne a transparentné prerozdeľovanie finančných prostriedkov pre školy a školské zariadenia</w:t>
            </w:r>
          </w:p>
        </w:tc>
      </w:tr>
      <w:tr w:rsidR="00A1066F" w:rsidRPr="00A1066F" w14:paraId="23E9BD48" w14:textId="77777777" w:rsidTr="007468A0">
        <w:trPr>
          <w:tblCellSpacing w:w="15" w:type="dxa"/>
        </w:trPr>
        <w:tc>
          <w:tcPr>
            <w:tcW w:w="135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5F1B78"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Merateľný ukazovateľ</w:t>
            </w:r>
          </w:p>
        </w:tc>
        <w:tc>
          <w:tcPr>
            <w:tcW w:w="3604" w:type="pct"/>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AD8590" w14:textId="77777777" w:rsidR="00A1066F" w:rsidRPr="00A1066F" w:rsidRDefault="00A1066F" w:rsidP="00A1066F">
            <w:pPr>
              <w:spacing w:after="0" w:line="240" w:lineRule="auto"/>
              <w:jc w:val="both"/>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Počet škôl a školských zariadení v zriaďovateľskej pôsobnosti BSK a ostatných zriaďovateľov spolu</w:t>
            </w:r>
          </w:p>
        </w:tc>
      </w:tr>
      <w:tr w:rsidR="00A1066F" w:rsidRPr="00A1066F" w14:paraId="77329F44" w14:textId="77777777" w:rsidTr="007468A0">
        <w:trPr>
          <w:tblCellSpacing w:w="15" w:type="dxa"/>
        </w:trPr>
        <w:tc>
          <w:tcPr>
            <w:tcW w:w="135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0F3012"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Rok</w:t>
            </w:r>
          </w:p>
        </w:tc>
        <w:tc>
          <w:tcPr>
            <w:tcW w:w="89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B4163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2024</w:t>
            </w:r>
          </w:p>
        </w:tc>
        <w:tc>
          <w:tcPr>
            <w:tcW w:w="88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C59A4B"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2025</w:t>
            </w:r>
          </w:p>
        </w:tc>
        <w:tc>
          <w:tcPr>
            <w:tcW w:w="87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BD064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2026</w:t>
            </w:r>
          </w:p>
        </w:tc>
        <w:tc>
          <w:tcPr>
            <w:tcW w:w="90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A80774"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2027</w:t>
            </w:r>
          </w:p>
        </w:tc>
      </w:tr>
      <w:tr w:rsidR="00A1066F" w:rsidRPr="00A1066F" w14:paraId="16784EFE" w14:textId="77777777" w:rsidTr="007468A0">
        <w:trPr>
          <w:tblCellSpacing w:w="15" w:type="dxa"/>
        </w:trPr>
        <w:tc>
          <w:tcPr>
            <w:tcW w:w="1353"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14E165" w14:textId="77777777" w:rsidR="00A1066F" w:rsidRPr="00A1066F" w:rsidRDefault="00A1066F" w:rsidP="00A1066F">
            <w:pPr>
              <w:spacing w:after="0" w:line="240" w:lineRule="auto"/>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Plánovaná hodnota</w:t>
            </w:r>
          </w:p>
        </w:tc>
        <w:tc>
          <w:tcPr>
            <w:tcW w:w="896"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17DCE5"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139</w:t>
            </w:r>
          </w:p>
        </w:tc>
        <w:tc>
          <w:tcPr>
            <w:tcW w:w="888"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822B1C"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138</w:t>
            </w:r>
          </w:p>
        </w:tc>
        <w:tc>
          <w:tcPr>
            <w:tcW w:w="87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BCBCFF"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138</w:t>
            </w:r>
          </w:p>
        </w:tc>
        <w:tc>
          <w:tcPr>
            <w:tcW w:w="904" w:type="pct"/>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AB44BA" w14:textId="77777777" w:rsidR="00A1066F" w:rsidRPr="00A1066F" w:rsidRDefault="00A1066F" w:rsidP="00A1066F">
            <w:pPr>
              <w:spacing w:after="0" w:line="240" w:lineRule="auto"/>
              <w:jc w:val="center"/>
              <w:rPr>
                <w:rFonts w:ascii="Calibri" w:eastAsia="Times New Roman" w:hAnsi="Calibri" w:cs="Calibri"/>
                <w:sz w:val="24"/>
                <w:szCs w:val="24"/>
                <w:lang w:eastAsia="sk-SK"/>
              </w:rPr>
            </w:pPr>
            <w:r w:rsidRPr="00A1066F">
              <w:rPr>
                <w:rFonts w:ascii="Calibri" w:eastAsia="Times New Roman" w:hAnsi="Calibri" w:cs="Calibri"/>
                <w:sz w:val="24"/>
                <w:szCs w:val="24"/>
                <w:lang w:eastAsia="sk-SK"/>
              </w:rPr>
              <w:t> 138</w:t>
            </w:r>
          </w:p>
        </w:tc>
      </w:tr>
    </w:tbl>
    <w:p w14:paraId="3598AEE6" w14:textId="4F81A88C" w:rsidR="008E468B" w:rsidRPr="006A29DA" w:rsidRDefault="00A1066F" w:rsidP="006A29DA">
      <w:pPr>
        <w:spacing w:before="100" w:beforeAutospacing="1" w:after="100" w:afterAutospacing="1" w:line="240" w:lineRule="auto"/>
        <w:jc w:val="both"/>
        <w:rPr>
          <w:rFonts w:ascii="Calibri" w:eastAsia="Times New Roman" w:hAnsi="Calibri" w:cs="Calibri"/>
          <w:sz w:val="24"/>
          <w:szCs w:val="24"/>
          <w:lang w:eastAsia="sk-SK"/>
        </w:rPr>
      </w:pPr>
      <w:r w:rsidRPr="00A1066F">
        <w:rPr>
          <w:rFonts w:ascii="Calibri" w:eastAsia="Times New Roman" w:hAnsi="Calibri" w:cs="Calibri"/>
          <w:b/>
          <w:bCs/>
          <w:sz w:val="24"/>
          <w:szCs w:val="24"/>
          <w:lang w:eastAsia="sk-SK"/>
        </w:rPr>
        <w:t xml:space="preserve">Komentár: </w:t>
      </w:r>
      <w:r w:rsidRPr="00A1066F">
        <w:rPr>
          <w:rFonts w:ascii="Calibri" w:eastAsia="Times New Roman" w:hAnsi="Calibri" w:cs="Calibri"/>
          <w:sz w:val="24"/>
          <w:szCs w:val="24"/>
          <w:lang w:eastAsia="sk-SK"/>
        </w:rPr>
        <w:t xml:space="preserve">Podprogram Ostatné výdavky na školstvo predstavuje finančné prostriedky na originálne kompetencie. Tieto budú použité na spolufinancovanie projektov, nákladov v súvislosti s optimalizáciou siete škôl a školských zariadení, výročia škôl, nových výkonov, dane z nehnuteľností, vybavenia škôl a školských zariadení a zároveň sú tu započítané aj finančné prostriedky na zvýšenie miezd, vrátane odvodov pre všetkých zamestnancov školských zariadení. Súčasťou Ostatných výdavkov na originálne kompetencie je plnenie priorít BSK v zmysle usmernení, ktoré upravujú poskytovanie benefitov pre zamestnancov škôl a školských zariadení, podpora realizácie medzinárodného vzdelávacieho programu na Spojenej škole, Pankúchova 6, Bratislava, podpora sociálne znevýhodnených žiakov, ako aj financovanie iných aktivít súvisiacich s výchovou a vzdelávaním – TFS TEACH FOR SLOVAKIA, Medzinárodná cena vojvodu z </w:t>
      </w:r>
      <w:proofErr w:type="spellStart"/>
      <w:r w:rsidRPr="00A1066F">
        <w:rPr>
          <w:rFonts w:ascii="Calibri" w:eastAsia="Times New Roman" w:hAnsi="Calibri" w:cs="Calibri"/>
          <w:sz w:val="24"/>
          <w:szCs w:val="24"/>
          <w:lang w:eastAsia="sk-SK"/>
        </w:rPr>
        <w:t>Edinburgu</w:t>
      </w:r>
      <w:proofErr w:type="spellEnd"/>
      <w:r w:rsidRPr="00A1066F">
        <w:rPr>
          <w:rFonts w:ascii="Calibri" w:eastAsia="Times New Roman" w:hAnsi="Calibri" w:cs="Calibri"/>
          <w:sz w:val="24"/>
          <w:szCs w:val="24"/>
          <w:lang w:eastAsia="sk-SK"/>
        </w:rPr>
        <w:t>, reprezentácia škôl v zahraničí a pod. ...</w:t>
      </w:r>
    </w:p>
    <w:p w14:paraId="1DA3C1EF" w14:textId="77777777" w:rsidR="007A1409" w:rsidRPr="00AC7EA9" w:rsidRDefault="007A1409" w:rsidP="00AC7EA9">
      <w:pPr>
        <w:spacing w:after="0" w:line="240" w:lineRule="auto"/>
        <w:rPr>
          <w:rFonts w:eastAsiaTheme="minorEastAsia" w:cstheme="minorHAnsi"/>
          <w:vanish/>
          <w:sz w:val="24"/>
          <w:szCs w:val="24"/>
          <w:lang w:eastAsia="sk-SK"/>
        </w:rPr>
      </w:pPr>
    </w:p>
    <w:p w14:paraId="0B032F8A" w14:textId="06146100" w:rsidR="002E4DD0" w:rsidRPr="00263F8A" w:rsidRDefault="0050404C" w:rsidP="002E4DD0">
      <w:pPr>
        <w:spacing w:before="100" w:beforeAutospacing="1" w:after="100" w:afterAutospacing="1" w:line="240" w:lineRule="auto"/>
        <w:outlineLvl w:val="1"/>
        <w:rPr>
          <w:rFonts w:ascii="Calibri" w:eastAsia="Times New Roman" w:hAnsi="Calibri" w:cs="Calibri"/>
          <w:b/>
          <w:bCs/>
          <w:color w:val="000080"/>
          <w:sz w:val="36"/>
          <w:szCs w:val="36"/>
          <w:lang w:eastAsia="sk-SK"/>
        </w:rPr>
      </w:pPr>
      <w:r w:rsidRPr="0050404C">
        <w:rPr>
          <w:rFonts w:ascii="Calibri" w:eastAsia="Times New Roman" w:hAnsi="Calibri" w:cs="Calibri"/>
          <w:b/>
          <w:bCs/>
          <w:color w:val="000080"/>
          <w:sz w:val="36"/>
          <w:szCs w:val="36"/>
          <w:lang w:eastAsia="sk-SK"/>
        </w:rPr>
        <w:t>Pro</w:t>
      </w:r>
      <w:r w:rsidR="002E4DD0" w:rsidRPr="0050404C">
        <w:rPr>
          <w:rFonts w:ascii="Calibri" w:eastAsia="Times New Roman" w:hAnsi="Calibri" w:cs="Calibri"/>
          <w:b/>
          <w:bCs/>
          <w:color w:val="000080"/>
          <w:sz w:val="36"/>
          <w:szCs w:val="36"/>
          <w:lang w:eastAsia="sk-SK"/>
        </w:rPr>
        <w:t>gram</w:t>
      </w:r>
      <w:r w:rsidR="002E4DD0" w:rsidRPr="00263F8A">
        <w:rPr>
          <w:rFonts w:ascii="Calibri" w:eastAsia="Times New Roman" w:hAnsi="Calibri" w:cs="Calibri"/>
          <w:b/>
          <w:bCs/>
          <w:color w:val="000080"/>
          <w:sz w:val="36"/>
          <w:szCs w:val="36"/>
          <w:lang w:eastAsia="sk-SK"/>
        </w:rPr>
        <w:t xml:space="preserve"> 9: </w:t>
      </w:r>
      <w:r w:rsidR="002E4DD0" w:rsidRPr="0050404C">
        <w:rPr>
          <w:rFonts w:ascii="Calibri" w:eastAsia="Times New Roman" w:hAnsi="Calibri" w:cs="Calibri"/>
          <w:b/>
          <w:bCs/>
          <w:color w:val="000080"/>
          <w:sz w:val="36"/>
          <w:szCs w:val="36"/>
          <w:lang w:eastAsia="sk-SK"/>
        </w:rPr>
        <w:t>Šport</w:t>
      </w:r>
      <w:r w:rsidR="002E4DD0" w:rsidRPr="00263F8A">
        <w:rPr>
          <w:rFonts w:ascii="Calibri" w:eastAsia="Times New Roman" w:hAnsi="Calibri" w:cs="Calibri"/>
          <w:b/>
          <w:bCs/>
          <w:color w:val="000080"/>
          <w:sz w:val="36"/>
          <w:szCs w:val="36"/>
          <w:lang w:eastAsia="sk-SK"/>
        </w:rPr>
        <w:t xml:space="preserve"> a mládežnícke aktivity </w:t>
      </w:r>
    </w:p>
    <w:p w14:paraId="144373CA" w14:textId="77777777" w:rsidR="002E4DD0" w:rsidRPr="00263F8A" w:rsidRDefault="002E4DD0" w:rsidP="002E4DD0">
      <w:pPr>
        <w:spacing w:before="100" w:beforeAutospacing="1" w:after="100" w:afterAutospacing="1" w:line="240" w:lineRule="auto"/>
        <w:rPr>
          <w:rFonts w:eastAsia="Times New Roman" w:cstheme="minorHAnsi"/>
          <w:sz w:val="24"/>
          <w:szCs w:val="24"/>
          <w:lang w:eastAsia="sk-SK"/>
        </w:rPr>
      </w:pPr>
      <w:r w:rsidRPr="00263F8A">
        <w:rPr>
          <w:rFonts w:eastAsia="Times New Roman" w:cstheme="minorHAnsi"/>
          <w:b/>
          <w:bCs/>
          <w:sz w:val="24"/>
          <w:szCs w:val="24"/>
          <w:lang w:eastAsia="sk-SK"/>
        </w:rPr>
        <w:t xml:space="preserve">Zámer: </w:t>
      </w:r>
      <w:r w:rsidRPr="00263F8A">
        <w:rPr>
          <w:rFonts w:eastAsia="Times New Roman" w:cstheme="minorHAnsi"/>
          <w:sz w:val="24"/>
          <w:szCs w:val="24"/>
          <w:lang w:eastAsia="sk-SK"/>
        </w:rPr>
        <w:t xml:space="preserve">Bratislavský samosprávny kraj - kraj športu 21. storočia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86"/>
        <w:gridCol w:w="2054"/>
        <w:gridCol w:w="1462"/>
        <w:gridCol w:w="1462"/>
        <w:gridCol w:w="649"/>
        <w:gridCol w:w="1462"/>
        <w:gridCol w:w="649"/>
        <w:gridCol w:w="1462"/>
        <w:gridCol w:w="664"/>
      </w:tblGrid>
      <w:tr w:rsidR="002E4DD0" w:rsidRPr="00263F8A" w14:paraId="5B3FBA8F" w14:textId="77777777" w:rsidTr="0090478F">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ABDB7C3" w14:textId="77777777" w:rsidR="002E4DD0" w:rsidRPr="00263F8A" w:rsidRDefault="002E4DD0" w:rsidP="0090478F">
            <w:pPr>
              <w:spacing w:after="0" w:line="240" w:lineRule="auto"/>
              <w:jc w:val="center"/>
              <w:rPr>
                <w:rFonts w:eastAsia="Times New Roman" w:cstheme="minorHAnsi"/>
                <w:sz w:val="20"/>
                <w:szCs w:val="20"/>
                <w:lang w:eastAsia="sk-SK"/>
              </w:rPr>
            </w:pPr>
            <w:r w:rsidRPr="00263F8A">
              <w:rPr>
                <w:rFonts w:eastAsia="Times New Roman" w:cstheme="minorHAnsi"/>
                <w:b/>
                <w:bCs/>
                <w:i/>
                <w:iCs/>
                <w:sz w:val="20"/>
                <w:szCs w:val="20"/>
                <w:lang w:eastAsia="sk-SK"/>
              </w:rPr>
              <w:t>Rozpočet v EUR</w:t>
            </w:r>
          </w:p>
        </w:tc>
      </w:tr>
      <w:tr w:rsidR="00CA6F39" w:rsidRPr="00263F8A" w14:paraId="25F60D3E" w14:textId="77777777" w:rsidTr="00CA6F3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6E4F091"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b/>
                <w:bCs/>
                <w:sz w:val="20"/>
                <w:szCs w:val="20"/>
                <w:lang w:eastAsia="sk-SK"/>
              </w:rPr>
              <w:t>EK</w:t>
            </w:r>
          </w:p>
        </w:tc>
        <w:tc>
          <w:tcPr>
            <w:tcW w:w="96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7EDC4BE"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A16D3D" w14:textId="7C40C618" w:rsidR="00CA6F39" w:rsidRPr="00263F8A" w:rsidRDefault="00CA6F39" w:rsidP="00CA6F39">
            <w:pPr>
              <w:spacing w:after="0" w:line="240" w:lineRule="auto"/>
              <w:jc w:val="center"/>
              <w:rPr>
                <w:rFonts w:eastAsia="Times New Roman" w:cstheme="minorHAnsi"/>
                <w:sz w:val="20"/>
                <w:szCs w:val="20"/>
                <w:lang w:eastAsia="sk-SK"/>
              </w:rPr>
            </w:pPr>
            <w:r w:rsidRPr="00263F8A">
              <w:rPr>
                <w:rFonts w:eastAsia="Times New Roman" w:cstheme="minorHAnsi"/>
                <w:b/>
                <w:bCs/>
                <w:sz w:val="20"/>
                <w:szCs w:val="20"/>
                <w:lang w:eastAsia="sk-SK"/>
              </w:rPr>
              <w:t>202</w:t>
            </w:r>
            <w:r>
              <w:rPr>
                <w:rFonts w:eastAsia="Times New Roman" w:cstheme="minorHAnsi"/>
                <w:b/>
                <w:bCs/>
                <w:sz w:val="20"/>
                <w:szCs w:val="20"/>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6E88A30" w14:textId="6EE174E0" w:rsidR="00CA6F39" w:rsidRPr="00263F8A" w:rsidRDefault="00CA6F39" w:rsidP="00CA6F39">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20A22C9" w14:textId="6EAF6960" w:rsidR="00CA6F39" w:rsidRPr="00263F8A" w:rsidRDefault="00CA6F39" w:rsidP="00CA6F39">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E56093" w14:textId="449CD175" w:rsidR="00CA6F39" w:rsidRPr="00263F8A" w:rsidRDefault="00CA6F39" w:rsidP="00CA6F39">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2026</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B69C14" w14:textId="0C30D3BD" w:rsidR="00CA6F39" w:rsidRPr="00263F8A" w:rsidRDefault="00CA6F39" w:rsidP="00CA6F39">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B8E7957" w14:textId="1C55B9BE" w:rsidR="00CA6F39" w:rsidRPr="00263F8A" w:rsidRDefault="00CA6F39" w:rsidP="00CA6F39">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3D1E2CA" w14:textId="2571DDD2" w:rsidR="00CA6F39" w:rsidRPr="00263F8A" w:rsidRDefault="00CA6F39" w:rsidP="00CA6F39">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w:t>
            </w:r>
          </w:p>
        </w:tc>
      </w:tr>
      <w:tr w:rsidR="00CA6F39" w:rsidRPr="00263F8A" w14:paraId="132C2176"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66BD4A" w14:textId="77777777" w:rsidR="00CA6F39" w:rsidRPr="00263F8A" w:rsidRDefault="00CA6F39" w:rsidP="00CA6F39">
            <w:pPr>
              <w:spacing w:after="0" w:line="240" w:lineRule="auto"/>
              <w:jc w:val="center"/>
              <w:rPr>
                <w:rFonts w:eastAsia="Times New Roman" w:cstheme="minorHAnsi"/>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78C1CF"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b/>
                <w:bCs/>
                <w:sz w:val="20"/>
                <w:szCs w:val="20"/>
                <w:lang w:eastAsia="sk-SK"/>
              </w:rPr>
              <w:t>Výdavky celkom</w:t>
            </w:r>
            <w:r w:rsidRPr="00263F8A">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AFFAD7" w14:textId="0271D63E" w:rsidR="00CA6F39" w:rsidRPr="00263F8A" w:rsidRDefault="00CA6F39" w:rsidP="00CA6F39">
            <w:pPr>
              <w:spacing w:after="0" w:line="240" w:lineRule="auto"/>
              <w:jc w:val="right"/>
              <w:rPr>
                <w:rFonts w:eastAsia="Times New Roman" w:cstheme="minorHAnsi"/>
                <w:sz w:val="20"/>
                <w:szCs w:val="20"/>
                <w:lang w:eastAsia="sk-SK"/>
              </w:rPr>
            </w:pPr>
            <w:r>
              <w:rPr>
                <w:rFonts w:eastAsia="Times New Roman" w:cstheme="minorHAnsi"/>
                <w:b/>
                <w:bCs/>
                <w:sz w:val="20"/>
                <w:szCs w:val="20"/>
                <w:lang w:eastAsia="sk-SK"/>
              </w:rPr>
              <w:t>600</w:t>
            </w:r>
            <w:r w:rsidRPr="00263F8A">
              <w:rPr>
                <w:rFonts w:eastAsia="Times New Roman" w:cstheme="minorHAnsi"/>
                <w:b/>
                <w:bCs/>
                <w:sz w:val="20"/>
                <w:szCs w:val="20"/>
                <w:lang w:eastAsia="sk-SK"/>
              </w:rPr>
              <w:t xml:space="preserve"> 000,00</w:t>
            </w:r>
            <w:r w:rsidRPr="00263F8A">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36DF60" w14:textId="652C9216"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550 000,00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C24347A" w14:textId="1BD7E9FA"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91,67</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FDF48D" w14:textId="08C22C2A"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560 000,00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9BA2F6" w14:textId="52EA4200"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101,82</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C773C3" w14:textId="23EED72C"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570 000,00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B0C2C0" w14:textId="46A65EF2"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101,79</w:t>
            </w:r>
          </w:p>
        </w:tc>
      </w:tr>
      <w:tr w:rsidR="00CA6F39" w:rsidRPr="00263F8A" w14:paraId="419AAAB6"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0C59F3"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b/>
                <w:bCs/>
                <w:sz w:val="20"/>
                <w:szCs w:val="20"/>
                <w:lang w:eastAsia="sk-SK"/>
              </w:rPr>
              <w:t>600</w:t>
            </w:r>
            <w:r w:rsidRPr="00263F8A">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E38DF4"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b/>
                <w:bCs/>
                <w:sz w:val="20"/>
                <w:szCs w:val="20"/>
                <w:lang w:eastAsia="sk-SK"/>
              </w:rPr>
              <w:t>Bežné výdavky</w:t>
            </w:r>
            <w:r w:rsidRPr="00263F8A">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C998D7" w14:textId="57003375" w:rsidR="00CA6F39" w:rsidRPr="00263F8A" w:rsidRDefault="00CA6F39" w:rsidP="00CA6F39">
            <w:pPr>
              <w:spacing w:after="0" w:line="240" w:lineRule="auto"/>
              <w:jc w:val="right"/>
              <w:rPr>
                <w:rFonts w:eastAsia="Times New Roman" w:cstheme="minorHAnsi"/>
                <w:sz w:val="20"/>
                <w:szCs w:val="20"/>
                <w:lang w:eastAsia="sk-SK"/>
              </w:rPr>
            </w:pPr>
            <w:r>
              <w:rPr>
                <w:rFonts w:eastAsia="Times New Roman" w:cstheme="minorHAnsi"/>
                <w:b/>
                <w:bCs/>
                <w:sz w:val="20"/>
                <w:szCs w:val="20"/>
                <w:lang w:eastAsia="sk-SK"/>
              </w:rPr>
              <w:t>560</w:t>
            </w:r>
            <w:r w:rsidRPr="00263F8A">
              <w:rPr>
                <w:rFonts w:eastAsia="Times New Roman" w:cstheme="minorHAnsi"/>
                <w:b/>
                <w:bCs/>
                <w:sz w:val="20"/>
                <w:szCs w:val="20"/>
                <w:lang w:eastAsia="sk-SK"/>
              </w:rPr>
              <w:t xml:space="preserve"> 000,00</w:t>
            </w:r>
            <w:r w:rsidRPr="00263F8A">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F949B8" w14:textId="36F5B686"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510 000,00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8DFAF9" w14:textId="30DAA5D1"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91,07</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E20835" w14:textId="6BF492C9"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520 000,00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61CCDE" w14:textId="1EEB5B52"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101,96</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FD44FA" w14:textId="1A75530E"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530 000,00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4C0CFA" w14:textId="73328CDA"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101,92</w:t>
            </w:r>
          </w:p>
        </w:tc>
      </w:tr>
      <w:tr w:rsidR="00CA6F39" w:rsidRPr="00263F8A" w14:paraId="4784148C"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93E46D"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AF2168"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A17DA1" w14:textId="7A141FEA" w:rsidR="00CA6F39" w:rsidRPr="00263F8A" w:rsidRDefault="00CA6F39" w:rsidP="00CA6F39">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125</w:t>
            </w:r>
            <w:r w:rsidRPr="00263F8A">
              <w:rPr>
                <w:rFonts w:eastAsia="Times New Roman" w:cstheme="minorHAnsi"/>
                <w:sz w:val="20"/>
                <w:szCs w:val="20"/>
                <w:lang w:eastAsia="sk-SK"/>
              </w:rPr>
              <w:t xml:space="preserve">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5D643B" w14:textId="7971CDC3"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110 000,00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9DADDA3" w14:textId="0F0427F4"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88,00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758483" w14:textId="41FCADF9"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110 000,00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3699D0B" w14:textId="5CF2290C"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5BA7A00" w14:textId="772F8127"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110 000,00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DE72506" w14:textId="1EBE5B07"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100,00</w:t>
            </w:r>
          </w:p>
        </w:tc>
      </w:tr>
      <w:tr w:rsidR="00CA6F39" w:rsidRPr="00263F8A" w14:paraId="3764B54B"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150FA2"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058C5A"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FE60BA6" w14:textId="7050D4EF" w:rsidR="00CA6F39" w:rsidRPr="00263F8A" w:rsidRDefault="00CA6F39" w:rsidP="00CA6F39">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435</w:t>
            </w:r>
            <w:r w:rsidRPr="00263F8A">
              <w:rPr>
                <w:rFonts w:eastAsia="Times New Roman" w:cstheme="minorHAnsi"/>
                <w:sz w:val="20"/>
                <w:szCs w:val="20"/>
                <w:lang w:eastAsia="sk-SK"/>
              </w:rPr>
              <w:t xml:space="preserve">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59A68F" w14:textId="0D86A998"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400 000,00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557B230" w14:textId="599B58DF"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91,95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5BA730" w14:textId="0F1DBC2E"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410 000,00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729CEC7" w14:textId="707F3041"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102,50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EE892D" w14:textId="58BBE25C"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420 000,00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F1157DD" w14:textId="6B6DB5CE"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102,44</w:t>
            </w:r>
          </w:p>
        </w:tc>
      </w:tr>
      <w:tr w:rsidR="00CA6F39" w:rsidRPr="00263F8A" w14:paraId="1B018DC4"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8BC953"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b/>
                <w:bCs/>
                <w:sz w:val="20"/>
                <w:szCs w:val="20"/>
                <w:lang w:eastAsia="sk-SK"/>
              </w:rPr>
              <w:t>700</w:t>
            </w:r>
            <w:r w:rsidRPr="00263F8A">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B74F24"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b/>
                <w:bCs/>
                <w:sz w:val="20"/>
                <w:szCs w:val="20"/>
                <w:lang w:eastAsia="sk-SK"/>
              </w:rPr>
              <w:t>Kapitálové výdavky</w:t>
            </w:r>
            <w:r w:rsidRPr="00263F8A">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63F7B0" w14:textId="43097C72" w:rsidR="00CA6F39" w:rsidRPr="00263F8A" w:rsidRDefault="00CA6F39" w:rsidP="00CA6F39">
            <w:pPr>
              <w:spacing w:after="0" w:line="240" w:lineRule="auto"/>
              <w:jc w:val="right"/>
              <w:rPr>
                <w:rFonts w:eastAsia="Times New Roman" w:cstheme="minorHAnsi"/>
                <w:sz w:val="20"/>
                <w:szCs w:val="20"/>
                <w:lang w:eastAsia="sk-SK"/>
              </w:rPr>
            </w:pPr>
            <w:r>
              <w:rPr>
                <w:rFonts w:eastAsia="Times New Roman" w:cstheme="minorHAnsi"/>
                <w:b/>
                <w:bCs/>
                <w:sz w:val="20"/>
                <w:szCs w:val="20"/>
                <w:lang w:eastAsia="sk-SK"/>
              </w:rPr>
              <w:t>4</w:t>
            </w:r>
            <w:r w:rsidRPr="00263F8A">
              <w:rPr>
                <w:rFonts w:eastAsia="Times New Roman" w:cstheme="minorHAnsi"/>
                <w:b/>
                <w:bCs/>
                <w:sz w:val="20"/>
                <w:szCs w:val="20"/>
                <w:lang w:eastAsia="sk-SK"/>
              </w:rPr>
              <w:t>0 000,00</w:t>
            </w:r>
            <w:r w:rsidRPr="00263F8A">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21EC17" w14:textId="5E97A011"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40 000,00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76AD6F8" w14:textId="51CA7889"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C5ACCD" w14:textId="24C7AC85"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40 000,00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8323F7" w14:textId="6E517389"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C079F5D" w14:textId="7945263E"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40 000,00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796417" w14:textId="5C353051"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100,00</w:t>
            </w:r>
          </w:p>
        </w:tc>
      </w:tr>
      <w:tr w:rsidR="00CA6F39" w:rsidRPr="00263F8A" w14:paraId="0842C19E" w14:textId="77777777" w:rsidTr="0090478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A84FA7"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sz w:val="20"/>
                <w:szCs w:val="20"/>
                <w:lang w:eastAsia="sk-SK"/>
              </w:rPr>
              <w:t xml:space="preserve">720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047D07" w14:textId="77777777" w:rsidR="00CA6F39" w:rsidRPr="00263F8A" w:rsidRDefault="00CA6F39" w:rsidP="00CA6F39">
            <w:pPr>
              <w:spacing w:after="0" w:line="240" w:lineRule="auto"/>
              <w:rPr>
                <w:rFonts w:eastAsia="Times New Roman" w:cstheme="minorHAnsi"/>
                <w:sz w:val="20"/>
                <w:szCs w:val="20"/>
                <w:lang w:eastAsia="sk-SK"/>
              </w:rPr>
            </w:pPr>
            <w:r w:rsidRPr="00263F8A">
              <w:rPr>
                <w:rFonts w:eastAsia="Times New Roman" w:cstheme="minorHAnsi"/>
                <w:sz w:val="20"/>
                <w:szCs w:val="20"/>
                <w:lang w:eastAsia="sk-SK"/>
              </w:rPr>
              <w:t xml:space="preserve">Kapitálové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3D5AB2" w14:textId="0C522B18" w:rsidR="00CA6F39" w:rsidRPr="00263F8A" w:rsidRDefault="00CA6F39" w:rsidP="00CA6F39">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4</w:t>
            </w:r>
            <w:r w:rsidRPr="00263F8A">
              <w:rPr>
                <w:rFonts w:eastAsia="Times New Roman" w:cstheme="minorHAnsi"/>
                <w:sz w:val="20"/>
                <w:szCs w:val="20"/>
                <w:lang w:eastAsia="sk-SK"/>
              </w:rPr>
              <w:t xml:space="preserve">0 000,00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CD40BF" w14:textId="26DF6DDB"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40 000,00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139B050" w14:textId="0943850C"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D2DA721" w14:textId="711AAC6E"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40 000,00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0B71946D" w14:textId="23726ACE"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57E1C2" w14:textId="599DF9F6"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40 000,00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097C7FE2" w14:textId="21348A0D" w:rsidR="00CA6F39" w:rsidRPr="00263F8A" w:rsidRDefault="00CA6F39" w:rsidP="00CA6F39">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100,00</w:t>
            </w:r>
          </w:p>
        </w:tc>
      </w:tr>
    </w:tbl>
    <w:p w14:paraId="040A8CF0" w14:textId="77777777" w:rsidR="002E4DD0" w:rsidRPr="00263F8A" w:rsidRDefault="002E4DD0" w:rsidP="002E4DD0">
      <w:pPr>
        <w:spacing w:after="0" w:line="240" w:lineRule="auto"/>
        <w:rPr>
          <w:rFonts w:eastAsia="Times New Roman" w:cstheme="minorHAnsi"/>
          <w:vanish/>
          <w:sz w:val="20"/>
          <w:szCs w:val="20"/>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78"/>
        <w:gridCol w:w="2015"/>
        <w:gridCol w:w="2014"/>
        <w:gridCol w:w="2014"/>
        <w:gridCol w:w="2029"/>
      </w:tblGrid>
      <w:tr w:rsidR="002E4DD0" w:rsidRPr="00263F8A" w14:paraId="7343A9BA" w14:textId="77777777" w:rsidTr="0090478F">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3CD920E" w14:textId="77777777" w:rsidR="002E4DD0" w:rsidRPr="00263F8A" w:rsidRDefault="002E4DD0" w:rsidP="0090478F">
            <w:pPr>
              <w:spacing w:after="0" w:line="240" w:lineRule="auto"/>
              <w:rPr>
                <w:rFonts w:eastAsia="Times New Roman" w:cstheme="minorHAnsi"/>
                <w:sz w:val="20"/>
                <w:szCs w:val="20"/>
                <w:lang w:eastAsia="sk-SK"/>
              </w:rPr>
            </w:pPr>
            <w:r w:rsidRPr="00263F8A">
              <w:rPr>
                <w:rFonts w:eastAsia="Times New Roman" w:cstheme="minorHAnsi"/>
                <w:b/>
                <w:bCs/>
                <w:sz w:val="20"/>
                <w:szCs w:val="20"/>
                <w:lang w:eastAsia="sk-SK"/>
              </w:rPr>
              <w:t>Zodpovednosť</w:t>
            </w:r>
          </w:p>
        </w:tc>
        <w:tc>
          <w:tcPr>
            <w:tcW w:w="0" w:type="auto"/>
            <w:gridSpan w:val="4"/>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068E5C6" w14:textId="77777777" w:rsidR="002E4DD0" w:rsidRPr="00263F8A" w:rsidRDefault="002E4DD0" w:rsidP="0090478F">
            <w:pPr>
              <w:spacing w:after="0" w:line="240" w:lineRule="auto"/>
              <w:rPr>
                <w:rFonts w:eastAsia="Times New Roman" w:cstheme="minorHAnsi"/>
                <w:sz w:val="20"/>
                <w:szCs w:val="20"/>
                <w:lang w:eastAsia="sk-SK"/>
              </w:rPr>
            </w:pPr>
            <w:r w:rsidRPr="00263F8A">
              <w:rPr>
                <w:rFonts w:eastAsia="Times New Roman" w:cstheme="minorHAnsi"/>
                <w:sz w:val="20"/>
                <w:szCs w:val="20"/>
                <w:lang w:eastAsia="sk-SK"/>
              </w:rPr>
              <w:t>Odbor školstva, mládeže a športu</w:t>
            </w:r>
          </w:p>
        </w:tc>
      </w:tr>
      <w:tr w:rsidR="002E4DD0" w:rsidRPr="00263F8A" w14:paraId="1FCA322B" w14:textId="77777777" w:rsidTr="0090478F">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05D34BBF" w14:textId="77777777" w:rsidR="002E4DD0" w:rsidRPr="000F512F" w:rsidRDefault="002E4DD0" w:rsidP="0090478F">
            <w:pPr>
              <w:spacing w:after="0" w:line="240" w:lineRule="auto"/>
              <w:rPr>
                <w:rFonts w:eastAsia="Times New Roman" w:cstheme="minorHAnsi"/>
                <w:sz w:val="24"/>
                <w:szCs w:val="24"/>
                <w:lang w:eastAsia="sk-SK"/>
              </w:rPr>
            </w:pPr>
            <w:r w:rsidRPr="000F512F">
              <w:rPr>
                <w:rFonts w:eastAsia="Times New Roman" w:cstheme="minorHAnsi"/>
                <w:b/>
                <w:bCs/>
                <w:sz w:val="24"/>
                <w:szCs w:val="24"/>
                <w:lang w:eastAsia="sk-SK"/>
              </w:rPr>
              <w:t>Cieľ</w:t>
            </w:r>
          </w:p>
        </w:tc>
        <w:tc>
          <w:tcPr>
            <w:tcW w:w="0" w:type="auto"/>
            <w:gridSpan w:val="4"/>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60D8594" w14:textId="77777777" w:rsidR="002E4DD0" w:rsidRPr="000F512F" w:rsidRDefault="002E4DD0" w:rsidP="0090478F">
            <w:pPr>
              <w:spacing w:after="0" w:line="240" w:lineRule="auto"/>
              <w:rPr>
                <w:rFonts w:eastAsia="Times New Roman"/>
                <w:sz w:val="24"/>
                <w:szCs w:val="24"/>
                <w:lang w:eastAsia="sk-SK"/>
              </w:rPr>
            </w:pPr>
            <w:r w:rsidRPr="000F512F">
              <w:rPr>
                <w:rFonts w:eastAsia="Times New Roman"/>
                <w:b/>
                <w:bCs/>
                <w:sz w:val="24"/>
                <w:szCs w:val="24"/>
                <w:lang w:eastAsia="sk-SK"/>
              </w:rPr>
              <w:t>Zabezpečiť podporu mládežníckych a športových aktivít na území BSK</w:t>
            </w:r>
          </w:p>
        </w:tc>
      </w:tr>
      <w:tr w:rsidR="002E4DD0" w:rsidRPr="00263F8A" w14:paraId="3A2E569C" w14:textId="77777777" w:rsidTr="0090478F">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AF36654" w14:textId="77777777" w:rsidR="002E4DD0" w:rsidRPr="000F512F" w:rsidRDefault="002E4DD0" w:rsidP="0090478F">
            <w:pPr>
              <w:spacing w:after="0" w:line="240" w:lineRule="auto"/>
              <w:rPr>
                <w:rFonts w:eastAsia="Times New Roman" w:cstheme="minorHAnsi"/>
                <w:sz w:val="24"/>
                <w:szCs w:val="24"/>
                <w:lang w:eastAsia="sk-SK"/>
              </w:rPr>
            </w:pPr>
            <w:r w:rsidRPr="000F512F">
              <w:rPr>
                <w:rFonts w:eastAsia="Times New Roman" w:cstheme="minorHAnsi"/>
                <w:b/>
                <w:bCs/>
                <w:sz w:val="24"/>
                <w:szCs w:val="24"/>
                <w:lang w:eastAsia="sk-SK"/>
              </w:rPr>
              <w:lastRenderedPageBreak/>
              <w:t>Merateľný ukazovateľ</w:t>
            </w:r>
          </w:p>
        </w:tc>
        <w:tc>
          <w:tcPr>
            <w:tcW w:w="0" w:type="auto"/>
            <w:gridSpan w:val="4"/>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56A95BA9" w14:textId="77777777" w:rsidR="002E4DD0" w:rsidRPr="000F512F" w:rsidRDefault="002E4DD0" w:rsidP="0090478F">
            <w:pPr>
              <w:spacing w:after="0" w:line="240" w:lineRule="auto"/>
              <w:rPr>
                <w:rFonts w:eastAsia="Times New Roman"/>
                <w:sz w:val="24"/>
                <w:szCs w:val="24"/>
                <w:lang w:eastAsia="sk-SK"/>
              </w:rPr>
            </w:pPr>
            <w:r w:rsidRPr="000F512F">
              <w:rPr>
                <w:rFonts w:eastAsia="Times New Roman"/>
                <w:sz w:val="24"/>
                <w:szCs w:val="24"/>
                <w:lang w:eastAsia="sk-SK"/>
              </w:rPr>
              <w:t>Počet podporených mládežníckych a športových aktivít organizovaných školami</w:t>
            </w:r>
          </w:p>
        </w:tc>
      </w:tr>
      <w:tr w:rsidR="003D3877" w:rsidRPr="00263F8A" w14:paraId="42FBE079" w14:textId="77777777" w:rsidTr="0090478F">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EBD6DF3" w14:textId="77777777" w:rsidR="003D3877" w:rsidRPr="000F512F" w:rsidRDefault="003D3877" w:rsidP="003D3877">
            <w:pPr>
              <w:spacing w:after="0" w:line="240" w:lineRule="auto"/>
              <w:rPr>
                <w:rFonts w:eastAsia="Times New Roman" w:cstheme="minorHAnsi"/>
                <w:sz w:val="24"/>
                <w:szCs w:val="24"/>
                <w:lang w:eastAsia="sk-SK"/>
              </w:rPr>
            </w:pPr>
            <w:r w:rsidRPr="000F512F">
              <w:rPr>
                <w:rFonts w:eastAsia="Times New Roman" w:cstheme="minorHAnsi"/>
                <w:b/>
                <w:bCs/>
                <w:sz w:val="24"/>
                <w:szCs w:val="24"/>
                <w:lang w:eastAsia="sk-SK"/>
              </w:rPr>
              <w:t>Rok</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42FBD7F" w14:textId="39735506" w:rsidR="003D3877" w:rsidRPr="000F512F" w:rsidRDefault="003D3877" w:rsidP="003D3877">
            <w:pPr>
              <w:spacing w:after="0" w:line="240" w:lineRule="auto"/>
              <w:jc w:val="center"/>
              <w:rPr>
                <w:rFonts w:eastAsia="Times New Roman" w:cstheme="minorHAnsi"/>
                <w:sz w:val="24"/>
                <w:szCs w:val="24"/>
                <w:lang w:eastAsia="sk-SK"/>
              </w:rPr>
            </w:pPr>
            <w:r w:rsidRPr="000F512F">
              <w:rPr>
                <w:rFonts w:ascii="Calibri" w:eastAsia="Times New Roman" w:hAnsi="Calibri" w:cs="Calibri"/>
                <w:sz w:val="24"/>
                <w:szCs w:val="24"/>
              </w:rPr>
              <w:t>2024</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6859026" w14:textId="261A4BA5" w:rsidR="003D3877" w:rsidRPr="000F512F" w:rsidRDefault="003D3877" w:rsidP="003D3877">
            <w:pPr>
              <w:spacing w:after="0" w:line="240" w:lineRule="auto"/>
              <w:jc w:val="center"/>
              <w:rPr>
                <w:rFonts w:eastAsia="Times New Roman" w:cstheme="minorHAnsi"/>
                <w:sz w:val="24"/>
                <w:szCs w:val="24"/>
                <w:lang w:eastAsia="sk-SK"/>
              </w:rPr>
            </w:pPr>
            <w:r w:rsidRPr="000F512F">
              <w:rPr>
                <w:rFonts w:ascii="Calibri" w:eastAsia="Times New Roman" w:hAnsi="Calibri" w:cs="Calibri"/>
                <w:b/>
                <w:bCs/>
                <w:sz w:val="24"/>
                <w:szCs w:val="24"/>
              </w:rPr>
              <w:t>2025</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CF7C192" w14:textId="527F2D28" w:rsidR="003D3877" w:rsidRPr="000F512F" w:rsidRDefault="003D3877" w:rsidP="003D3877">
            <w:pPr>
              <w:spacing w:after="0" w:line="240" w:lineRule="auto"/>
              <w:jc w:val="center"/>
              <w:rPr>
                <w:rFonts w:eastAsia="Times New Roman" w:cstheme="minorHAnsi"/>
                <w:sz w:val="24"/>
                <w:szCs w:val="24"/>
                <w:lang w:eastAsia="sk-SK"/>
              </w:rPr>
            </w:pPr>
            <w:r w:rsidRPr="000F512F">
              <w:rPr>
                <w:rFonts w:ascii="Calibri" w:eastAsia="Times New Roman" w:hAnsi="Calibri" w:cs="Calibri"/>
                <w:sz w:val="24"/>
                <w:szCs w:val="24"/>
              </w:rPr>
              <w:t>2026</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7C9C79E" w14:textId="7D9D7292" w:rsidR="003D3877" w:rsidRPr="000F512F" w:rsidRDefault="003D3877" w:rsidP="003D3877">
            <w:pPr>
              <w:spacing w:after="0" w:line="240" w:lineRule="auto"/>
              <w:jc w:val="center"/>
              <w:rPr>
                <w:rFonts w:eastAsia="Times New Roman" w:cstheme="minorHAnsi"/>
                <w:sz w:val="24"/>
                <w:szCs w:val="24"/>
                <w:lang w:eastAsia="sk-SK"/>
              </w:rPr>
            </w:pPr>
            <w:r w:rsidRPr="000F512F">
              <w:rPr>
                <w:rFonts w:ascii="Calibri" w:eastAsia="Times New Roman" w:hAnsi="Calibri" w:cs="Calibri"/>
                <w:sz w:val="24"/>
                <w:szCs w:val="24"/>
              </w:rPr>
              <w:t>2027</w:t>
            </w:r>
          </w:p>
        </w:tc>
      </w:tr>
      <w:tr w:rsidR="002E4DD0" w:rsidRPr="00263F8A" w14:paraId="00569D6D" w14:textId="77777777" w:rsidTr="0090478F">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53DF6742" w14:textId="77777777" w:rsidR="002E4DD0" w:rsidRPr="000F512F" w:rsidRDefault="002E4DD0" w:rsidP="0090478F">
            <w:pPr>
              <w:spacing w:after="0" w:line="240" w:lineRule="auto"/>
              <w:rPr>
                <w:rFonts w:eastAsia="Times New Roman" w:cstheme="minorHAnsi"/>
                <w:sz w:val="24"/>
                <w:szCs w:val="24"/>
                <w:lang w:eastAsia="sk-SK"/>
              </w:rPr>
            </w:pPr>
            <w:r w:rsidRPr="000F512F">
              <w:rPr>
                <w:rFonts w:eastAsia="Times New Roman" w:cstheme="minorHAnsi"/>
                <w:b/>
                <w:bCs/>
                <w:sz w:val="24"/>
                <w:szCs w:val="24"/>
                <w:lang w:eastAsia="sk-SK"/>
              </w:rPr>
              <w:t>Plánovaná hodnota</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3C893EFF" w14:textId="77777777" w:rsidR="002E4DD0" w:rsidRPr="000F512F" w:rsidRDefault="002E4DD0" w:rsidP="0090478F">
            <w:pPr>
              <w:spacing w:after="0" w:line="240" w:lineRule="auto"/>
              <w:jc w:val="center"/>
              <w:rPr>
                <w:rFonts w:eastAsia="Times New Roman" w:cstheme="minorHAnsi"/>
                <w:sz w:val="24"/>
                <w:szCs w:val="24"/>
                <w:lang w:eastAsia="sk-SK"/>
              </w:rPr>
            </w:pPr>
            <w:r w:rsidRPr="000F512F">
              <w:rPr>
                <w:rFonts w:eastAsia="Times New Roman" w:cstheme="minorHAnsi"/>
                <w:sz w:val="24"/>
                <w:szCs w:val="24"/>
                <w:lang w:eastAsia="sk-SK"/>
              </w:rPr>
              <w:t> 110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78428550" w14:textId="77777777" w:rsidR="002E4DD0" w:rsidRPr="000F512F" w:rsidRDefault="002E4DD0" w:rsidP="0090478F">
            <w:pPr>
              <w:spacing w:after="0" w:line="240" w:lineRule="auto"/>
              <w:jc w:val="center"/>
              <w:rPr>
                <w:rFonts w:eastAsia="Times New Roman"/>
                <w:sz w:val="24"/>
                <w:szCs w:val="24"/>
                <w:lang w:eastAsia="sk-SK"/>
              </w:rPr>
            </w:pPr>
            <w:r w:rsidRPr="000F512F">
              <w:rPr>
                <w:rFonts w:eastAsia="Times New Roman"/>
                <w:b/>
                <w:bCs/>
                <w:sz w:val="24"/>
                <w:szCs w:val="24"/>
                <w:lang w:eastAsia="sk-SK"/>
              </w:rPr>
              <w:t> 110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2B01559C" w14:textId="77777777" w:rsidR="002E4DD0" w:rsidRPr="000F512F" w:rsidRDefault="002E4DD0" w:rsidP="0090478F">
            <w:pPr>
              <w:spacing w:after="0" w:line="240" w:lineRule="auto"/>
              <w:jc w:val="center"/>
              <w:rPr>
                <w:rFonts w:eastAsia="Times New Roman"/>
                <w:sz w:val="24"/>
                <w:szCs w:val="24"/>
                <w:lang w:eastAsia="sk-SK"/>
              </w:rPr>
            </w:pPr>
            <w:r w:rsidRPr="000F512F">
              <w:rPr>
                <w:rFonts w:eastAsia="Times New Roman"/>
                <w:sz w:val="24"/>
                <w:szCs w:val="24"/>
                <w:lang w:eastAsia="sk-SK"/>
              </w:rPr>
              <w:t> 110</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6D3E0BC6" w14:textId="77777777" w:rsidR="002E4DD0" w:rsidRPr="000F512F" w:rsidRDefault="002E4DD0" w:rsidP="0090478F">
            <w:pPr>
              <w:spacing w:after="0" w:line="240" w:lineRule="auto"/>
              <w:jc w:val="center"/>
              <w:rPr>
                <w:rFonts w:eastAsia="Times New Roman"/>
                <w:sz w:val="24"/>
                <w:szCs w:val="24"/>
                <w:lang w:eastAsia="sk-SK"/>
              </w:rPr>
            </w:pPr>
            <w:r w:rsidRPr="000F512F">
              <w:rPr>
                <w:rFonts w:eastAsia="Times New Roman"/>
                <w:sz w:val="24"/>
                <w:szCs w:val="24"/>
                <w:lang w:eastAsia="sk-SK"/>
              </w:rPr>
              <w:t> 110</w:t>
            </w:r>
          </w:p>
        </w:tc>
      </w:tr>
      <w:tr w:rsidR="002E4DD0" w:rsidRPr="00263F8A" w14:paraId="5709DC86" w14:textId="77777777" w:rsidTr="0090478F">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5E200B1" w14:textId="77777777" w:rsidR="002E4DD0" w:rsidRPr="000F512F" w:rsidRDefault="002E4DD0" w:rsidP="0090478F">
            <w:pPr>
              <w:spacing w:after="0" w:line="240" w:lineRule="auto"/>
              <w:rPr>
                <w:rFonts w:eastAsia="Times New Roman" w:cstheme="minorHAnsi"/>
                <w:sz w:val="24"/>
                <w:szCs w:val="24"/>
                <w:lang w:eastAsia="sk-SK"/>
              </w:rPr>
            </w:pPr>
            <w:r w:rsidRPr="000F512F">
              <w:rPr>
                <w:rFonts w:eastAsia="Times New Roman" w:cstheme="minorHAnsi"/>
                <w:b/>
                <w:bCs/>
                <w:sz w:val="24"/>
                <w:szCs w:val="24"/>
                <w:lang w:eastAsia="sk-SK"/>
              </w:rPr>
              <w:t>Merateľný ukazovateľ</w:t>
            </w:r>
          </w:p>
        </w:tc>
        <w:tc>
          <w:tcPr>
            <w:tcW w:w="0" w:type="auto"/>
            <w:gridSpan w:val="4"/>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A415295" w14:textId="77777777" w:rsidR="002E4DD0" w:rsidRPr="000F512F" w:rsidRDefault="002E4DD0" w:rsidP="0090478F">
            <w:pPr>
              <w:spacing w:after="0" w:line="240" w:lineRule="auto"/>
              <w:rPr>
                <w:rFonts w:eastAsia="Times New Roman" w:cstheme="minorHAnsi"/>
                <w:sz w:val="24"/>
                <w:szCs w:val="24"/>
                <w:lang w:eastAsia="sk-SK"/>
              </w:rPr>
            </w:pPr>
            <w:r w:rsidRPr="000F512F">
              <w:rPr>
                <w:rFonts w:eastAsia="Times New Roman" w:cstheme="minorHAnsi"/>
                <w:sz w:val="24"/>
                <w:szCs w:val="24"/>
                <w:lang w:eastAsia="sk-SK"/>
              </w:rPr>
              <w:t>Počet podporených ostatných aktivít</w:t>
            </w:r>
          </w:p>
        </w:tc>
      </w:tr>
      <w:tr w:rsidR="003D3877" w:rsidRPr="00263F8A" w14:paraId="6458EC9B" w14:textId="77777777" w:rsidTr="0090478F">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305DEE22" w14:textId="77777777" w:rsidR="003D3877" w:rsidRPr="000F512F" w:rsidRDefault="003D3877" w:rsidP="003D3877">
            <w:pPr>
              <w:spacing w:after="0" w:line="240" w:lineRule="auto"/>
              <w:rPr>
                <w:rFonts w:eastAsia="Times New Roman" w:cstheme="minorHAnsi"/>
                <w:sz w:val="24"/>
                <w:szCs w:val="24"/>
                <w:lang w:eastAsia="sk-SK"/>
              </w:rPr>
            </w:pPr>
            <w:r w:rsidRPr="000F512F">
              <w:rPr>
                <w:rFonts w:eastAsia="Times New Roman" w:cstheme="minorHAnsi"/>
                <w:b/>
                <w:bCs/>
                <w:sz w:val="24"/>
                <w:szCs w:val="24"/>
                <w:lang w:eastAsia="sk-SK"/>
              </w:rPr>
              <w:t>Rok</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E855829" w14:textId="7E52B03C" w:rsidR="003D3877" w:rsidRPr="000F512F" w:rsidRDefault="003D3877" w:rsidP="003D3877">
            <w:pPr>
              <w:spacing w:after="0" w:line="240" w:lineRule="auto"/>
              <w:jc w:val="center"/>
              <w:rPr>
                <w:rFonts w:eastAsia="Times New Roman" w:cstheme="minorHAnsi"/>
                <w:sz w:val="24"/>
                <w:szCs w:val="24"/>
                <w:lang w:eastAsia="sk-SK"/>
              </w:rPr>
            </w:pPr>
            <w:r w:rsidRPr="000F512F">
              <w:rPr>
                <w:rFonts w:ascii="Calibri" w:eastAsia="Times New Roman" w:hAnsi="Calibri" w:cs="Calibri"/>
                <w:sz w:val="24"/>
                <w:szCs w:val="24"/>
              </w:rPr>
              <w:t>2024</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7C93CD25" w14:textId="3F6C7567" w:rsidR="003D3877" w:rsidRPr="000F512F" w:rsidRDefault="003D3877" w:rsidP="003D3877">
            <w:pPr>
              <w:spacing w:after="0" w:line="240" w:lineRule="auto"/>
              <w:jc w:val="center"/>
              <w:rPr>
                <w:rFonts w:eastAsia="Times New Roman" w:cstheme="minorHAnsi"/>
                <w:sz w:val="24"/>
                <w:szCs w:val="24"/>
                <w:lang w:eastAsia="sk-SK"/>
              </w:rPr>
            </w:pPr>
            <w:r w:rsidRPr="000F512F">
              <w:rPr>
                <w:rFonts w:ascii="Calibri" w:eastAsia="Times New Roman" w:hAnsi="Calibri" w:cs="Calibri"/>
                <w:b/>
                <w:bCs/>
                <w:sz w:val="24"/>
                <w:szCs w:val="24"/>
              </w:rPr>
              <w:t>2025</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4D3203BE" w14:textId="4E9CD017" w:rsidR="003D3877" w:rsidRPr="000F512F" w:rsidRDefault="003D3877" w:rsidP="003D3877">
            <w:pPr>
              <w:spacing w:after="0" w:line="240" w:lineRule="auto"/>
              <w:jc w:val="center"/>
              <w:rPr>
                <w:rFonts w:eastAsia="Times New Roman" w:cstheme="minorHAnsi"/>
                <w:sz w:val="24"/>
                <w:szCs w:val="24"/>
                <w:lang w:eastAsia="sk-SK"/>
              </w:rPr>
            </w:pPr>
            <w:r w:rsidRPr="000F512F">
              <w:rPr>
                <w:rFonts w:ascii="Calibri" w:eastAsia="Times New Roman" w:hAnsi="Calibri" w:cs="Calibri"/>
                <w:sz w:val="24"/>
                <w:szCs w:val="24"/>
              </w:rPr>
              <w:t>2026</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12C6813E" w14:textId="0BA38892" w:rsidR="003D3877" w:rsidRPr="000F512F" w:rsidRDefault="003D3877" w:rsidP="003D3877">
            <w:pPr>
              <w:spacing w:after="0" w:line="240" w:lineRule="auto"/>
              <w:jc w:val="center"/>
              <w:rPr>
                <w:rFonts w:eastAsia="Times New Roman" w:cstheme="minorHAnsi"/>
                <w:sz w:val="24"/>
                <w:szCs w:val="24"/>
                <w:lang w:eastAsia="sk-SK"/>
              </w:rPr>
            </w:pPr>
            <w:r w:rsidRPr="000F512F">
              <w:rPr>
                <w:rFonts w:ascii="Calibri" w:eastAsia="Times New Roman" w:hAnsi="Calibri" w:cs="Calibri"/>
                <w:sz w:val="24"/>
                <w:szCs w:val="24"/>
              </w:rPr>
              <w:t>2027</w:t>
            </w:r>
          </w:p>
        </w:tc>
      </w:tr>
      <w:tr w:rsidR="002E4DD0" w:rsidRPr="00263F8A" w14:paraId="6D7CCF8A" w14:textId="77777777" w:rsidTr="0090478F">
        <w:trPr>
          <w:tblCellSpacing w:w="15" w:type="dxa"/>
        </w:trPr>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4279E248" w14:textId="77777777" w:rsidR="002E4DD0" w:rsidRPr="000F512F" w:rsidRDefault="002E4DD0" w:rsidP="0090478F">
            <w:pPr>
              <w:spacing w:after="0" w:line="240" w:lineRule="auto"/>
              <w:rPr>
                <w:rFonts w:eastAsia="Times New Roman" w:cstheme="minorHAnsi"/>
                <w:sz w:val="24"/>
                <w:szCs w:val="24"/>
                <w:lang w:eastAsia="sk-SK"/>
              </w:rPr>
            </w:pPr>
            <w:r w:rsidRPr="000F512F">
              <w:rPr>
                <w:rFonts w:eastAsia="Times New Roman" w:cstheme="minorHAnsi"/>
                <w:b/>
                <w:bCs/>
                <w:sz w:val="24"/>
                <w:szCs w:val="24"/>
                <w:lang w:eastAsia="sk-SK"/>
              </w:rPr>
              <w:t>Plánovaná hodnota</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58EAB42E" w14:textId="77777777" w:rsidR="002E4DD0" w:rsidRPr="000F512F" w:rsidRDefault="002E4DD0" w:rsidP="0090478F">
            <w:pPr>
              <w:spacing w:after="0" w:line="240" w:lineRule="auto"/>
              <w:jc w:val="center"/>
              <w:rPr>
                <w:rFonts w:eastAsia="Times New Roman" w:cstheme="minorHAnsi"/>
                <w:sz w:val="24"/>
                <w:szCs w:val="24"/>
                <w:lang w:eastAsia="sk-SK"/>
              </w:rPr>
            </w:pPr>
            <w:r w:rsidRPr="000F512F">
              <w:rPr>
                <w:rFonts w:eastAsia="Times New Roman" w:cstheme="minorHAnsi"/>
                <w:sz w:val="24"/>
                <w:szCs w:val="24"/>
                <w:lang w:eastAsia="sk-SK"/>
              </w:rPr>
              <w:t> 15</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3F0F2240" w14:textId="77777777" w:rsidR="002E4DD0" w:rsidRPr="000F512F" w:rsidRDefault="002E4DD0" w:rsidP="0090478F">
            <w:pPr>
              <w:spacing w:after="0" w:line="240" w:lineRule="auto"/>
              <w:jc w:val="center"/>
              <w:rPr>
                <w:rFonts w:eastAsia="Times New Roman"/>
                <w:b/>
                <w:bCs/>
                <w:sz w:val="24"/>
                <w:szCs w:val="24"/>
                <w:lang w:eastAsia="sk-SK"/>
              </w:rPr>
            </w:pPr>
            <w:r w:rsidRPr="000F512F">
              <w:rPr>
                <w:rFonts w:eastAsia="Times New Roman"/>
                <w:b/>
                <w:bCs/>
                <w:sz w:val="24"/>
                <w:szCs w:val="24"/>
                <w:lang w:eastAsia="sk-SK"/>
              </w:rPr>
              <w:t> 15</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42A1CD69" w14:textId="77777777" w:rsidR="002E4DD0" w:rsidRPr="000F512F" w:rsidRDefault="002E4DD0" w:rsidP="0090478F">
            <w:pPr>
              <w:spacing w:after="0" w:line="240" w:lineRule="auto"/>
              <w:jc w:val="center"/>
              <w:rPr>
                <w:rFonts w:eastAsia="Times New Roman"/>
                <w:sz w:val="24"/>
                <w:szCs w:val="24"/>
                <w:lang w:eastAsia="sk-SK"/>
              </w:rPr>
            </w:pPr>
            <w:r w:rsidRPr="000F512F">
              <w:rPr>
                <w:rFonts w:eastAsia="Times New Roman"/>
                <w:sz w:val="24"/>
                <w:szCs w:val="24"/>
                <w:lang w:eastAsia="sk-SK"/>
              </w:rPr>
              <w:t> 15</w:t>
            </w:r>
          </w:p>
        </w:tc>
        <w:tc>
          <w:tcPr>
            <w:tcW w:w="0" w:type="auto"/>
            <w:tcBorders>
              <w:top w:val="outset" w:sz="6" w:space="0" w:color="000000" w:themeColor="text1"/>
              <w:left w:val="outset" w:sz="6" w:space="0" w:color="000000" w:themeColor="text1"/>
              <w:bottom w:val="outset" w:sz="6" w:space="0" w:color="000000" w:themeColor="text1"/>
              <w:right w:val="outset" w:sz="6" w:space="0" w:color="000000" w:themeColor="text1"/>
            </w:tcBorders>
            <w:shd w:val="clear" w:color="auto" w:fill="CCDDFF"/>
            <w:vAlign w:val="center"/>
            <w:hideMark/>
          </w:tcPr>
          <w:p w14:paraId="54521F04" w14:textId="77777777" w:rsidR="002E4DD0" w:rsidRPr="000F512F" w:rsidRDefault="002E4DD0" w:rsidP="0090478F">
            <w:pPr>
              <w:spacing w:after="0" w:line="240" w:lineRule="auto"/>
              <w:jc w:val="center"/>
              <w:rPr>
                <w:rFonts w:eastAsia="Times New Roman"/>
                <w:sz w:val="24"/>
                <w:szCs w:val="24"/>
                <w:lang w:eastAsia="sk-SK"/>
              </w:rPr>
            </w:pPr>
            <w:r w:rsidRPr="000F512F">
              <w:rPr>
                <w:rFonts w:eastAsia="Times New Roman"/>
                <w:sz w:val="24"/>
                <w:szCs w:val="24"/>
                <w:lang w:eastAsia="sk-SK"/>
              </w:rPr>
              <w:t> 15</w:t>
            </w:r>
          </w:p>
        </w:tc>
      </w:tr>
    </w:tbl>
    <w:p w14:paraId="5372CA78" w14:textId="77777777" w:rsidR="008968C2" w:rsidRDefault="008968C2" w:rsidP="002E4DD0">
      <w:pPr>
        <w:jc w:val="both"/>
        <w:rPr>
          <w:rFonts w:ascii="Calibri bold" w:eastAsia="Times New Roman" w:hAnsi="Calibri bold" w:cs="Calibri"/>
          <w:b/>
          <w:bCs/>
          <w:sz w:val="24"/>
          <w:szCs w:val="24"/>
          <w:lang w:eastAsia="sk-SK"/>
        </w:rPr>
      </w:pPr>
    </w:p>
    <w:p w14:paraId="02FB71FE" w14:textId="05E8EA57" w:rsidR="002E4DD0" w:rsidRDefault="002E4DD0" w:rsidP="002E4DD0">
      <w:pPr>
        <w:jc w:val="both"/>
        <w:rPr>
          <w:rFonts w:eastAsia="Times New Roman" w:cstheme="minorHAnsi"/>
          <w:sz w:val="24"/>
          <w:szCs w:val="24"/>
          <w:lang w:eastAsia="sk-SK"/>
        </w:rPr>
      </w:pPr>
      <w:r w:rsidRPr="00B22931">
        <w:rPr>
          <w:rFonts w:ascii="Calibri bold" w:eastAsia="Times New Roman" w:hAnsi="Calibri bold" w:cs="Calibri"/>
          <w:b/>
          <w:bCs/>
          <w:sz w:val="24"/>
          <w:szCs w:val="24"/>
          <w:lang w:eastAsia="sk-SK"/>
        </w:rPr>
        <w:t xml:space="preserve">Komentár: </w:t>
      </w:r>
      <w:r w:rsidRPr="00B22931">
        <w:rPr>
          <w:rFonts w:eastAsia="Times New Roman" w:cstheme="minorHAnsi"/>
          <w:sz w:val="24"/>
          <w:szCs w:val="24"/>
          <w:lang w:eastAsia="sk-SK"/>
        </w:rPr>
        <w:t xml:space="preserve">Primeraná pohybová aktivita patrí k základným a určujúcim faktorom ovplyvňujúcim zdravie a dĺžku života, ktoré nie je možné iným spôsobom kompenzovať. Vzhľadom k stálemu znižovaniu prirodzenej fyzickej záťaže u všetkých vekových skupín občanov je preto funkcia športu v súčasnej dobe v ich živote nezastupiteľná. Platná legislatíva ukladá samosprávnym krajom vytvárať podmienky na rozvoj športu, rozpracovať koncepciu a program rozvoja športu na podmienky kraja. Tento program je zameraný na podporu pohybových aktivít </w:t>
      </w:r>
      <w:r>
        <w:rPr>
          <w:rFonts w:eastAsia="Times New Roman" w:cstheme="minorHAnsi"/>
          <w:sz w:val="24"/>
          <w:szCs w:val="24"/>
          <w:lang w:eastAsia="sk-SK"/>
        </w:rPr>
        <w:t xml:space="preserve">detí a mládeže </w:t>
      </w:r>
      <w:r w:rsidRPr="00B22931">
        <w:rPr>
          <w:rFonts w:eastAsia="Times New Roman" w:cstheme="minorHAnsi"/>
          <w:sz w:val="24"/>
          <w:szCs w:val="24"/>
          <w:lang w:eastAsia="sk-SK"/>
        </w:rPr>
        <w:t xml:space="preserve">Bratislavského samosprávneho kraja počnúc </w:t>
      </w:r>
      <w:r>
        <w:rPr>
          <w:rFonts w:eastAsia="Times New Roman" w:cstheme="minorHAnsi"/>
          <w:sz w:val="24"/>
          <w:szCs w:val="24"/>
          <w:lang w:eastAsia="sk-SK"/>
        </w:rPr>
        <w:t>športom na školách</w:t>
      </w:r>
      <w:r w:rsidRPr="00B22931">
        <w:rPr>
          <w:rFonts w:eastAsia="Times New Roman" w:cstheme="minorHAnsi"/>
          <w:sz w:val="24"/>
          <w:szCs w:val="24"/>
          <w:lang w:eastAsia="sk-SK"/>
        </w:rPr>
        <w:t xml:space="preserve"> cez rekreačný, výkonnostný šport až po reprezentáciu kraja a Slovenska.</w:t>
      </w:r>
    </w:p>
    <w:p w14:paraId="3AEABD46" w14:textId="1D364778" w:rsidR="00AB0886" w:rsidRPr="0050404C" w:rsidRDefault="002E4DD0" w:rsidP="0050404C">
      <w:pPr>
        <w:jc w:val="both"/>
        <w:rPr>
          <w:rFonts w:eastAsia="Times New Roman" w:cstheme="minorHAnsi"/>
          <w:sz w:val="24"/>
          <w:szCs w:val="24"/>
          <w:lang w:eastAsia="sk-SK"/>
        </w:rPr>
      </w:pPr>
      <w:r w:rsidRPr="00B22931">
        <w:rPr>
          <w:rFonts w:eastAsia="Times New Roman" w:cstheme="minorHAnsi"/>
          <w:sz w:val="24"/>
          <w:szCs w:val="24"/>
          <w:lang w:eastAsia="sk-SK"/>
        </w:rPr>
        <w:t xml:space="preserve">Pri realizácii systémových opatrení v oblasti práce s mládežou a mládežníckej politiky spolupracuje BSK so subjektami, ktoré sú kľúčovými a relevantnými hráčmi v oblasti podpory mládeže. Tieto subjekty sa venujú </w:t>
      </w:r>
      <w:r>
        <w:rPr>
          <w:rFonts w:eastAsia="Times New Roman" w:cstheme="minorHAnsi"/>
          <w:sz w:val="24"/>
          <w:szCs w:val="24"/>
          <w:lang w:eastAsia="sk-SK"/>
        </w:rPr>
        <w:t xml:space="preserve">rôznym </w:t>
      </w:r>
      <w:r w:rsidRPr="00B22931">
        <w:rPr>
          <w:rFonts w:eastAsia="Times New Roman" w:cstheme="minorHAnsi"/>
          <w:sz w:val="24"/>
          <w:szCs w:val="24"/>
          <w:lang w:eastAsia="sk-SK"/>
        </w:rPr>
        <w:t>oblastiam s cieľovou skupinou mládež - neformálnemu vzdelávaniu, zdrav</w:t>
      </w:r>
      <w:r>
        <w:rPr>
          <w:rFonts w:eastAsia="Times New Roman" w:cstheme="minorHAnsi"/>
          <w:sz w:val="24"/>
          <w:szCs w:val="24"/>
          <w:lang w:eastAsia="sk-SK"/>
        </w:rPr>
        <w:t>ému životnému štýlu</w:t>
      </w:r>
      <w:r w:rsidRPr="00B22931">
        <w:rPr>
          <w:rFonts w:eastAsia="Times New Roman" w:cstheme="minorHAnsi"/>
          <w:sz w:val="24"/>
          <w:szCs w:val="24"/>
          <w:lang w:eastAsia="sk-SK"/>
        </w:rPr>
        <w:t xml:space="preserve">, športu, participácii, </w:t>
      </w:r>
      <w:r>
        <w:rPr>
          <w:rFonts w:eastAsia="Times New Roman" w:cstheme="minorHAnsi"/>
          <w:sz w:val="24"/>
          <w:szCs w:val="24"/>
          <w:lang w:eastAsia="sk-SK"/>
        </w:rPr>
        <w:t xml:space="preserve">osvete, dobrovoľníctvu, </w:t>
      </w:r>
      <w:r w:rsidRPr="00B22931">
        <w:rPr>
          <w:rFonts w:eastAsia="Times New Roman" w:cstheme="minorHAnsi"/>
          <w:sz w:val="24"/>
          <w:szCs w:val="24"/>
          <w:lang w:eastAsia="sk-SK"/>
        </w:rPr>
        <w:t xml:space="preserve">voľnočasovej aktivite, t. j. celkovému zvyšovaniu kvality života mladých. </w:t>
      </w:r>
      <w:r>
        <w:rPr>
          <w:rFonts w:eastAsia="Times New Roman" w:cstheme="minorHAnsi"/>
          <w:sz w:val="24"/>
          <w:szCs w:val="24"/>
          <w:lang w:eastAsia="sk-SK"/>
        </w:rPr>
        <w:t>P</w:t>
      </w:r>
      <w:r w:rsidRPr="00B22931">
        <w:rPr>
          <w:rFonts w:eastAsia="Times New Roman" w:cstheme="minorHAnsi"/>
          <w:sz w:val="24"/>
          <w:szCs w:val="24"/>
          <w:lang w:eastAsia="sk-SK"/>
        </w:rPr>
        <w:t>odpora týchto aktivít a subjektov je jednou z hlavných priorít BSK v napĺňaní regionálnych kompetencií pri práci s deťmi a mládežou.</w:t>
      </w:r>
      <w:r>
        <w:rPr>
          <w:rFonts w:eastAsia="Times New Roman" w:cstheme="minorHAnsi"/>
          <w:sz w:val="24"/>
          <w:szCs w:val="24"/>
          <w:lang w:eastAsia="sk-SK"/>
        </w:rPr>
        <w:t xml:space="preserve"> </w:t>
      </w:r>
      <w:r>
        <w:rPr>
          <w:rFonts w:eastAsia="Times New Roman" w:cstheme="minorHAnsi"/>
          <w:sz w:val="24"/>
          <w:szCs w:val="24"/>
          <w:lang w:eastAsia="sk-SK"/>
        </w:rPr>
        <w:tab/>
        <w:t xml:space="preserve">                                    </w:t>
      </w:r>
      <w:r w:rsidRPr="00B22931">
        <w:rPr>
          <w:rFonts w:eastAsia="Times New Roman" w:cstheme="minorHAnsi"/>
          <w:sz w:val="24"/>
          <w:szCs w:val="24"/>
          <w:lang w:eastAsia="sk-SK"/>
        </w:rPr>
        <w:t xml:space="preserve"> </w:t>
      </w:r>
    </w:p>
    <w:p w14:paraId="2BEEB51F" w14:textId="77777777" w:rsidR="006A29DA" w:rsidRDefault="006A29DA" w:rsidP="00427052">
      <w:pPr>
        <w:spacing w:after="0" w:line="240" w:lineRule="auto"/>
        <w:outlineLvl w:val="1"/>
        <w:rPr>
          <w:rFonts w:eastAsia="Times New Roman" w:cstheme="minorHAnsi"/>
          <w:b/>
          <w:bCs/>
          <w:color w:val="000080"/>
          <w:sz w:val="36"/>
          <w:szCs w:val="36"/>
          <w:lang w:eastAsia="sk-SK"/>
        </w:rPr>
      </w:pPr>
    </w:p>
    <w:p w14:paraId="38CA28E3" w14:textId="5F391530" w:rsidR="00427052" w:rsidRPr="00427052" w:rsidRDefault="00427052" w:rsidP="00427052">
      <w:pPr>
        <w:spacing w:after="0" w:line="240" w:lineRule="auto"/>
        <w:outlineLvl w:val="1"/>
        <w:rPr>
          <w:rFonts w:eastAsia="Times New Roman" w:cstheme="minorHAnsi"/>
          <w:b/>
          <w:bCs/>
          <w:color w:val="000080"/>
          <w:sz w:val="36"/>
          <w:szCs w:val="36"/>
          <w:lang w:eastAsia="sk-SK"/>
        </w:rPr>
      </w:pPr>
      <w:r w:rsidRPr="001A5BC7">
        <w:rPr>
          <w:rFonts w:eastAsia="Times New Roman" w:cstheme="minorHAnsi"/>
          <w:b/>
          <w:bCs/>
          <w:color w:val="000080"/>
          <w:sz w:val="36"/>
          <w:szCs w:val="36"/>
          <w:lang w:eastAsia="sk-SK"/>
        </w:rPr>
        <w:t>Program 10: Kultúra</w:t>
      </w:r>
      <w:r w:rsidRPr="00427052">
        <w:rPr>
          <w:rFonts w:eastAsia="Times New Roman" w:cstheme="minorHAnsi"/>
          <w:b/>
          <w:bCs/>
          <w:color w:val="000080"/>
          <w:sz w:val="36"/>
          <w:szCs w:val="36"/>
          <w:lang w:eastAsia="sk-SK"/>
        </w:rPr>
        <w:t xml:space="preserve"> </w:t>
      </w:r>
    </w:p>
    <w:p w14:paraId="3E8F6E8C" w14:textId="77777777" w:rsidR="00427052" w:rsidRPr="00427052" w:rsidRDefault="00427052" w:rsidP="00427052">
      <w:pPr>
        <w:spacing w:after="0" w:line="240" w:lineRule="auto"/>
        <w:outlineLvl w:val="1"/>
        <w:rPr>
          <w:rFonts w:eastAsia="Times New Roman" w:cstheme="minorHAnsi"/>
          <w:b/>
          <w:bCs/>
          <w:sz w:val="24"/>
          <w:szCs w:val="24"/>
          <w:lang w:eastAsia="sk-SK"/>
        </w:rPr>
      </w:pPr>
    </w:p>
    <w:p w14:paraId="1F90C1C9" w14:textId="77777777" w:rsidR="00427052" w:rsidRDefault="00427052" w:rsidP="00427052">
      <w:pPr>
        <w:spacing w:after="0" w:line="240" w:lineRule="auto"/>
        <w:jc w:val="both"/>
        <w:rPr>
          <w:rFonts w:eastAsiaTheme="minorEastAsia" w:cstheme="minorHAnsi"/>
          <w:sz w:val="24"/>
          <w:szCs w:val="24"/>
          <w:lang w:eastAsia="sk-SK"/>
        </w:rPr>
      </w:pPr>
      <w:r w:rsidRPr="00427052">
        <w:rPr>
          <w:rFonts w:eastAsiaTheme="minorEastAsia" w:cstheme="minorHAnsi"/>
          <w:b/>
          <w:bCs/>
          <w:sz w:val="24"/>
          <w:szCs w:val="24"/>
          <w:lang w:eastAsia="sk-SK"/>
        </w:rPr>
        <w:t xml:space="preserve">Zámer: </w:t>
      </w:r>
      <w:r w:rsidRPr="00427052">
        <w:rPr>
          <w:rFonts w:eastAsiaTheme="minorEastAsia" w:cstheme="minorHAnsi"/>
          <w:sz w:val="24"/>
          <w:szCs w:val="24"/>
          <w:lang w:eastAsia="sk-SK"/>
        </w:rPr>
        <w:t>Zabezpečenie výkonu originálnych a prenesených kompetencií v oblasti kultúry, Ochrana a prezentácia kultúrneho dedičstva, Vytváranie podmienok pre kultúrne aktivity a umeleckú tvorbu, Vytváranie kultúrneho priestoru dostupného všetkým obyvateľom a návštevníkom Bratislavského samosprávneho kraja.</w:t>
      </w:r>
    </w:p>
    <w:p w14:paraId="6BDE4B65" w14:textId="77777777" w:rsidR="00427052" w:rsidRPr="00427052" w:rsidRDefault="00427052" w:rsidP="00427052">
      <w:pPr>
        <w:spacing w:after="0" w:line="240" w:lineRule="auto"/>
        <w:jc w:val="both"/>
        <w:rPr>
          <w:rFonts w:eastAsiaTheme="minorEastAsia" w:cstheme="minorHAnsi"/>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8"/>
        <w:gridCol w:w="2287"/>
        <w:gridCol w:w="1387"/>
        <w:gridCol w:w="1387"/>
        <w:gridCol w:w="704"/>
        <w:gridCol w:w="1387"/>
        <w:gridCol w:w="704"/>
        <w:gridCol w:w="1387"/>
        <w:gridCol w:w="719"/>
      </w:tblGrid>
      <w:tr w:rsidR="00427052" w:rsidRPr="00427052" w14:paraId="7BFBA16D" w14:textId="77777777" w:rsidTr="00A55DA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F66F618" w14:textId="77777777"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b/>
                <w:bCs/>
                <w:i/>
                <w:iCs/>
                <w:sz w:val="24"/>
                <w:szCs w:val="24"/>
                <w:lang w:eastAsia="sk-SK"/>
              </w:rPr>
              <w:t>Rozpočet v EUR</w:t>
            </w:r>
          </w:p>
        </w:tc>
      </w:tr>
      <w:tr w:rsidR="0044010C" w:rsidRPr="00427052" w14:paraId="5E0E7458" w14:textId="77777777" w:rsidTr="0044010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F6CC0F7"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EK</w:t>
            </w:r>
          </w:p>
        </w:tc>
        <w:tc>
          <w:tcPr>
            <w:tcW w:w="111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A33B301"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C66D6CC" w14:textId="30CCD7E2" w:rsidR="0044010C" w:rsidRPr="00427052" w:rsidRDefault="0044010C" w:rsidP="0044010C">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04B3B1C" w14:textId="5AD2A80A" w:rsidR="0044010C" w:rsidRPr="00427052" w:rsidRDefault="0044010C" w:rsidP="0044010C">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2025</w:t>
            </w:r>
          </w:p>
        </w:tc>
        <w:tc>
          <w:tcPr>
            <w:tcW w:w="3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1276356" w14:textId="3D4138E8" w:rsidR="0044010C" w:rsidRPr="00427052" w:rsidRDefault="0044010C" w:rsidP="0044010C">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1A9CA1" w14:textId="12959DFD" w:rsidR="0044010C" w:rsidRPr="00427052" w:rsidRDefault="0044010C" w:rsidP="0044010C">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2026</w:t>
            </w:r>
          </w:p>
        </w:tc>
        <w:tc>
          <w:tcPr>
            <w:tcW w:w="3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F7A3C8" w14:textId="32195403" w:rsidR="0044010C" w:rsidRPr="00427052" w:rsidRDefault="0044010C" w:rsidP="0044010C">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952FA96" w14:textId="1D8A4841" w:rsidR="0044010C" w:rsidRPr="00427052" w:rsidRDefault="0044010C" w:rsidP="0044010C">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2027</w:t>
            </w:r>
          </w:p>
        </w:tc>
        <w:tc>
          <w:tcPr>
            <w:tcW w:w="3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F64188C" w14:textId="4C1EA655" w:rsidR="0044010C" w:rsidRPr="00427052" w:rsidRDefault="0044010C" w:rsidP="0044010C">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w:t>
            </w:r>
          </w:p>
        </w:tc>
      </w:tr>
      <w:tr w:rsidR="0044010C" w:rsidRPr="00427052" w14:paraId="7B40EA41" w14:textId="77777777" w:rsidTr="0044010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924ABA" w14:textId="77777777" w:rsidR="0044010C" w:rsidRPr="00427052" w:rsidRDefault="0044010C" w:rsidP="0044010C">
            <w:pPr>
              <w:spacing w:after="0" w:line="240" w:lineRule="auto"/>
              <w:jc w:val="center"/>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49BDF3"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Výdavky celkom</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090133" w14:textId="7DA40088"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6 913 430,00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7FC6EA" w14:textId="226906B3"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7 187 357,07</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FEBA20" w14:textId="612C090A"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103,96</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374387" w14:textId="16B7AEA4"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7 362 407,17</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266D15" w14:textId="43025D12"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102,44</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338CB5" w14:textId="7B750E45"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7 648 420,45</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A9B992" w14:textId="371E31C7"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103,88</w:t>
            </w:r>
            <w:r w:rsidRPr="0076205D">
              <w:rPr>
                <w:rFonts w:ascii="Calibri" w:eastAsia="Times New Roman" w:hAnsi="Calibri" w:cs="Calibri"/>
              </w:rPr>
              <w:t xml:space="preserve"> </w:t>
            </w:r>
          </w:p>
        </w:tc>
      </w:tr>
      <w:tr w:rsidR="0044010C" w:rsidRPr="00427052" w14:paraId="6EE21375" w14:textId="77777777" w:rsidTr="0044010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67C61D"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600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27FBD0"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Bežné výdavky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F413A8" w14:textId="6E1E88FB"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6 160 630,00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2A2FD9A" w14:textId="73EC09A6"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6 941 357,07</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E7FA87" w14:textId="1362F1D7"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112,67</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82D100" w14:textId="37B96BE6"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7 077 407,17</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98E389" w14:textId="7928D868"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101,96</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5DE63F" w14:textId="2128864C"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7 353 420,45</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56D2CF" w14:textId="75443FCA"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103,90</w:t>
            </w:r>
            <w:r w:rsidRPr="0076205D">
              <w:rPr>
                <w:rFonts w:ascii="Calibri" w:eastAsia="Times New Roman" w:hAnsi="Calibri" w:cs="Calibri"/>
              </w:rPr>
              <w:t xml:space="preserve"> </w:t>
            </w:r>
          </w:p>
        </w:tc>
      </w:tr>
      <w:tr w:rsidR="0044010C" w:rsidRPr="00427052" w14:paraId="6A500BB0" w14:textId="77777777" w:rsidTr="0044010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115B8C"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630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F2075E"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Tovary a služby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115E37" w14:textId="5A184C59"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469 800,00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583F3F" w14:textId="3856A09D"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724 300,00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0B7F1082" w14:textId="6CA3B03C"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154,17</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A8FCAE" w14:textId="2AE2CB5F"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636 800,00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01F2748F" w14:textId="056B85D1"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87,92</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D6E4127" w14:textId="61ADD0FE"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636 300,00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19C65FA5" w14:textId="40EF89B7"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99,92</w:t>
            </w:r>
            <w:r w:rsidRPr="0076205D">
              <w:rPr>
                <w:rFonts w:ascii="Calibri" w:eastAsia="Times New Roman" w:hAnsi="Calibri" w:cs="Calibri"/>
              </w:rPr>
              <w:t xml:space="preserve"> </w:t>
            </w:r>
          </w:p>
        </w:tc>
      </w:tr>
      <w:tr w:rsidR="0044010C" w:rsidRPr="00427052" w14:paraId="109E0278" w14:textId="77777777" w:rsidTr="0044010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DD5B79"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640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0AE017"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Bežné transfery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438F7F" w14:textId="7C311329"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5 690 830,00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E4DD5E" w14:textId="303AADA0"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6 217 057,07</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030D3E03" w14:textId="2EFAA793"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109,25</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10AAEB" w14:textId="2B2F0FFE"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6 440 607,17</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5079CB32" w14:textId="60E7C380"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103,60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751521" w14:textId="67DE3B9E"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6 717 120,45</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05B87646" w14:textId="089586A5"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104,29</w:t>
            </w:r>
            <w:r w:rsidRPr="0076205D">
              <w:rPr>
                <w:rFonts w:ascii="Calibri" w:eastAsia="Times New Roman" w:hAnsi="Calibri" w:cs="Calibri"/>
              </w:rPr>
              <w:t xml:space="preserve"> </w:t>
            </w:r>
          </w:p>
        </w:tc>
      </w:tr>
      <w:tr w:rsidR="0044010C" w:rsidRPr="00427052" w14:paraId="7C14C8D7" w14:textId="77777777" w:rsidTr="0044010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D1816D"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700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5EDF2E"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Kapitálové výdavky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A4C479" w14:textId="2165A77A"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752 800,00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122ADB" w14:textId="6E5C1FAC"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246 000,00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02BF51" w14:textId="038DBA0D"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32,68</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726344" w14:textId="4E6D30A8"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285 000,00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56DD33" w14:textId="1D3B189E"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115,85</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70E1E4" w14:textId="5B4FC933"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295 000,00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D96C51D" w14:textId="0D3BF3F6"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103,51</w:t>
            </w:r>
            <w:r w:rsidRPr="0076205D">
              <w:rPr>
                <w:rFonts w:ascii="Calibri" w:eastAsia="Times New Roman" w:hAnsi="Calibri" w:cs="Calibri"/>
              </w:rPr>
              <w:t xml:space="preserve"> </w:t>
            </w:r>
          </w:p>
        </w:tc>
      </w:tr>
      <w:tr w:rsidR="0044010C" w:rsidRPr="00427052" w14:paraId="26031771" w14:textId="77777777" w:rsidTr="0044010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69E21B" w14:textId="77777777" w:rsidR="0044010C" w:rsidRPr="00427052" w:rsidRDefault="0044010C" w:rsidP="0044010C">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710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140558" w14:textId="77777777" w:rsidR="0044010C" w:rsidRPr="00427052" w:rsidRDefault="0044010C" w:rsidP="0044010C">
            <w:pPr>
              <w:spacing w:after="0" w:line="240" w:lineRule="auto"/>
              <w:rPr>
                <w:rFonts w:eastAsia="Times New Roman" w:cstheme="minorHAnsi"/>
                <w:sz w:val="24"/>
                <w:szCs w:val="24"/>
                <w:lang w:eastAsia="sk-SK"/>
              </w:rPr>
            </w:pPr>
            <w:proofErr w:type="spellStart"/>
            <w:r w:rsidRPr="00427052">
              <w:rPr>
                <w:rFonts w:eastAsia="Times New Roman" w:cstheme="minorHAnsi"/>
                <w:sz w:val="20"/>
                <w:szCs w:val="20"/>
                <w:lang w:eastAsia="sk-SK"/>
              </w:rPr>
              <w:t>Obst</w:t>
            </w:r>
            <w:proofErr w:type="spellEnd"/>
            <w:r w:rsidRPr="00427052">
              <w:rPr>
                <w:rFonts w:eastAsia="Times New Roman" w:cstheme="minorHAnsi"/>
                <w:sz w:val="20"/>
                <w:szCs w:val="20"/>
                <w:lang w:eastAsia="sk-SK"/>
              </w:rPr>
              <w:t xml:space="preserve">. </w:t>
            </w:r>
            <w:proofErr w:type="spellStart"/>
            <w:r w:rsidRPr="00427052">
              <w:rPr>
                <w:rFonts w:eastAsia="Times New Roman" w:cstheme="minorHAnsi"/>
                <w:sz w:val="20"/>
                <w:szCs w:val="20"/>
                <w:lang w:eastAsia="sk-SK"/>
              </w:rPr>
              <w:t>kapit</w:t>
            </w:r>
            <w:proofErr w:type="spellEnd"/>
            <w:r w:rsidRPr="00427052">
              <w:rPr>
                <w:rFonts w:eastAsia="Times New Roman" w:cstheme="minorHAnsi"/>
                <w:sz w:val="20"/>
                <w:szCs w:val="20"/>
                <w:lang w:eastAsia="sk-SK"/>
              </w:rPr>
              <w:t>. aktív</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1DCB25" w14:textId="4AD38D78"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401 800,00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0743E7" w14:textId="2AAE8F2C"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246 000,00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4FC4B954" w14:textId="6387B3A8"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61,22</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069F23" w14:textId="00556183"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285 000,00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1E13D078" w14:textId="6E659896"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115,85</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313B65" w14:textId="50573D1A"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295 000,00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70C08D8C" w14:textId="6E1D1286" w:rsidR="0044010C" w:rsidRPr="00427052" w:rsidRDefault="0044010C" w:rsidP="0044010C">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103,51</w:t>
            </w:r>
            <w:r w:rsidRPr="0076205D">
              <w:rPr>
                <w:rFonts w:ascii="Calibri" w:eastAsia="Times New Roman" w:hAnsi="Calibri" w:cs="Calibri"/>
              </w:rPr>
              <w:t xml:space="preserve"> </w:t>
            </w:r>
          </w:p>
        </w:tc>
      </w:tr>
      <w:tr w:rsidR="0044010C" w:rsidRPr="00427052" w14:paraId="7D1BD186" w14:textId="77777777" w:rsidTr="0044010C">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tcPr>
          <w:p w14:paraId="5FA70CF6" w14:textId="77777777" w:rsidR="0044010C" w:rsidRPr="00427052" w:rsidRDefault="0044010C" w:rsidP="0044010C">
            <w:pPr>
              <w:spacing w:after="0" w:line="240" w:lineRule="auto"/>
              <w:rPr>
                <w:rFonts w:eastAsia="Times New Roman" w:cstheme="minorHAnsi"/>
                <w:sz w:val="20"/>
                <w:szCs w:val="20"/>
                <w:lang w:eastAsia="sk-SK"/>
              </w:rPr>
            </w:pPr>
            <w:r w:rsidRPr="00427052">
              <w:rPr>
                <w:rFonts w:eastAsia="Times New Roman" w:cstheme="minorHAnsi"/>
                <w:sz w:val="20"/>
                <w:szCs w:val="20"/>
                <w:lang w:eastAsia="sk-SK"/>
              </w:rPr>
              <w:t>720</w:t>
            </w:r>
          </w:p>
        </w:tc>
        <w:tc>
          <w:tcPr>
            <w:tcW w:w="0" w:type="auto"/>
            <w:tcBorders>
              <w:top w:val="outset" w:sz="6" w:space="0" w:color="000000"/>
              <w:left w:val="outset" w:sz="6" w:space="0" w:color="000000"/>
              <w:bottom w:val="outset" w:sz="6" w:space="0" w:color="000000"/>
              <w:right w:val="outset" w:sz="6" w:space="0" w:color="000000"/>
            </w:tcBorders>
            <w:vAlign w:val="center"/>
          </w:tcPr>
          <w:p w14:paraId="26A91B13" w14:textId="77777777" w:rsidR="0044010C" w:rsidRPr="00427052" w:rsidRDefault="0044010C" w:rsidP="0044010C">
            <w:pPr>
              <w:spacing w:after="0" w:line="240" w:lineRule="auto"/>
              <w:rPr>
                <w:rFonts w:eastAsia="Times New Roman" w:cstheme="minorHAnsi"/>
                <w:sz w:val="20"/>
                <w:szCs w:val="20"/>
                <w:lang w:eastAsia="sk-SK"/>
              </w:rPr>
            </w:pPr>
            <w:r w:rsidRPr="00427052">
              <w:rPr>
                <w:rFonts w:eastAsia="Times New Roman" w:cstheme="minorHAnsi"/>
                <w:sz w:val="20"/>
                <w:szCs w:val="20"/>
                <w:lang w:eastAsia="sk-SK"/>
              </w:rPr>
              <w:t>Kapitálové transfery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14:paraId="40807C59" w14:textId="346E2222" w:rsidR="0044010C" w:rsidRPr="00427052" w:rsidRDefault="0044010C" w:rsidP="0044010C">
            <w:pPr>
              <w:spacing w:after="0" w:line="240" w:lineRule="auto"/>
              <w:jc w:val="right"/>
              <w:rPr>
                <w:rFonts w:eastAsia="Times New Roman" w:cstheme="minorHAnsi"/>
                <w:sz w:val="20"/>
                <w:szCs w:val="20"/>
                <w:lang w:eastAsia="sk-SK"/>
              </w:rPr>
            </w:pPr>
            <w:r w:rsidRPr="0076205D">
              <w:rPr>
                <w:rFonts w:ascii="Calibri" w:eastAsia="Times New Roman" w:hAnsi="Calibri" w:cs="Calibri"/>
                <w:sz w:val="20"/>
                <w:szCs w:val="20"/>
              </w:rPr>
              <w:t>351 000,00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tcPr>
          <w:p w14:paraId="1C2F3102" w14:textId="002045E7" w:rsidR="0044010C" w:rsidRPr="00427052" w:rsidRDefault="0044010C" w:rsidP="0044010C">
            <w:pPr>
              <w:spacing w:after="0" w:line="240" w:lineRule="auto"/>
              <w:jc w:val="right"/>
              <w:rPr>
                <w:rFonts w:eastAsia="Times New Roman" w:cstheme="minorHAnsi"/>
                <w:sz w:val="20"/>
                <w:szCs w:val="20"/>
                <w:lang w:eastAsia="sk-SK"/>
              </w:rPr>
            </w:pPr>
          </w:p>
        </w:tc>
        <w:tc>
          <w:tcPr>
            <w:tcW w:w="332" w:type="pct"/>
            <w:tcBorders>
              <w:top w:val="outset" w:sz="6" w:space="0" w:color="000000"/>
              <w:left w:val="outset" w:sz="6" w:space="0" w:color="000000"/>
              <w:bottom w:val="outset" w:sz="6" w:space="0" w:color="000000"/>
              <w:right w:val="outset" w:sz="6" w:space="0" w:color="000000"/>
            </w:tcBorders>
            <w:noWrap/>
            <w:vAlign w:val="center"/>
          </w:tcPr>
          <w:p w14:paraId="5977E8ED" w14:textId="71265055" w:rsidR="0044010C" w:rsidRPr="00427052" w:rsidRDefault="0044010C" w:rsidP="0044010C">
            <w:pPr>
              <w:spacing w:after="0" w:line="240" w:lineRule="auto"/>
              <w:jc w:val="right"/>
              <w:rPr>
                <w:rFonts w:eastAsia="Times New Roman" w:cstheme="minorHAnsi"/>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noWrap/>
            <w:vAlign w:val="center"/>
          </w:tcPr>
          <w:p w14:paraId="682FA5B6" w14:textId="65E4CD88" w:rsidR="0044010C" w:rsidRPr="00427052" w:rsidRDefault="0044010C" w:rsidP="0044010C">
            <w:pPr>
              <w:spacing w:after="0" w:line="240" w:lineRule="auto"/>
              <w:jc w:val="right"/>
              <w:rPr>
                <w:rFonts w:eastAsia="Times New Roman" w:cstheme="minorHAnsi"/>
                <w:sz w:val="20"/>
                <w:szCs w:val="20"/>
                <w:lang w:eastAsia="sk-SK"/>
              </w:rPr>
            </w:pPr>
          </w:p>
        </w:tc>
        <w:tc>
          <w:tcPr>
            <w:tcW w:w="332" w:type="pct"/>
            <w:tcBorders>
              <w:top w:val="outset" w:sz="6" w:space="0" w:color="000000"/>
              <w:left w:val="outset" w:sz="6" w:space="0" w:color="000000"/>
              <w:bottom w:val="outset" w:sz="6" w:space="0" w:color="000000"/>
              <w:right w:val="outset" w:sz="6" w:space="0" w:color="000000"/>
            </w:tcBorders>
            <w:noWrap/>
            <w:vAlign w:val="center"/>
          </w:tcPr>
          <w:p w14:paraId="06F51A40" w14:textId="15ADBDFD" w:rsidR="0044010C" w:rsidRPr="00427052" w:rsidRDefault="0044010C" w:rsidP="0044010C">
            <w:pPr>
              <w:spacing w:after="0" w:line="240" w:lineRule="auto"/>
              <w:jc w:val="right"/>
              <w:rPr>
                <w:rFonts w:eastAsia="Times New Roman" w:cstheme="minorHAnsi"/>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noWrap/>
            <w:vAlign w:val="center"/>
          </w:tcPr>
          <w:p w14:paraId="03FCC8A5" w14:textId="455E55BF" w:rsidR="0044010C" w:rsidRPr="00427052" w:rsidRDefault="0044010C" w:rsidP="0044010C">
            <w:pPr>
              <w:spacing w:after="0" w:line="240" w:lineRule="auto"/>
              <w:jc w:val="right"/>
              <w:rPr>
                <w:rFonts w:eastAsia="Times New Roman" w:cstheme="minorHAnsi"/>
                <w:sz w:val="20"/>
                <w:szCs w:val="20"/>
                <w:lang w:eastAsia="sk-SK"/>
              </w:rPr>
            </w:pPr>
          </w:p>
        </w:tc>
        <w:tc>
          <w:tcPr>
            <w:tcW w:w="332" w:type="pct"/>
            <w:tcBorders>
              <w:top w:val="outset" w:sz="6" w:space="0" w:color="000000"/>
              <w:left w:val="outset" w:sz="6" w:space="0" w:color="000000"/>
              <w:bottom w:val="outset" w:sz="6" w:space="0" w:color="000000"/>
              <w:right w:val="outset" w:sz="6" w:space="0" w:color="000000"/>
            </w:tcBorders>
            <w:noWrap/>
            <w:vAlign w:val="center"/>
          </w:tcPr>
          <w:p w14:paraId="13AA08AF" w14:textId="4F0C5B20" w:rsidR="0044010C" w:rsidRPr="00427052" w:rsidRDefault="0044010C" w:rsidP="0044010C">
            <w:pPr>
              <w:spacing w:after="0" w:line="240" w:lineRule="auto"/>
              <w:jc w:val="right"/>
              <w:rPr>
                <w:rFonts w:eastAsia="Times New Roman" w:cstheme="minorHAnsi"/>
                <w:sz w:val="20"/>
                <w:szCs w:val="20"/>
                <w:lang w:eastAsia="sk-SK"/>
              </w:rPr>
            </w:pPr>
          </w:p>
        </w:tc>
      </w:tr>
    </w:tbl>
    <w:p w14:paraId="706C8FE3" w14:textId="77777777" w:rsidR="00427052" w:rsidRDefault="00427052" w:rsidP="00427052">
      <w:pPr>
        <w:spacing w:after="0" w:line="240" w:lineRule="auto"/>
        <w:jc w:val="both"/>
        <w:rPr>
          <w:rFonts w:eastAsiaTheme="minorEastAsia" w:cstheme="minorHAnsi"/>
          <w:b/>
          <w:bCs/>
          <w:sz w:val="24"/>
          <w:szCs w:val="24"/>
          <w:lang w:eastAsia="sk-SK"/>
        </w:rPr>
      </w:pPr>
    </w:p>
    <w:p w14:paraId="2F420B79" w14:textId="1FFA4516" w:rsidR="00427052" w:rsidRPr="00427052" w:rsidRDefault="006A29DA" w:rsidP="00427052">
      <w:pPr>
        <w:spacing w:after="0" w:line="240" w:lineRule="auto"/>
        <w:jc w:val="both"/>
        <w:rPr>
          <w:rFonts w:eastAsiaTheme="minorEastAsia" w:cstheme="minorHAnsi"/>
          <w:sz w:val="24"/>
          <w:szCs w:val="24"/>
          <w:lang w:eastAsia="sk-SK"/>
        </w:rPr>
      </w:pPr>
      <w:r>
        <w:rPr>
          <w:rFonts w:eastAsiaTheme="minorEastAsia" w:cstheme="minorHAnsi"/>
          <w:b/>
          <w:bCs/>
          <w:sz w:val="24"/>
          <w:szCs w:val="24"/>
          <w:lang w:eastAsia="sk-SK"/>
        </w:rPr>
        <w:t>Komentár</w:t>
      </w:r>
      <w:r w:rsidR="00427052" w:rsidRPr="00427052">
        <w:rPr>
          <w:rFonts w:eastAsiaTheme="minorEastAsia" w:cstheme="minorHAnsi"/>
          <w:b/>
          <w:bCs/>
          <w:sz w:val="24"/>
          <w:szCs w:val="24"/>
          <w:lang w:eastAsia="sk-SK"/>
        </w:rPr>
        <w:t xml:space="preserve">: </w:t>
      </w:r>
      <w:r w:rsidR="00427052" w:rsidRPr="00427052">
        <w:rPr>
          <w:rFonts w:eastAsiaTheme="minorEastAsia" w:cstheme="minorHAnsi"/>
          <w:sz w:val="24"/>
          <w:szCs w:val="24"/>
          <w:lang w:eastAsia="sk-SK"/>
        </w:rPr>
        <w:t>Úlohou BSK je zabezpečiť podmienky rozvoja kultúry v bratislavskom kraji. V záujme naplnenia tejto úlohy vyvíja vlastné aktivity, pričom činnosť vykonáva prostredníctvom kultúrnych zariadení vo svojej zriaďovateľskej pôsobnosti a tiež v spolupráci s kultúrnymi zariadeniami miest a obcí. BSK zároveň spolupracuje s národnými inštitúciami a neziskovými organizáciami, občianskymi a profesijnými združeniami a zahraničnými partnermi.</w:t>
      </w:r>
    </w:p>
    <w:p w14:paraId="13BEFC4C" w14:textId="77777777" w:rsidR="00427052" w:rsidRPr="00427052" w:rsidRDefault="00427052" w:rsidP="00427052">
      <w:pPr>
        <w:spacing w:after="0" w:line="240" w:lineRule="auto"/>
        <w:jc w:val="both"/>
        <w:rPr>
          <w:rFonts w:eastAsiaTheme="minorEastAsia" w:cstheme="minorHAnsi"/>
          <w:sz w:val="24"/>
          <w:szCs w:val="24"/>
          <w:lang w:eastAsia="sk-SK"/>
        </w:rPr>
      </w:pPr>
    </w:p>
    <w:p w14:paraId="20E1B332" w14:textId="77777777" w:rsidR="00427052" w:rsidRPr="00427052" w:rsidRDefault="00427052" w:rsidP="00427052">
      <w:pPr>
        <w:spacing w:after="0" w:line="240" w:lineRule="auto"/>
        <w:outlineLvl w:val="2"/>
        <w:rPr>
          <w:rFonts w:eastAsia="Times New Roman" w:cstheme="minorHAnsi"/>
          <w:b/>
          <w:bCs/>
          <w:sz w:val="27"/>
          <w:szCs w:val="27"/>
          <w:lang w:eastAsia="sk-SK"/>
        </w:rPr>
      </w:pPr>
      <w:r w:rsidRPr="00427052">
        <w:rPr>
          <w:rFonts w:eastAsia="Times New Roman" w:cstheme="minorHAnsi"/>
          <w:b/>
          <w:bCs/>
          <w:color w:val="0000FF"/>
          <w:sz w:val="27"/>
          <w:szCs w:val="27"/>
          <w:lang w:eastAsia="sk-SK"/>
        </w:rPr>
        <w:t>Podprogram 10.1: Organizácia a podpora kultúrnych aktivít, tradičných a regionálnych podujatí</w:t>
      </w:r>
      <w:r w:rsidRPr="00427052">
        <w:rPr>
          <w:rFonts w:eastAsia="Times New Roman" w:cstheme="minorHAnsi"/>
          <w:b/>
          <w:bCs/>
          <w:sz w:val="27"/>
          <w:szCs w:val="27"/>
          <w:lang w:eastAsia="sk-SK"/>
        </w:rPr>
        <w:t xml:space="preserve"> </w:t>
      </w:r>
    </w:p>
    <w:p w14:paraId="0DA458DD" w14:textId="5552EA6A" w:rsidR="00427052" w:rsidRDefault="00427052" w:rsidP="00427052">
      <w:pPr>
        <w:spacing w:after="0" w:line="240" w:lineRule="auto"/>
        <w:rPr>
          <w:rFonts w:eastAsiaTheme="minorEastAsia" w:cstheme="minorHAnsi"/>
          <w:sz w:val="24"/>
          <w:szCs w:val="24"/>
          <w:lang w:eastAsia="sk-SK"/>
        </w:rPr>
      </w:pPr>
      <w:r w:rsidRPr="00427052">
        <w:rPr>
          <w:rFonts w:eastAsiaTheme="minorEastAsia" w:cstheme="minorHAnsi"/>
          <w:b/>
          <w:bCs/>
          <w:sz w:val="24"/>
          <w:szCs w:val="24"/>
          <w:lang w:eastAsia="sk-SK"/>
        </w:rPr>
        <w:t xml:space="preserve">Zámer: </w:t>
      </w:r>
      <w:r w:rsidRPr="00427052">
        <w:rPr>
          <w:rFonts w:eastAsiaTheme="minorEastAsia" w:cstheme="minorHAnsi"/>
          <w:sz w:val="24"/>
          <w:szCs w:val="24"/>
          <w:lang w:eastAsia="sk-SK"/>
        </w:rPr>
        <w:t>Zlepšenie podmienok pre rozvoj kultúry v regióne BSK</w:t>
      </w:r>
    </w:p>
    <w:p w14:paraId="0CB8100C" w14:textId="77777777" w:rsidR="005C26D1" w:rsidRPr="00427052" w:rsidRDefault="005C26D1" w:rsidP="00427052">
      <w:pPr>
        <w:spacing w:after="0" w:line="240" w:lineRule="auto"/>
        <w:rPr>
          <w:rFonts w:eastAsiaTheme="minorEastAsia" w:cstheme="minorHAnsi"/>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61"/>
        <w:gridCol w:w="2310"/>
        <w:gridCol w:w="1434"/>
        <w:gridCol w:w="1240"/>
        <w:gridCol w:w="682"/>
        <w:gridCol w:w="1241"/>
        <w:gridCol w:w="681"/>
        <w:gridCol w:w="1241"/>
        <w:gridCol w:w="1160"/>
      </w:tblGrid>
      <w:tr w:rsidR="00427052" w:rsidRPr="00427052" w14:paraId="7A37F69F" w14:textId="77777777" w:rsidTr="00A55DA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4F1C5A3" w14:textId="77777777"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b/>
                <w:bCs/>
                <w:i/>
                <w:iCs/>
                <w:sz w:val="24"/>
                <w:szCs w:val="24"/>
                <w:lang w:eastAsia="sk-SK"/>
              </w:rPr>
              <w:t>Rozpočet v EUR</w:t>
            </w:r>
          </w:p>
        </w:tc>
      </w:tr>
      <w:tr w:rsidR="004A49BF" w:rsidRPr="00427052" w14:paraId="7FFEBF5B" w14:textId="77777777" w:rsidTr="004A49B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FD2E11"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EK</w:t>
            </w:r>
          </w:p>
        </w:tc>
        <w:tc>
          <w:tcPr>
            <w:tcW w:w="108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DD2934"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582805D" w14:textId="0D35B81F" w:rsidR="004A49BF" w:rsidRPr="00427052" w:rsidRDefault="004A49BF" w:rsidP="004A49BF">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834CC6" w14:textId="56CD2ED4" w:rsidR="004A49BF" w:rsidRPr="00427052" w:rsidRDefault="004A49BF" w:rsidP="004A49BF">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2025</w:t>
            </w:r>
          </w:p>
        </w:tc>
        <w:tc>
          <w:tcPr>
            <w:tcW w:w="33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A250B5D" w14:textId="0CF4B219" w:rsidR="004A49BF" w:rsidRPr="00427052" w:rsidRDefault="004A49BF" w:rsidP="004A49BF">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A31DAE8" w14:textId="02A2AAD9" w:rsidR="004A49BF" w:rsidRPr="00427052" w:rsidRDefault="004A49BF" w:rsidP="004A49BF">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2026</w:t>
            </w:r>
          </w:p>
        </w:tc>
        <w:tc>
          <w:tcPr>
            <w:tcW w:w="331"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5A7D43E" w14:textId="3209639D" w:rsidR="004A49BF" w:rsidRPr="00427052" w:rsidRDefault="004A49BF" w:rsidP="004A49BF">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2861FD2" w14:textId="70467320" w:rsidR="004A49BF" w:rsidRPr="00427052" w:rsidRDefault="004A49BF" w:rsidP="004A49BF">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2027</w:t>
            </w:r>
          </w:p>
        </w:tc>
        <w:tc>
          <w:tcPr>
            <w:tcW w:w="27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E7F9832" w14:textId="2BACA8DB" w:rsidR="004A49BF" w:rsidRPr="00427052" w:rsidRDefault="004A49BF" w:rsidP="004A49BF">
            <w:pPr>
              <w:spacing w:after="0" w:line="240" w:lineRule="auto"/>
              <w:jc w:val="center"/>
              <w:rPr>
                <w:rFonts w:eastAsia="Times New Roman" w:cstheme="minorHAnsi"/>
                <w:sz w:val="24"/>
                <w:szCs w:val="24"/>
                <w:lang w:eastAsia="sk-SK"/>
              </w:rPr>
            </w:pPr>
            <w:r w:rsidRPr="0076205D">
              <w:rPr>
                <w:rFonts w:ascii="Calibri" w:eastAsia="Times New Roman" w:hAnsi="Calibri" w:cs="Calibri"/>
                <w:b/>
                <w:bCs/>
                <w:sz w:val="20"/>
                <w:szCs w:val="20"/>
              </w:rPr>
              <w:t>2024</w:t>
            </w:r>
          </w:p>
        </w:tc>
      </w:tr>
      <w:tr w:rsidR="004A49BF" w:rsidRPr="00427052" w14:paraId="0CB7D838" w14:textId="77777777" w:rsidTr="004A49B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FFF660" w14:textId="77777777" w:rsidR="004A49BF" w:rsidRPr="00427052" w:rsidRDefault="004A49BF" w:rsidP="004A49BF">
            <w:pPr>
              <w:spacing w:after="0" w:line="240" w:lineRule="auto"/>
              <w:jc w:val="center"/>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9BA580"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Výdavky celkom</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291D9C" w14:textId="0919E214"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1 436 644,00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6191C1" w14:textId="2339096A"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970 300,00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21A023" w14:textId="2E87170E"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67,54</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091E7B" w14:textId="120F8BDF"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921 800,00</w:t>
            </w:r>
            <w:r w:rsidRPr="0076205D">
              <w:rPr>
                <w:rFonts w:ascii="Calibri" w:eastAsia="Times New Roman" w:hAnsi="Calibri" w:cs="Calibri"/>
              </w:rPr>
              <w:t xml:space="preserve"> </w:t>
            </w:r>
          </w:p>
        </w:tc>
        <w:tc>
          <w:tcPr>
            <w:tcW w:w="33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E31E44" w14:textId="31106B9C"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95,00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0CD869" w14:textId="4DB23756"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931 300,00</w:t>
            </w:r>
            <w:r w:rsidRPr="0076205D">
              <w:rPr>
                <w:rFonts w:ascii="Calibri" w:eastAsia="Times New Roman" w:hAnsi="Calibri" w:cs="Calibri"/>
              </w:rPr>
              <w:t xml:space="preserve"> </w:t>
            </w:r>
          </w:p>
        </w:tc>
        <w:tc>
          <w:tcPr>
            <w:tcW w:w="27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D73FCF" w14:textId="5A711B76"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1 436 644,00</w:t>
            </w:r>
            <w:r w:rsidRPr="0076205D">
              <w:rPr>
                <w:rFonts w:ascii="Calibri" w:eastAsia="Times New Roman" w:hAnsi="Calibri" w:cs="Calibri"/>
              </w:rPr>
              <w:t xml:space="preserve"> </w:t>
            </w:r>
          </w:p>
        </w:tc>
      </w:tr>
      <w:tr w:rsidR="004A49BF" w:rsidRPr="00427052" w14:paraId="4F70E0E3" w14:textId="77777777" w:rsidTr="004A49B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EEA51A"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600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40983B"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Bežné výdavky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1CFBB4" w14:textId="6284095A"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683 844,00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F1145D" w14:textId="680BA556"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724 300,00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A703CF" w14:textId="2CCE91E3"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105,92</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49F5BE" w14:textId="49CC74FF"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636 800,00</w:t>
            </w:r>
            <w:r w:rsidRPr="0076205D">
              <w:rPr>
                <w:rFonts w:ascii="Calibri" w:eastAsia="Times New Roman" w:hAnsi="Calibri" w:cs="Calibri"/>
              </w:rPr>
              <w:t xml:space="preserve"> </w:t>
            </w:r>
          </w:p>
        </w:tc>
        <w:tc>
          <w:tcPr>
            <w:tcW w:w="33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652FD3" w14:textId="0133F29E"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87,92</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E8752A" w14:textId="346C23D4"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636 300,00</w:t>
            </w:r>
            <w:r w:rsidRPr="0076205D">
              <w:rPr>
                <w:rFonts w:ascii="Calibri" w:eastAsia="Times New Roman" w:hAnsi="Calibri" w:cs="Calibri"/>
              </w:rPr>
              <w:t xml:space="preserve"> </w:t>
            </w:r>
          </w:p>
        </w:tc>
        <w:tc>
          <w:tcPr>
            <w:tcW w:w="27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E398FC" w14:textId="2846143E"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683 844,00</w:t>
            </w:r>
            <w:r w:rsidRPr="0076205D">
              <w:rPr>
                <w:rFonts w:ascii="Calibri" w:eastAsia="Times New Roman" w:hAnsi="Calibri" w:cs="Calibri"/>
              </w:rPr>
              <w:t xml:space="preserve"> </w:t>
            </w:r>
          </w:p>
        </w:tc>
      </w:tr>
      <w:tr w:rsidR="004A49BF" w:rsidRPr="00427052" w14:paraId="7B535A98" w14:textId="77777777" w:rsidTr="004A49B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7044E6"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630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0FFCA1"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Tovary a služby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5B747E" w14:textId="34BDEDEE"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469 800,00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590F4F8" w14:textId="23AA81AC"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724 300,00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651296D9" w14:textId="523A8AA3"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154,17</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31EAFC" w14:textId="405D7457"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636 800,00</w:t>
            </w:r>
            <w:r w:rsidRPr="0076205D">
              <w:rPr>
                <w:rFonts w:ascii="Calibri" w:eastAsia="Times New Roman" w:hAnsi="Calibri" w:cs="Calibri"/>
              </w:rPr>
              <w:t xml:space="preserve"> </w:t>
            </w:r>
          </w:p>
        </w:tc>
        <w:tc>
          <w:tcPr>
            <w:tcW w:w="331" w:type="pct"/>
            <w:tcBorders>
              <w:top w:val="outset" w:sz="6" w:space="0" w:color="000000"/>
              <w:left w:val="outset" w:sz="6" w:space="0" w:color="000000"/>
              <w:bottom w:val="outset" w:sz="6" w:space="0" w:color="000000"/>
              <w:right w:val="outset" w:sz="6" w:space="0" w:color="000000"/>
            </w:tcBorders>
            <w:noWrap/>
            <w:vAlign w:val="center"/>
            <w:hideMark/>
          </w:tcPr>
          <w:p w14:paraId="37108B75" w14:textId="6077A3DC"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87,92</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C2CD0A" w14:textId="7717E721"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636 300,00</w:t>
            </w:r>
            <w:r w:rsidRPr="0076205D">
              <w:rPr>
                <w:rFonts w:ascii="Calibri" w:eastAsia="Times New Roman" w:hAnsi="Calibri" w:cs="Calibri"/>
              </w:rPr>
              <w:t xml:space="preserve"> </w:t>
            </w:r>
          </w:p>
        </w:tc>
        <w:tc>
          <w:tcPr>
            <w:tcW w:w="278" w:type="pct"/>
            <w:tcBorders>
              <w:top w:val="outset" w:sz="6" w:space="0" w:color="000000"/>
              <w:left w:val="outset" w:sz="6" w:space="0" w:color="000000"/>
              <w:bottom w:val="outset" w:sz="6" w:space="0" w:color="000000"/>
              <w:right w:val="outset" w:sz="6" w:space="0" w:color="000000"/>
            </w:tcBorders>
            <w:noWrap/>
            <w:vAlign w:val="center"/>
            <w:hideMark/>
          </w:tcPr>
          <w:p w14:paraId="1C40C1B1" w14:textId="02B4F00F"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469 800,00</w:t>
            </w:r>
            <w:r w:rsidRPr="0076205D">
              <w:rPr>
                <w:rFonts w:ascii="Calibri" w:eastAsia="Times New Roman" w:hAnsi="Calibri" w:cs="Calibri"/>
              </w:rPr>
              <w:t xml:space="preserve"> </w:t>
            </w:r>
          </w:p>
        </w:tc>
      </w:tr>
      <w:tr w:rsidR="004A49BF" w:rsidRPr="00427052" w14:paraId="4932174E" w14:textId="77777777" w:rsidTr="004A49B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C77B5E"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640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D4B29E"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Bežné transfery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D53FB2" w14:textId="18285154"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214 044,00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F989DE" w14:textId="5DC4D350" w:rsidR="004A49BF" w:rsidRPr="00427052" w:rsidRDefault="004A49BF" w:rsidP="004A49BF">
            <w:pPr>
              <w:spacing w:after="0" w:line="240" w:lineRule="auto"/>
              <w:jc w:val="right"/>
              <w:rPr>
                <w:rFonts w:eastAsia="Times New Roman" w:cstheme="minorHAnsi"/>
                <w:sz w:val="24"/>
                <w:szCs w:val="24"/>
                <w:lang w:eastAsia="sk-SK"/>
              </w:rPr>
            </w:pP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2F2B13AB" w14:textId="62EB8F0F" w:rsidR="004A49BF" w:rsidRPr="00427052" w:rsidRDefault="004A49BF" w:rsidP="004A49BF">
            <w:pPr>
              <w:spacing w:after="0" w:line="240" w:lineRule="auto"/>
              <w:jc w:val="right"/>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9E5114" w14:textId="01DC1AFA" w:rsidR="004A49BF" w:rsidRPr="00427052" w:rsidRDefault="004A49BF" w:rsidP="004A49BF">
            <w:pPr>
              <w:spacing w:after="0" w:line="240" w:lineRule="auto"/>
              <w:jc w:val="right"/>
              <w:rPr>
                <w:rFonts w:eastAsia="Times New Roman" w:cstheme="minorHAnsi"/>
                <w:sz w:val="20"/>
                <w:szCs w:val="20"/>
                <w:lang w:eastAsia="sk-SK"/>
              </w:rPr>
            </w:pPr>
          </w:p>
        </w:tc>
        <w:tc>
          <w:tcPr>
            <w:tcW w:w="331" w:type="pct"/>
            <w:tcBorders>
              <w:top w:val="outset" w:sz="6" w:space="0" w:color="000000"/>
              <w:left w:val="outset" w:sz="6" w:space="0" w:color="000000"/>
              <w:bottom w:val="outset" w:sz="6" w:space="0" w:color="000000"/>
              <w:right w:val="outset" w:sz="6" w:space="0" w:color="000000"/>
            </w:tcBorders>
            <w:noWrap/>
            <w:vAlign w:val="center"/>
            <w:hideMark/>
          </w:tcPr>
          <w:p w14:paraId="2E992A75" w14:textId="7403AB34" w:rsidR="004A49BF" w:rsidRPr="00427052" w:rsidRDefault="004A49BF" w:rsidP="004A49BF">
            <w:pPr>
              <w:spacing w:after="0" w:line="240" w:lineRule="auto"/>
              <w:jc w:val="right"/>
              <w:rPr>
                <w:rFonts w:eastAsia="Times New Roman" w:cstheme="minorHAnsi"/>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FE9B34" w14:textId="4BCBE78C" w:rsidR="004A49BF" w:rsidRPr="00427052" w:rsidRDefault="004A49BF" w:rsidP="004A49BF">
            <w:pPr>
              <w:spacing w:after="0" w:line="240" w:lineRule="auto"/>
              <w:jc w:val="right"/>
              <w:rPr>
                <w:rFonts w:eastAsia="Times New Roman" w:cstheme="minorHAnsi"/>
                <w:sz w:val="20"/>
                <w:szCs w:val="20"/>
                <w:lang w:eastAsia="sk-SK"/>
              </w:rPr>
            </w:pPr>
          </w:p>
        </w:tc>
        <w:tc>
          <w:tcPr>
            <w:tcW w:w="278" w:type="pct"/>
            <w:tcBorders>
              <w:top w:val="outset" w:sz="6" w:space="0" w:color="000000"/>
              <w:left w:val="outset" w:sz="6" w:space="0" w:color="000000"/>
              <w:bottom w:val="outset" w:sz="6" w:space="0" w:color="000000"/>
              <w:right w:val="outset" w:sz="6" w:space="0" w:color="000000"/>
            </w:tcBorders>
            <w:noWrap/>
            <w:vAlign w:val="center"/>
            <w:hideMark/>
          </w:tcPr>
          <w:p w14:paraId="7694E56A" w14:textId="69B9F313" w:rsidR="004A49BF" w:rsidRPr="00427052" w:rsidRDefault="004A49BF" w:rsidP="004A49BF">
            <w:pPr>
              <w:spacing w:after="0" w:line="240" w:lineRule="auto"/>
              <w:jc w:val="right"/>
              <w:rPr>
                <w:rFonts w:eastAsia="Times New Roman" w:cstheme="minorHAnsi"/>
                <w:sz w:val="20"/>
                <w:szCs w:val="20"/>
                <w:lang w:eastAsia="sk-SK"/>
              </w:rPr>
            </w:pPr>
            <w:r w:rsidRPr="0076205D">
              <w:rPr>
                <w:rFonts w:ascii="Calibri" w:eastAsia="Times New Roman" w:hAnsi="Calibri" w:cs="Calibri"/>
                <w:sz w:val="20"/>
                <w:szCs w:val="20"/>
              </w:rPr>
              <w:t>214 044,00</w:t>
            </w:r>
            <w:r w:rsidRPr="0076205D">
              <w:rPr>
                <w:rFonts w:ascii="Calibri" w:eastAsia="Times New Roman" w:hAnsi="Calibri" w:cs="Calibri"/>
              </w:rPr>
              <w:t xml:space="preserve"> </w:t>
            </w:r>
          </w:p>
        </w:tc>
      </w:tr>
      <w:tr w:rsidR="004A49BF" w:rsidRPr="00427052" w14:paraId="366F9F55" w14:textId="77777777" w:rsidTr="004A49B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B4F8A9"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700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B41F65"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Kapitálové výdavky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2541C7" w14:textId="62C379BB"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752 800,00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595233" w14:textId="2F25A7FF"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246 000,00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B33F61" w14:textId="79492A00"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32,68</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931F57" w14:textId="6D6A82DD"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285 000,00</w:t>
            </w:r>
            <w:r w:rsidRPr="0076205D">
              <w:rPr>
                <w:rFonts w:ascii="Calibri" w:eastAsia="Times New Roman" w:hAnsi="Calibri" w:cs="Calibri"/>
              </w:rPr>
              <w:t xml:space="preserve"> </w:t>
            </w:r>
          </w:p>
        </w:tc>
        <w:tc>
          <w:tcPr>
            <w:tcW w:w="331"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2621CC" w14:textId="5B676B29"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115,85</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EB7D1A" w14:textId="362BE483"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295 000,00</w:t>
            </w:r>
            <w:r w:rsidRPr="0076205D">
              <w:rPr>
                <w:rFonts w:ascii="Calibri" w:eastAsia="Times New Roman" w:hAnsi="Calibri" w:cs="Calibri"/>
              </w:rPr>
              <w:t xml:space="preserve"> </w:t>
            </w:r>
          </w:p>
        </w:tc>
        <w:tc>
          <w:tcPr>
            <w:tcW w:w="27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2B412A" w14:textId="61F1032B"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752 800,00</w:t>
            </w:r>
            <w:r w:rsidRPr="0076205D">
              <w:rPr>
                <w:rFonts w:ascii="Calibri" w:eastAsia="Times New Roman" w:hAnsi="Calibri" w:cs="Calibri"/>
              </w:rPr>
              <w:t xml:space="preserve"> </w:t>
            </w:r>
          </w:p>
        </w:tc>
      </w:tr>
      <w:tr w:rsidR="004A49BF" w:rsidRPr="00427052" w14:paraId="0FD4660F" w14:textId="77777777" w:rsidTr="004A49B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4046C2"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710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E77A3D" w14:textId="77777777" w:rsidR="004A49BF" w:rsidRPr="00427052" w:rsidRDefault="004A49BF" w:rsidP="004A49BF">
            <w:pPr>
              <w:spacing w:after="0" w:line="240" w:lineRule="auto"/>
              <w:rPr>
                <w:rFonts w:eastAsia="Times New Roman" w:cstheme="minorHAnsi"/>
                <w:sz w:val="24"/>
                <w:szCs w:val="24"/>
                <w:lang w:eastAsia="sk-SK"/>
              </w:rPr>
            </w:pPr>
            <w:proofErr w:type="spellStart"/>
            <w:r w:rsidRPr="00427052">
              <w:rPr>
                <w:rFonts w:eastAsia="Times New Roman" w:cstheme="minorHAnsi"/>
                <w:sz w:val="20"/>
                <w:szCs w:val="20"/>
                <w:lang w:eastAsia="sk-SK"/>
              </w:rPr>
              <w:t>Obst</w:t>
            </w:r>
            <w:proofErr w:type="spellEnd"/>
            <w:r w:rsidRPr="00427052">
              <w:rPr>
                <w:rFonts w:eastAsia="Times New Roman" w:cstheme="minorHAnsi"/>
                <w:sz w:val="20"/>
                <w:szCs w:val="20"/>
                <w:lang w:eastAsia="sk-SK"/>
              </w:rPr>
              <w:t xml:space="preserve">. </w:t>
            </w:r>
            <w:proofErr w:type="spellStart"/>
            <w:r w:rsidRPr="00427052">
              <w:rPr>
                <w:rFonts w:eastAsia="Times New Roman" w:cstheme="minorHAnsi"/>
                <w:sz w:val="20"/>
                <w:szCs w:val="20"/>
                <w:lang w:eastAsia="sk-SK"/>
              </w:rPr>
              <w:t>kapit</w:t>
            </w:r>
            <w:proofErr w:type="spellEnd"/>
            <w:r w:rsidRPr="00427052">
              <w:rPr>
                <w:rFonts w:eastAsia="Times New Roman" w:cstheme="minorHAnsi"/>
                <w:sz w:val="20"/>
                <w:szCs w:val="20"/>
                <w:lang w:eastAsia="sk-SK"/>
              </w:rPr>
              <w:t>. aktív</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493014" w14:textId="53A86420"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401 800,00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C658C4" w14:textId="2B6C4347"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246 000,00</w:t>
            </w:r>
            <w:r w:rsidRPr="0076205D">
              <w:rPr>
                <w:rFonts w:ascii="Calibri" w:eastAsia="Times New Roman" w:hAnsi="Calibri" w:cs="Calibri"/>
              </w:rPr>
              <w:t xml:space="preserve"> </w:t>
            </w: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50482773" w14:textId="6C9A173C"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61,22</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1E5538" w14:textId="6550B6C8"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285 000,00</w:t>
            </w:r>
            <w:r w:rsidRPr="0076205D">
              <w:rPr>
                <w:rFonts w:ascii="Calibri" w:eastAsia="Times New Roman" w:hAnsi="Calibri" w:cs="Calibri"/>
              </w:rPr>
              <w:t xml:space="preserve"> </w:t>
            </w:r>
          </w:p>
        </w:tc>
        <w:tc>
          <w:tcPr>
            <w:tcW w:w="331" w:type="pct"/>
            <w:tcBorders>
              <w:top w:val="outset" w:sz="6" w:space="0" w:color="000000"/>
              <w:left w:val="outset" w:sz="6" w:space="0" w:color="000000"/>
              <w:bottom w:val="outset" w:sz="6" w:space="0" w:color="000000"/>
              <w:right w:val="outset" w:sz="6" w:space="0" w:color="000000"/>
            </w:tcBorders>
            <w:noWrap/>
            <w:vAlign w:val="center"/>
            <w:hideMark/>
          </w:tcPr>
          <w:p w14:paraId="55B83B81" w14:textId="446B6938"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115,85</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7CFAEF0" w14:textId="7461192D"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295 000,00</w:t>
            </w:r>
            <w:r w:rsidRPr="0076205D">
              <w:rPr>
                <w:rFonts w:ascii="Calibri" w:eastAsia="Times New Roman" w:hAnsi="Calibri" w:cs="Calibri"/>
              </w:rPr>
              <w:t xml:space="preserve"> </w:t>
            </w:r>
          </w:p>
        </w:tc>
        <w:tc>
          <w:tcPr>
            <w:tcW w:w="278" w:type="pct"/>
            <w:tcBorders>
              <w:top w:val="outset" w:sz="6" w:space="0" w:color="000000"/>
              <w:left w:val="outset" w:sz="6" w:space="0" w:color="000000"/>
              <w:bottom w:val="outset" w:sz="6" w:space="0" w:color="000000"/>
              <w:right w:val="outset" w:sz="6" w:space="0" w:color="000000"/>
            </w:tcBorders>
            <w:noWrap/>
            <w:vAlign w:val="center"/>
            <w:hideMark/>
          </w:tcPr>
          <w:p w14:paraId="1576F652" w14:textId="64D12B34"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401 800,00</w:t>
            </w:r>
            <w:r w:rsidRPr="0076205D">
              <w:rPr>
                <w:rFonts w:ascii="Calibri" w:eastAsia="Times New Roman" w:hAnsi="Calibri" w:cs="Calibri"/>
              </w:rPr>
              <w:t xml:space="preserve"> </w:t>
            </w:r>
          </w:p>
        </w:tc>
      </w:tr>
      <w:tr w:rsidR="004A49BF" w:rsidRPr="00427052" w14:paraId="49ECA6D0" w14:textId="77777777" w:rsidTr="004A49BF">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5BFEC0"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720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48F984" w14:textId="77777777" w:rsidR="004A49BF" w:rsidRPr="00427052" w:rsidRDefault="004A49BF" w:rsidP="004A49BF">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Kapitálové transfery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994120" w14:textId="1353BB14" w:rsidR="004A49BF" w:rsidRPr="00427052" w:rsidRDefault="004A49BF" w:rsidP="004A49BF">
            <w:pPr>
              <w:spacing w:after="0" w:line="240" w:lineRule="auto"/>
              <w:jc w:val="right"/>
              <w:rPr>
                <w:rFonts w:eastAsia="Times New Roman" w:cstheme="minorHAnsi"/>
                <w:sz w:val="24"/>
                <w:szCs w:val="24"/>
                <w:lang w:eastAsia="sk-SK"/>
              </w:rPr>
            </w:pPr>
            <w:r w:rsidRPr="0076205D">
              <w:rPr>
                <w:rFonts w:ascii="Calibri" w:eastAsia="Times New Roman" w:hAnsi="Calibri" w:cs="Calibri"/>
                <w:sz w:val="20"/>
                <w:szCs w:val="20"/>
              </w:rPr>
              <w:t>351 000,00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64525A" w14:textId="0E3CBB72" w:rsidR="004A49BF" w:rsidRPr="00427052" w:rsidRDefault="004A49BF" w:rsidP="004A49BF">
            <w:pPr>
              <w:spacing w:after="0" w:line="240" w:lineRule="auto"/>
              <w:jc w:val="right"/>
              <w:rPr>
                <w:rFonts w:eastAsia="Times New Roman" w:cstheme="minorHAnsi"/>
                <w:sz w:val="24"/>
                <w:szCs w:val="24"/>
                <w:lang w:eastAsia="sk-SK"/>
              </w:rPr>
            </w:pPr>
          </w:p>
        </w:tc>
        <w:tc>
          <w:tcPr>
            <w:tcW w:w="332" w:type="pct"/>
            <w:tcBorders>
              <w:top w:val="outset" w:sz="6" w:space="0" w:color="000000"/>
              <w:left w:val="outset" w:sz="6" w:space="0" w:color="000000"/>
              <w:bottom w:val="outset" w:sz="6" w:space="0" w:color="000000"/>
              <w:right w:val="outset" w:sz="6" w:space="0" w:color="000000"/>
            </w:tcBorders>
            <w:noWrap/>
            <w:vAlign w:val="center"/>
            <w:hideMark/>
          </w:tcPr>
          <w:p w14:paraId="7DB8057B" w14:textId="4AEFBB56" w:rsidR="004A49BF" w:rsidRPr="00427052" w:rsidRDefault="004A49BF" w:rsidP="004A49BF">
            <w:pPr>
              <w:spacing w:after="0" w:line="240" w:lineRule="auto"/>
              <w:jc w:val="right"/>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7B74821" w14:textId="69F2B18C" w:rsidR="004A49BF" w:rsidRPr="00427052" w:rsidRDefault="004A49BF" w:rsidP="004A49BF">
            <w:pPr>
              <w:spacing w:after="0" w:line="240" w:lineRule="auto"/>
              <w:jc w:val="right"/>
              <w:rPr>
                <w:rFonts w:eastAsia="Times New Roman" w:cstheme="minorHAnsi"/>
                <w:sz w:val="20"/>
                <w:szCs w:val="20"/>
                <w:lang w:eastAsia="sk-SK"/>
              </w:rPr>
            </w:pPr>
          </w:p>
        </w:tc>
        <w:tc>
          <w:tcPr>
            <w:tcW w:w="331" w:type="pct"/>
            <w:tcBorders>
              <w:top w:val="outset" w:sz="6" w:space="0" w:color="000000"/>
              <w:left w:val="outset" w:sz="6" w:space="0" w:color="000000"/>
              <w:bottom w:val="outset" w:sz="6" w:space="0" w:color="000000"/>
              <w:right w:val="outset" w:sz="6" w:space="0" w:color="000000"/>
            </w:tcBorders>
            <w:noWrap/>
            <w:vAlign w:val="center"/>
            <w:hideMark/>
          </w:tcPr>
          <w:p w14:paraId="6D56EAFC" w14:textId="1E9249DD" w:rsidR="004A49BF" w:rsidRPr="00427052" w:rsidRDefault="004A49BF" w:rsidP="004A49BF">
            <w:pPr>
              <w:spacing w:after="0" w:line="240" w:lineRule="auto"/>
              <w:jc w:val="right"/>
              <w:rPr>
                <w:rFonts w:eastAsia="Times New Roman" w:cstheme="minorHAnsi"/>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81ACF3" w14:textId="6D285C61" w:rsidR="004A49BF" w:rsidRPr="00427052" w:rsidRDefault="004A49BF" w:rsidP="004A49BF">
            <w:pPr>
              <w:spacing w:after="0" w:line="240" w:lineRule="auto"/>
              <w:jc w:val="right"/>
              <w:rPr>
                <w:rFonts w:eastAsia="Times New Roman" w:cstheme="minorHAnsi"/>
                <w:sz w:val="20"/>
                <w:szCs w:val="20"/>
                <w:lang w:eastAsia="sk-SK"/>
              </w:rPr>
            </w:pPr>
          </w:p>
        </w:tc>
        <w:tc>
          <w:tcPr>
            <w:tcW w:w="278" w:type="pct"/>
            <w:tcBorders>
              <w:top w:val="outset" w:sz="6" w:space="0" w:color="000000"/>
              <w:left w:val="outset" w:sz="6" w:space="0" w:color="000000"/>
              <w:bottom w:val="outset" w:sz="6" w:space="0" w:color="000000"/>
              <w:right w:val="outset" w:sz="6" w:space="0" w:color="000000"/>
            </w:tcBorders>
            <w:noWrap/>
            <w:vAlign w:val="center"/>
            <w:hideMark/>
          </w:tcPr>
          <w:p w14:paraId="1BD4B33B" w14:textId="2FD7021E" w:rsidR="004A49BF" w:rsidRPr="00427052" w:rsidRDefault="004A49BF" w:rsidP="004A49BF">
            <w:pPr>
              <w:spacing w:after="0" w:line="240" w:lineRule="auto"/>
              <w:jc w:val="right"/>
              <w:rPr>
                <w:rFonts w:eastAsia="Times New Roman" w:cstheme="minorHAnsi"/>
                <w:sz w:val="20"/>
                <w:szCs w:val="20"/>
                <w:lang w:eastAsia="sk-SK"/>
              </w:rPr>
            </w:pPr>
            <w:r w:rsidRPr="0076205D">
              <w:rPr>
                <w:rFonts w:ascii="Calibri" w:eastAsia="Times New Roman" w:hAnsi="Calibri" w:cs="Calibri"/>
                <w:sz w:val="20"/>
                <w:szCs w:val="20"/>
              </w:rPr>
              <w:t>351 000,00</w:t>
            </w:r>
            <w:r w:rsidRPr="0076205D">
              <w:rPr>
                <w:rFonts w:ascii="Calibri" w:eastAsia="Times New Roman" w:hAnsi="Calibri" w:cs="Calibri"/>
              </w:rPr>
              <w:t xml:space="preserve"> </w:t>
            </w:r>
          </w:p>
        </w:tc>
      </w:tr>
    </w:tbl>
    <w:p w14:paraId="16C8653D" w14:textId="77777777" w:rsidR="00427052" w:rsidRPr="00427052" w:rsidRDefault="00427052" w:rsidP="00427052">
      <w:pPr>
        <w:spacing w:after="0" w:line="240" w:lineRule="auto"/>
        <w:rPr>
          <w:rFonts w:eastAsiaTheme="minorEastAsia" w:cstheme="minorHAns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0"/>
        <w:gridCol w:w="2032"/>
        <w:gridCol w:w="2031"/>
        <w:gridCol w:w="2031"/>
        <w:gridCol w:w="2046"/>
      </w:tblGrid>
      <w:tr w:rsidR="00427052" w:rsidRPr="00427052" w14:paraId="6C16E4DE" w14:textId="77777777" w:rsidTr="00A55DA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E08950" w14:textId="77777777" w:rsidR="00427052" w:rsidRPr="00427052" w:rsidRDefault="00427052" w:rsidP="00427052">
            <w:pPr>
              <w:spacing w:after="0" w:line="240" w:lineRule="auto"/>
              <w:rPr>
                <w:rFonts w:eastAsia="Times New Roman" w:cstheme="minorHAnsi"/>
                <w:sz w:val="24"/>
                <w:szCs w:val="24"/>
                <w:lang w:eastAsia="sk-SK"/>
              </w:rPr>
            </w:pPr>
            <w:r w:rsidRPr="00427052">
              <w:rPr>
                <w:rFonts w:eastAsia="Times New Roman" w:cstheme="minorHAns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0085B9" w14:textId="77777777" w:rsidR="00427052" w:rsidRPr="00427052" w:rsidRDefault="00427052" w:rsidP="00427052">
            <w:pPr>
              <w:spacing w:after="0" w:line="240" w:lineRule="auto"/>
              <w:rPr>
                <w:rFonts w:eastAsia="Times New Roman" w:cstheme="minorHAnsi"/>
                <w:sz w:val="24"/>
                <w:szCs w:val="24"/>
                <w:lang w:eastAsia="sk-SK"/>
              </w:rPr>
            </w:pPr>
            <w:r w:rsidRPr="00427052">
              <w:rPr>
                <w:rFonts w:eastAsia="Times New Roman" w:cstheme="minorHAnsi"/>
                <w:sz w:val="24"/>
                <w:szCs w:val="24"/>
                <w:lang w:eastAsia="sk-SK"/>
              </w:rPr>
              <w:t>Oddelenie kultúry</w:t>
            </w:r>
          </w:p>
        </w:tc>
      </w:tr>
      <w:tr w:rsidR="00427052" w:rsidRPr="00427052" w14:paraId="7EF761EF" w14:textId="77777777" w:rsidTr="00A55DA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57109C" w14:textId="77777777" w:rsidR="00427052" w:rsidRPr="00427052" w:rsidRDefault="00427052" w:rsidP="00427052">
            <w:pPr>
              <w:spacing w:after="0" w:line="240" w:lineRule="auto"/>
              <w:rPr>
                <w:rFonts w:eastAsia="Times New Roman" w:cstheme="minorHAnsi"/>
                <w:sz w:val="24"/>
                <w:szCs w:val="24"/>
                <w:lang w:eastAsia="sk-SK"/>
              </w:rPr>
            </w:pPr>
            <w:r w:rsidRPr="00427052">
              <w:rPr>
                <w:rFonts w:eastAsia="Times New Roman" w:cstheme="minorHAns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25032B" w14:textId="77777777" w:rsidR="00427052" w:rsidRPr="00427052" w:rsidRDefault="00427052" w:rsidP="00427052">
            <w:pPr>
              <w:spacing w:after="0" w:line="240" w:lineRule="auto"/>
              <w:rPr>
                <w:rFonts w:eastAsia="Times New Roman" w:cstheme="minorHAnsi"/>
                <w:sz w:val="24"/>
                <w:szCs w:val="24"/>
                <w:lang w:eastAsia="sk-SK"/>
              </w:rPr>
            </w:pPr>
            <w:r w:rsidRPr="00427052">
              <w:rPr>
                <w:rFonts w:eastAsia="Times New Roman" w:cstheme="minorHAnsi"/>
                <w:b/>
                <w:bCs/>
                <w:sz w:val="24"/>
                <w:szCs w:val="24"/>
                <w:lang w:eastAsia="sk-SK"/>
              </w:rPr>
              <w:t>Spracovanie odborných materiálov, organizovanie a podpora kultúrnych aktivít a podujatí</w:t>
            </w:r>
          </w:p>
        </w:tc>
      </w:tr>
      <w:tr w:rsidR="00427052" w:rsidRPr="00427052" w14:paraId="2E1D066F" w14:textId="77777777" w:rsidTr="00A55DA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74FB71" w14:textId="77777777" w:rsidR="00427052" w:rsidRPr="00427052" w:rsidRDefault="00427052" w:rsidP="00427052">
            <w:pPr>
              <w:spacing w:after="0" w:line="240" w:lineRule="auto"/>
              <w:rPr>
                <w:rFonts w:eastAsia="Times New Roman" w:cstheme="minorHAnsi"/>
                <w:sz w:val="24"/>
                <w:szCs w:val="24"/>
                <w:lang w:eastAsia="sk-SK"/>
              </w:rPr>
            </w:pPr>
            <w:r w:rsidRPr="00427052">
              <w:rPr>
                <w:rFonts w:eastAsia="Times New Roman" w:cstheme="minorHAns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DF145C" w14:textId="77777777" w:rsidR="00427052" w:rsidRPr="00427052" w:rsidRDefault="00427052" w:rsidP="00427052">
            <w:pPr>
              <w:spacing w:after="0" w:line="240" w:lineRule="auto"/>
              <w:rPr>
                <w:rFonts w:eastAsia="Times New Roman" w:cstheme="minorHAnsi"/>
                <w:sz w:val="24"/>
                <w:szCs w:val="24"/>
                <w:lang w:eastAsia="sk-SK"/>
              </w:rPr>
            </w:pPr>
            <w:r w:rsidRPr="00427052">
              <w:rPr>
                <w:rFonts w:eastAsia="Times New Roman" w:cstheme="minorHAnsi"/>
                <w:sz w:val="24"/>
                <w:szCs w:val="24"/>
                <w:lang w:eastAsia="sk-SK"/>
              </w:rPr>
              <w:t>Počet materiálov, aktivít a podujatí</w:t>
            </w:r>
          </w:p>
        </w:tc>
      </w:tr>
      <w:tr w:rsidR="005C7AE2" w:rsidRPr="00427052" w14:paraId="34162DFD" w14:textId="77777777" w:rsidTr="00A55DA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8C9137" w14:textId="77777777" w:rsidR="005C7AE2" w:rsidRPr="00427052" w:rsidRDefault="005C7AE2" w:rsidP="005C7AE2">
            <w:pPr>
              <w:spacing w:after="0" w:line="240" w:lineRule="auto"/>
              <w:rPr>
                <w:rFonts w:eastAsia="Times New Roman" w:cstheme="minorHAnsi"/>
                <w:sz w:val="24"/>
                <w:szCs w:val="24"/>
                <w:lang w:eastAsia="sk-SK"/>
              </w:rPr>
            </w:pPr>
            <w:r w:rsidRPr="00427052">
              <w:rPr>
                <w:rFonts w:eastAsia="Times New Roman" w:cstheme="minorHAns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ABA9FE" w14:textId="50962408" w:rsidR="005C7AE2" w:rsidRPr="005C7AE2" w:rsidRDefault="005C7AE2" w:rsidP="005C7AE2">
            <w:pPr>
              <w:spacing w:after="0" w:line="240" w:lineRule="auto"/>
              <w:jc w:val="center"/>
              <w:rPr>
                <w:rFonts w:eastAsia="Times New Roman" w:cstheme="minorHAnsi"/>
                <w:sz w:val="24"/>
                <w:szCs w:val="24"/>
                <w:lang w:eastAsia="sk-SK"/>
              </w:rPr>
            </w:pPr>
            <w:r w:rsidRPr="005C7AE2">
              <w:rPr>
                <w:rFonts w:ascii="Calibri" w:eastAsia="Times New Roman" w:hAnsi="Calibri" w:cs="Calibri"/>
                <w:sz w:val="24"/>
                <w:szCs w:val="24"/>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A56C42" w14:textId="7EBBB9FB" w:rsidR="005C7AE2" w:rsidRPr="005C7AE2" w:rsidRDefault="005C7AE2" w:rsidP="005C7AE2">
            <w:pPr>
              <w:spacing w:after="0" w:line="240" w:lineRule="auto"/>
              <w:jc w:val="center"/>
              <w:rPr>
                <w:rFonts w:eastAsia="Times New Roman" w:cstheme="minorHAnsi"/>
                <w:sz w:val="24"/>
                <w:szCs w:val="24"/>
                <w:lang w:eastAsia="sk-SK"/>
              </w:rPr>
            </w:pPr>
            <w:r w:rsidRPr="005C7AE2">
              <w:rPr>
                <w:rFonts w:ascii="Calibri" w:eastAsia="Times New Roman" w:hAnsi="Calibri" w:cs="Calibri"/>
                <w:b/>
                <w:bCs/>
                <w:sz w:val="24"/>
                <w:szCs w:val="24"/>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370AE5" w14:textId="1C537958" w:rsidR="005C7AE2" w:rsidRPr="005C7AE2" w:rsidRDefault="005C7AE2" w:rsidP="005C7AE2">
            <w:pPr>
              <w:spacing w:after="0" w:line="240" w:lineRule="auto"/>
              <w:jc w:val="center"/>
              <w:rPr>
                <w:rFonts w:eastAsia="Times New Roman" w:cstheme="minorHAnsi"/>
                <w:sz w:val="24"/>
                <w:szCs w:val="24"/>
                <w:lang w:eastAsia="sk-SK"/>
              </w:rPr>
            </w:pPr>
            <w:r w:rsidRPr="005C7AE2">
              <w:rPr>
                <w:rFonts w:ascii="Calibri" w:eastAsia="Times New Roman" w:hAnsi="Calibri" w:cs="Calibri"/>
                <w:sz w:val="24"/>
                <w:szCs w:val="24"/>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A9FB30" w14:textId="6FE59849" w:rsidR="005C7AE2" w:rsidRPr="005C7AE2" w:rsidRDefault="005C7AE2" w:rsidP="005C7AE2">
            <w:pPr>
              <w:spacing w:after="0" w:line="240" w:lineRule="auto"/>
              <w:jc w:val="center"/>
              <w:rPr>
                <w:rFonts w:eastAsia="Times New Roman" w:cstheme="minorHAnsi"/>
                <w:sz w:val="24"/>
                <w:szCs w:val="24"/>
                <w:lang w:eastAsia="sk-SK"/>
              </w:rPr>
            </w:pPr>
            <w:r w:rsidRPr="005C7AE2">
              <w:rPr>
                <w:rFonts w:ascii="Calibri" w:eastAsia="Times New Roman" w:hAnsi="Calibri" w:cs="Calibri"/>
                <w:sz w:val="24"/>
                <w:szCs w:val="24"/>
              </w:rPr>
              <w:t>2027</w:t>
            </w:r>
          </w:p>
        </w:tc>
      </w:tr>
      <w:tr w:rsidR="00427052" w:rsidRPr="00427052" w14:paraId="52F32FCB" w14:textId="77777777" w:rsidTr="00A55DA6">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EF1CAC" w14:textId="77777777" w:rsidR="00427052" w:rsidRPr="00427052" w:rsidRDefault="00427052" w:rsidP="00427052">
            <w:pPr>
              <w:spacing w:after="0" w:line="240" w:lineRule="auto"/>
              <w:rPr>
                <w:rFonts w:eastAsia="Times New Roman" w:cstheme="minorHAnsi"/>
                <w:sz w:val="24"/>
                <w:szCs w:val="24"/>
                <w:lang w:eastAsia="sk-SK"/>
              </w:rPr>
            </w:pPr>
            <w:r w:rsidRPr="00427052">
              <w:rPr>
                <w:rFonts w:eastAsia="Times New Roman" w:cstheme="minorHAns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2BE38D" w14:textId="77777777"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sz w:val="24"/>
                <w:szCs w:val="24"/>
                <w:lang w:eastAsia="sk-SK"/>
              </w:rPr>
              <w:t> 12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C575BB" w14:textId="77777777"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b/>
                <w:bCs/>
                <w:sz w:val="24"/>
                <w:szCs w:val="24"/>
                <w:lang w:eastAsia="sk-SK"/>
              </w:rPr>
              <w:t> 12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427B25" w14:textId="77777777"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sz w:val="24"/>
                <w:szCs w:val="24"/>
                <w:lang w:eastAsia="sk-SK"/>
              </w:rPr>
              <w:t> 12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7B3028" w14:textId="77777777"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sz w:val="24"/>
                <w:szCs w:val="24"/>
                <w:lang w:eastAsia="sk-SK"/>
              </w:rPr>
              <w:t> 12</w:t>
            </w:r>
          </w:p>
        </w:tc>
      </w:tr>
    </w:tbl>
    <w:p w14:paraId="438497A5" w14:textId="77777777" w:rsidR="005C7AE2" w:rsidRDefault="005C7AE2" w:rsidP="00427052">
      <w:pPr>
        <w:spacing w:after="0" w:line="240" w:lineRule="auto"/>
        <w:jc w:val="both"/>
        <w:rPr>
          <w:rFonts w:eastAsiaTheme="minorEastAsia" w:cstheme="minorHAnsi"/>
          <w:b/>
          <w:bCs/>
          <w:sz w:val="24"/>
          <w:szCs w:val="24"/>
          <w:lang w:eastAsia="sk-SK"/>
        </w:rPr>
      </w:pPr>
    </w:p>
    <w:p w14:paraId="567D609A" w14:textId="02E26D37" w:rsidR="00427052" w:rsidRDefault="00427052" w:rsidP="00427052">
      <w:pPr>
        <w:spacing w:after="0" w:line="240" w:lineRule="auto"/>
        <w:jc w:val="both"/>
        <w:rPr>
          <w:rFonts w:eastAsiaTheme="minorEastAsia" w:cstheme="minorHAnsi"/>
          <w:sz w:val="24"/>
          <w:szCs w:val="24"/>
          <w:lang w:eastAsia="sk-SK"/>
        </w:rPr>
      </w:pPr>
      <w:r w:rsidRPr="00427052">
        <w:rPr>
          <w:rFonts w:eastAsiaTheme="minorEastAsia" w:cstheme="minorHAnsi"/>
          <w:b/>
          <w:bCs/>
          <w:sz w:val="24"/>
          <w:szCs w:val="24"/>
          <w:lang w:eastAsia="sk-SK"/>
        </w:rPr>
        <w:t xml:space="preserve">Komentár: </w:t>
      </w:r>
      <w:r w:rsidRPr="00427052">
        <w:rPr>
          <w:rFonts w:eastAsiaTheme="minorEastAsia" w:cstheme="minorHAnsi"/>
          <w:sz w:val="24"/>
          <w:szCs w:val="24"/>
          <w:lang w:eastAsia="sk-SK"/>
        </w:rPr>
        <w:t>Oddelenie kultúry BSK bude v roku 202</w:t>
      </w:r>
      <w:r w:rsidR="005C7AE2">
        <w:rPr>
          <w:rFonts w:eastAsiaTheme="minorEastAsia" w:cstheme="minorHAnsi"/>
          <w:sz w:val="24"/>
          <w:szCs w:val="24"/>
          <w:lang w:eastAsia="sk-SK"/>
        </w:rPr>
        <w:t>5</w:t>
      </w:r>
      <w:r w:rsidRPr="00427052">
        <w:rPr>
          <w:rFonts w:eastAsiaTheme="minorEastAsia" w:cstheme="minorHAnsi"/>
          <w:sz w:val="24"/>
          <w:szCs w:val="24"/>
          <w:lang w:eastAsia="sk-SK"/>
        </w:rPr>
        <w:t xml:space="preserve"> priebežne pracovať na všetkých plánovaných projektoch a strategických materiáloch. </w:t>
      </w:r>
    </w:p>
    <w:p w14:paraId="0272ABA8" w14:textId="77777777" w:rsidR="00784C42" w:rsidRDefault="00784C42" w:rsidP="00427052">
      <w:pPr>
        <w:spacing w:after="0" w:line="240" w:lineRule="auto"/>
        <w:jc w:val="both"/>
        <w:rPr>
          <w:rFonts w:eastAsiaTheme="minorEastAsia" w:cstheme="minorHAnsi"/>
          <w:sz w:val="24"/>
          <w:szCs w:val="24"/>
          <w:lang w:eastAsia="sk-SK"/>
        </w:rPr>
      </w:pPr>
    </w:p>
    <w:p w14:paraId="2765A3A9" w14:textId="77777777" w:rsidR="00784C42" w:rsidRDefault="00784C42" w:rsidP="00784C42">
      <w:pPr>
        <w:pStyle w:val="Normlnywebov"/>
        <w:spacing w:before="0" w:beforeAutospacing="0" w:after="0" w:afterAutospacing="0"/>
        <w:jc w:val="both"/>
        <w:rPr>
          <w:rFonts w:ascii="Calibri" w:hAnsi="Calibri" w:cs="Calibri"/>
        </w:rPr>
      </w:pPr>
      <w:r w:rsidRPr="002D44CE">
        <w:rPr>
          <w:rFonts w:ascii="Calibri" w:hAnsi="Calibri" w:cs="Calibri"/>
        </w:rPr>
        <w:t>V rámci výstavby a rekonštrukcie budeme pracovať na:</w:t>
      </w:r>
    </w:p>
    <w:p w14:paraId="2472A10A" w14:textId="77777777" w:rsidR="00784C42" w:rsidRDefault="00784C42" w:rsidP="00784C42">
      <w:pPr>
        <w:pStyle w:val="Normlnywebov"/>
        <w:numPr>
          <w:ilvl w:val="0"/>
          <w:numId w:val="36"/>
        </w:numPr>
        <w:spacing w:before="0" w:beforeAutospacing="0" w:after="0" w:afterAutospacing="0"/>
        <w:jc w:val="both"/>
        <w:rPr>
          <w:rFonts w:ascii="Calibri" w:hAnsi="Calibri" w:cs="Calibri"/>
        </w:rPr>
      </w:pPr>
      <w:r w:rsidRPr="002D44CE">
        <w:rPr>
          <w:rFonts w:ascii="Calibri" w:hAnsi="Calibri" w:cs="Calibri"/>
        </w:rPr>
        <w:t>rekonštrukcii synagógy vo Svätom Jure, vyhotovenie projektu prestavby;</w:t>
      </w:r>
    </w:p>
    <w:p w14:paraId="76A5FA3C" w14:textId="77777777" w:rsidR="00784C42" w:rsidRDefault="00784C42" w:rsidP="00784C42">
      <w:pPr>
        <w:pStyle w:val="Normlnywebov"/>
        <w:numPr>
          <w:ilvl w:val="0"/>
          <w:numId w:val="36"/>
        </w:numPr>
        <w:spacing w:before="0" w:beforeAutospacing="0" w:after="0" w:afterAutospacing="0"/>
        <w:jc w:val="both"/>
        <w:rPr>
          <w:rFonts w:ascii="Calibri" w:hAnsi="Calibri" w:cs="Calibri"/>
        </w:rPr>
      </w:pPr>
      <w:r w:rsidRPr="00784C42">
        <w:rPr>
          <w:rFonts w:ascii="Calibri" w:hAnsi="Calibri" w:cs="Calibri"/>
        </w:rPr>
        <w:t xml:space="preserve">rekonštrukcii a sanácii pôvodných domov </w:t>
      </w:r>
      <w:proofErr w:type="spellStart"/>
      <w:r w:rsidRPr="00784C42">
        <w:rPr>
          <w:rFonts w:ascii="Calibri" w:hAnsi="Calibri" w:cs="Calibri"/>
        </w:rPr>
        <w:t>Ferdiša</w:t>
      </w:r>
      <w:proofErr w:type="spellEnd"/>
      <w:r w:rsidRPr="00784C42">
        <w:rPr>
          <w:rFonts w:ascii="Calibri" w:hAnsi="Calibri" w:cs="Calibri"/>
        </w:rPr>
        <w:t xml:space="preserve"> Kostku v Stupave;</w:t>
      </w:r>
    </w:p>
    <w:p w14:paraId="48E87567" w14:textId="26BC6829" w:rsidR="00784C42" w:rsidRPr="001E529C" w:rsidRDefault="00784C42" w:rsidP="00784C42">
      <w:pPr>
        <w:pStyle w:val="Normlnywebov"/>
        <w:numPr>
          <w:ilvl w:val="0"/>
          <w:numId w:val="36"/>
        </w:numPr>
        <w:spacing w:before="0" w:beforeAutospacing="0" w:after="0" w:afterAutospacing="0"/>
        <w:jc w:val="both"/>
        <w:rPr>
          <w:rFonts w:ascii="Calibri" w:hAnsi="Calibri" w:cs="Calibri"/>
        </w:rPr>
      </w:pPr>
      <w:r w:rsidRPr="00784C42">
        <w:rPr>
          <w:rFonts w:ascii="Calibri" w:hAnsi="Calibri" w:cs="Calibri"/>
        </w:rPr>
        <w:t xml:space="preserve">projektovej dokumentácie rekonštrukcie oddelenia pre dospelých v Malokarpatskej knižnici </w:t>
      </w:r>
      <w:r w:rsidR="001E529C">
        <w:rPr>
          <w:rFonts w:ascii="Calibri" w:hAnsi="Calibri" w:cs="Calibri"/>
        </w:rPr>
        <w:br/>
      </w:r>
      <w:r w:rsidRPr="001E529C">
        <w:rPr>
          <w:rFonts w:ascii="Calibri" w:hAnsi="Calibri" w:cs="Calibri"/>
        </w:rPr>
        <w:t xml:space="preserve">v Pezinku; </w:t>
      </w:r>
    </w:p>
    <w:p w14:paraId="14469BBF" w14:textId="77777777" w:rsidR="001E529C" w:rsidRDefault="00784C42" w:rsidP="00784C42">
      <w:pPr>
        <w:pStyle w:val="Normlnywebov"/>
        <w:numPr>
          <w:ilvl w:val="0"/>
          <w:numId w:val="37"/>
        </w:numPr>
        <w:spacing w:before="0" w:beforeAutospacing="0" w:after="0" w:afterAutospacing="0"/>
        <w:jc w:val="both"/>
        <w:rPr>
          <w:rFonts w:ascii="Calibri" w:hAnsi="Calibri" w:cs="Calibri"/>
        </w:rPr>
      </w:pPr>
      <w:r w:rsidRPr="002D44CE">
        <w:rPr>
          <w:rFonts w:ascii="Calibri" w:hAnsi="Calibri" w:cs="Calibri"/>
        </w:rPr>
        <w:t xml:space="preserve">komunitnej záhrade v synagóge v Senci; </w:t>
      </w:r>
    </w:p>
    <w:p w14:paraId="66B6CFED" w14:textId="77777777" w:rsidR="001E529C" w:rsidRDefault="00784C42" w:rsidP="00784C42">
      <w:pPr>
        <w:pStyle w:val="Normlnywebov"/>
        <w:numPr>
          <w:ilvl w:val="0"/>
          <w:numId w:val="37"/>
        </w:numPr>
        <w:spacing w:before="0" w:beforeAutospacing="0" w:after="0" w:afterAutospacing="0"/>
        <w:jc w:val="both"/>
        <w:rPr>
          <w:rFonts w:ascii="Calibri" w:hAnsi="Calibri" w:cs="Calibri"/>
        </w:rPr>
      </w:pPr>
      <w:r w:rsidRPr="001E529C">
        <w:rPr>
          <w:rFonts w:ascii="Calibri" w:hAnsi="Calibri" w:cs="Calibri"/>
        </w:rPr>
        <w:t xml:space="preserve">pamiatkovej ochrane </w:t>
      </w:r>
      <w:proofErr w:type="spellStart"/>
      <w:r w:rsidRPr="001E529C">
        <w:rPr>
          <w:rFonts w:ascii="Calibri" w:hAnsi="Calibri" w:cs="Calibri"/>
        </w:rPr>
        <w:t>Mikve</w:t>
      </w:r>
      <w:proofErr w:type="spellEnd"/>
      <w:r w:rsidRPr="001E529C">
        <w:rPr>
          <w:rFonts w:ascii="Calibri" w:hAnsi="Calibri" w:cs="Calibri"/>
        </w:rPr>
        <w:t xml:space="preserve"> v synagóge v Senci; </w:t>
      </w:r>
    </w:p>
    <w:p w14:paraId="51A44610" w14:textId="6F568EF2" w:rsidR="00784C42" w:rsidRPr="001E529C" w:rsidRDefault="00784C42" w:rsidP="00784C42">
      <w:pPr>
        <w:pStyle w:val="Normlnywebov"/>
        <w:numPr>
          <w:ilvl w:val="0"/>
          <w:numId w:val="37"/>
        </w:numPr>
        <w:spacing w:before="0" w:beforeAutospacing="0" w:after="0" w:afterAutospacing="0"/>
        <w:jc w:val="both"/>
        <w:rPr>
          <w:rFonts w:ascii="Calibri" w:hAnsi="Calibri" w:cs="Calibri"/>
        </w:rPr>
      </w:pPr>
      <w:r w:rsidRPr="001E529C">
        <w:rPr>
          <w:rFonts w:ascii="Calibri" w:hAnsi="Calibri" w:cs="Calibri"/>
        </w:rPr>
        <w:t>realizácii Expozície židovského kultúrneho dedičstva BSK</w:t>
      </w:r>
    </w:p>
    <w:p w14:paraId="376A932B" w14:textId="77777777" w:rsidR="001E529C" w:rsidRDefault="001E529C" w:rsidP="00784C42">
      <w:pPr>
        <w:pStyle w:val="Normlnywebov"/>
        <w:spacing w:before="0" w:beforeAutospacing="0" w:after="0" w:afterAutospacing="0"/>
        <w:jc w:val="both"/>
        <w:rPr>
          <w:rFonts w:ascii="Calibri" w:hAnsi="Calibri" w:cs="Calibri"/>
        </w:rPr>
      </w:pPr>
    </w:p>
    <w:p w14:paraId="2620C3D5" w14:textId="0E53943D" w:rsidR="00784C42" w:rsidRDefault="00784C42" w:rsidP="00784C42">
      <w:pPr>
        <w:pStyle w:val="Normlnywebov"/>
        <w:spacing w:before="0" w:beforeAutospacing="0" w:after="0" w:afterAutospacing="0"/>
        <w:jc w:val="both"/>
        <w:rPr>
          <w:rFonts w:ascii="Calibri" w:hAnsi="Calibri" w:cs="Calibri"/>
        </w:rPr>
      </w:pPr>
      <w:r w:rsidRPr="002D44CE">
        <w:rPr>
          <w:rFonts w:ascii="Calibri" w:hAnsi="Calibri" w:cs="Calibri"/>
        </w:rPr>
        <w:t>Ďalšie projekty, na ktorých pracuje OK BSK:</w:t>
      </w:r>
    </w:p>
    <w:p w14:paraId="3ACD436E" w14:textId="77777777" w:rsidR="001E529C" w:rsidRDefault="00784C42" w:rsidP="00784C42">
      <w:pPr>
        <w:pStyle w:val="Normlnywebov"/>
        <w:numPr>
          <w:ilvl w:val="0"/>
          <w:numId w:val="38"/>
        </w:numPr>
        <w:spacing w:before="0" w:beforeAutospacing="0" w:after="0" w:afterAutospacing="0"/>
        <w:jc w:val="both"/>
        <w:rPr>
          <w:rFonts w:ascii="Calibri" w:hAnsi="Calibri" w:cs="Calibri"/>
        </w:rPr>
      </w:pPr>
      <w:r w:rsidRPr="002D44CE">
        <w:rPr>
          <w:rFonts w:ascii="Calibri" w:hAnsi="Calibri" w:cs="Calibri"/>
        </w:rPr>
        <w:t>Príprava štruktúry výzvy Bratislavskej regionálnej dotačnej schémy na podporu kultúry;</w:t>
      </w:r>
    </w:p>
    <w:p w14:paraId="428D403E" w14:textId="77777777" w:rsidR="001E529C" w:rsidRDefault="00784C42" w:rsidP="00784C42">
      <w:pPr>
        <w:pStyle w:val="Normlnywebov"/>
        <w:numPr>
          <w:ilvl w:val="0"/>
          <w:numId w:val="38"/>
        </w:numPr>
        <w:spacing w:before="0" w:beforeAutospacing="0" w:after="0" w:afterAutospacing="0"/>
        <w:jc w:val="both"/>
        <w:rPr>
          <w:rFonts w:ascii="Calibri" w:hAnsi="Calibri" w:cs="Calibri"/>
        </w:rPr>
      </w:pPr>
      <w:r w:rsidRPr="001E529C">
        <w:rPr>
          <w:rFonts w:ascii="Calibri" w:hAnsi="Calibri" w:cs="Calibri"/>
        </w:rPr>
        <w:t>Projekt DAK´90 – Štúdio 2 na podporu mladých divadelníkov;</w:t>
      </w:r>
    </w:p>
    <w:p w14:paraId="7499F44A" w14:textId="77777777" w:rsidR="001E529C" w:rsidRDefault="00784C42" w:rsidP="00784C42">
      <w:pPr>
        <w:pStyle w:val="Normlnywebov"/>
        <w:numPr>
          <w:ilvl w:val="0"/>
          <w:numId w:val="38"/>
        </w:numPr>
        <w:spacing w:before="0" w:beforeAutospacing="0" w:after="0" w:afterAutospacing="0"/>
        <w:jc w:val="both"/>
        <w:rPr>
          <w:rFonts w:ascii="Calibri" w:hAnsi="Calibri" w:cs="Calibri"/>
        </w:rPr>
      </w:pPr>
      <w:r w:rsidRPr="001E529C">
        <w:rPr>
          <w:rFonts w:ascii="Calibri" w:hAnsi="Calibri" w:cs="Calibri"/>
        </w:rPr>
        <w:t>Projekt digitalizácie kultúrneho dedičstva kraja;</w:t>
      </w:r>
    </w:p>
    <w:p w14:paraId="41394A43" w14:textId="08991A7D" w:rsidR="00784C42" w:rsidRPr="001E529C" w:rsidRDefault="00784C42" w:rsidP="00784C42">
      <w:pPr>
        <w:pStyle w:val="Normlnywebov"/>
        <w:numPr>
          <w:ilvl w:val="0"/>
          <w:numId w:val="38"/>
        </w:numPr>
        <w:spacing w:before="0" w:beforeAutospacing="0" w:after="0" w:afterAutospacing="0"/>
        <w:jc w:val="both"/>
        <w:rPr>
          <w:rFonts w:ascii="Calibri" w:hAnsi="Calibri" w:cs="Calibri"/>
        </w:rPr>
      </w:pPr>
      <w:r w:rsidRPr="001E529C">
        <w:rPr>
          <w:rFonts w:ascii="Calibri" w:hAnsi="Calibri" w:cs="Calibri"/>
        </w:rPr>
        <w:t xml:space="preserve">Kultúrno-sociálne programy v spolupráci s kultúrnymi zariadeniami smerom k zamestnancom úradu a úradom zriadených; </w:t>
      </w:r>
    </w:p>
    <w:p w14:paraId="4415BF11" w14:textId="77777777" w:rsidR="005A678E" w:rsidRDefault="005A678E" w:rsidP="00784C42">
      <w:pPr>
        <w:pStyle w:val="Normlnywebov"/>
        <w:spacing w:before="0" w:beforeAutospacing="0" w:after="0" w:afterAutospacing="0"/>
        <w:jc w:val="both"/>
        <w:rPr>
          <w:rFonts w:ascii="Calibri" w:hAnsi="Calibri" w:cs="Calibri"/>
        </w:rPr>
      </w:pPr>
    </w:p>
    <w:p w14:paraId="4DE2B8EB" w14:textId="0F297261" w:rsidR="00784C42" w:rsidRDefault="00784C42" w:rsidP="00784C42">
      <w:pPr>
        <w:pStyle w:val="Normlnywebov"/>
        <w:spacing w:before="0" w:beforeAutospacing="0" w:after="0" w:afterAutospacing="0"/>
        <w:jc w:val="both"/>
        <w:rPr>
          <w:rFonts w:ascii="Calibri" w:hAnsi="Calibri" w:cs="Calibri"/>
        </w:rPr>
      </w:pPr>
      <w:r w:rsidRPr="002D44CE">
        <w:rPr>
          <w:rFonts w:ascii="Calibri" w:hAnsi="Calibri" w:cs="Calibri"/>
        </w:rPr>
        <w:t xml:space="preserve">Vzdelávacie programy vyplývajúce z koncepcie Vzdelávanie v podmienkach Oddelenia kultúry: </w:t>
      </w:r>
    </w:p>
    <w:p w14:paraId="600529E7" w14:textId="77777777" w:rsidR="005A678E" w:rsidRDefault="00784C42" w:rsidP="00784C42">
      <w:pPr>
        <w:pStyle w:val="Normlnywebov"/>
        <w:numPr>
          <w:ilvl w:val="0"/>
          <w:numId w:val="39"/>
        </w:numPr>
        <w:spacing w:before="0" w:beforeAutospacing="0" w:after="0" w:afterAutospacing="0"/>
        <w:jc w:val="both"/>
        <w:rPr>
          <w:rFonts w:ascii="Calibri" w:hAnsi="Calibri" w:cs="Calibri"/>
        </w:rPr>
      </w:pPr>
      <w:r w:rsidRPr="002D44CE">
        <w:rPr>
          <w:rFonts w:ascii="Calibri" w:hAnsi="Calibri" w:cs="Calibri"/>
        </w:rPr>
        <w:t>Víkend zatvorených hraníc;</w:t>
      </w:r>
    </w:p>
    <w:p w14:paraId="046EF354" w14:textId="77777777" w:rsidR="005A678E" w:rsidRDefault="00784C42" w:rsidP="00784C42">
      <w:pPr>
        <w:pStyle w:val="Normlnywebov"/>
        <w:numPr>
          <w:ilvl w:val="0"/>
          <w:numId w:val="39"/>
        </w:numPr>
        <w:spacing w:before="0" w:beforeAutospacing="0" w:after="0" w:afterAutospacing="0"/>
        <w:jc w:val="both"/>
        <w:rPr>
          <w:rFonts w:ascii="Calibri" w:hAnsi="Calibri" w:cs="Calibri"/>
        </w:rPr>
      </w:pPr>
      <w:r w:rsidRPr="005A678E">
        <w:rPr>
          <w:rFonts w:ascii="Calibri" w:hAnsi="Calibri" w:cs="Calibri"/>
        </w:rPr>
        <w:t>Projekt železnej opony (revitalizácia a stála expozícia na miestach železnej opony);</w:t>
      </w:r>
    </w:p>
    <w:p w14:paraId="03F8B715" w14:textId="77777777" w:rsidR="005A678E" w:rsidRDefault="00784C42" w:rsidP="00784C42">
      <w:pPr>
        <w:pStyle w:val="Normlnywebov"/>
        <w:numPr>
          <w:ilvl w:val="0"/>
          <w:numId w:val="39"/>
        </w:numPr>
        <w:spacing w:before="0" w:beforeAutospacing="0" w:after="0" w:afterAutospacing="0"/>
        <w:jc w:val="both"/>
        <w:rPr>
          <w:rFonts w:ascii="Calibri" w:hAnsi="Calibri" w:cs="Calibri"/>
        </w:rPr>
      </w:pPr>
      <w:r w:rsidRPr="005A678E">
        <w:rPr>
          <w:rFonts w:ascii="Calibri" w:hAnsi="Calibri" w:cs="Calibri"/>
        </w:rPr>
        <w:t>Železná opona zo sedla bicykla;</w:t>
      </w:r>
    </w:p>
    <w:p w14:paraId="64B1749A" w14:textId="77777777" w:rsidR="005A678E" w:rsidRDefault="00784C42" w:rsidP="00784C42">
      <w:pPr>
        <w:pStyle w:val="Normlnywebov"/>
        <w:numPr>
          <w:ilvl w:val="0"/>
          <w:numId w:val="39"/>
        </w:numPr>
        <w:spacing w:before="0" w:beforeAutospacing="0" w:after="0" w:afterAutospacing="0"/>
        <w:jc w:val="both"/>
        <w:rPr>
          <w:rFonts w:ascii="Calibri" w:hAnsi="Calibri" w:cs="Calibri"/>
        </w:rPr>
      </w:pPr>
      <w:r w:rsidRPr="005A678E">
        <w:rPr>
          <w:rFonts w:ascii="Calibri" w:hAnsi="Calibri" w:cs="Calibri"/>
        </w:rPr>
        <w:t>Pamätáte si ešte? – umelecko-vzdelávacia súťaž;</w:t>
      </w:r>
    </w:p>
    <w:p w14:paraId="37C27B3C" w14:textId="77777777" w:rsidR="005A678E" w:rsidRDefault="00784C42" w:rsidP="00784C42">
      <w:pPr>
        <w:pStyle w:val="Normlnywebov"/>
        <w:numPr>
          <w:ilvl w:val="0"/>
          <w:numId w:val="39"/>
        </w:numPr>
        <w:spacing w:before="0" w:beforeAutospacing="0" w:after="0" w:afterAutospacing="0"/>
        <w:jc w:val="both"/>
        <w:rPr>
          <w:rFonts w:ascii="Calibri" w:hAnsi="Calibri" w:cs="Calibri"/>
        </w:rPr>
      </w:pPr>
      <w:r w:rsidRPr="005A678E">
        <w:rPr>
          <w:rFonts w:ascii="Calibri" w:hAnsi="Calibri" w:cs="Calibri"/>
        </w:rPr>
        <w:t xml:space="preserve">mapovanie historických udalostí 20. a 21. storočia cez orálnu históriu, </w:t>
      </w:r>
    </w:p>
    <w:p w14:paraId="68B9F2C0" w14:textId="77777777" w:rsidR="005A678E" w:rsidRDefault="00784C42" w:rsidP="00784C42">
      <w:pPr>
        <w:pStyle w:val="Normlnywebov"/>
        <w:numPr>
          <w:ilvl w:val="0"/>
          <w:numId w:val="39"/>
        </w:numPr>
        <w:spacing w:before="0" w:beforeAutospacing="0" w:after="0" w:afterAutospacing="0"/>
        <w:jc w:val="both"/>
        <w:rPr>
          <w:rFonts w:ascii="Calibri" w:hAnsi="Calibri" w:cs="Calibri"/>
        </w:rPr>
      </w:pPr>
      <w:r w:rsidRPr="005A678E">
        <w:rPr>
          <w:rFonts w:ascii="Calibri" w:hAnsi="Calibri" w:cs="Calibri"/>
        </w:rPr>
        <w:lastRenderedPageBreak/>
        <w:t xml:space="preserve">Autobusom za umením – Umenie vo verejnom priestore; </w:t>
      </w:r>
    </w:p>
    <w:p w14:paraId="76E744D8" w14:textId="77777777" w:rsidR="005A678E" w:rsidRDefault="00784C42" w:rsidP="00784C42">
      <w:pPr>
        <w:pStyle w:val="Normlnywebov"/>
        <w:numPr>
          <w:ilvl w:val="0"/>
          <w:numId w:val="39"/>
        </w:numPr>
        <w:spacing w:before="0" w:beforeAutospacing="0" w:after="0" w:afterAutospacing="0"/>
        <w:jc w:val="both"/>
        <w:rPr>
          <w:rFonts w:ascii="Calibri" w:hAnsi="Calibri" w:cs="Calibri"/>
        </w:rPr>
      </w:pPr>
      <w:r w:rsidRPr="005A678E">
        <w:rPr>
          <w:rFonts w:ascii="Calibri" w:hAnsi="Calibri" w:cs="Calibri"/>
        </w:rPr>
        <w:t xml:space="preserve">Záchrana kultúrno-historického dedičstva; </w:t>
      </w:r>
    </w:p>
    <w:p w14:paraId="59913BC4" w14:textId="77777777" w:rsidR="00A85E95" w:rsidRDefault="00784C42" w:rsidP="00784C42">
      <w:pPr>
        <w:pStyle w:val="Normlnywebov"/>
        <w:numPr>
          <w:ilvl w:val="0"/>
          <w:numId w:val="39"/>
        </w:numPr>
        <w:spacing w:before="0" w:beforeAutospacing="0" w:after="0" w:afterAutospacing="0"/>
        <w:jc w:val="both"/>
        <w:rPr>
          <w:rFonts w:ascii="Calibri" w:hAnsi="Calibri" w:cs="Calibri"/>
        </w:rPr>
      </w:pPr>
      <w:r w:rsidRPr="005A678E">
        <w:rPr>
          <w:rFonts w:ascii="Calibri" w:hAnsi="Calibri" w:cs="Calibri"/>
        </w:rPr>
        <w:t xml:space="preserve">Kultúrno-sociálne programy v spolupráci s kultúrnymi zariadeniami smerom k zamestnancom </w:t>
      </w:r>
      <w:r w:rsidRPr="00A85E95">
        <w:rPr>
          <w:rFonts w:ascii="Calibri" w:hAnsi="Calibri" w:cs="Calibri"/>
        </w:rPr>
        <w:t>úradu a úradom zriadených inštitúcií;</w:t>
      </w:r>
    </w:p>
    <w:p w14:paraId="2B88E559" w14:textId="77777777" w:rsidR="00A85E95" w:rsidRDefault="00784C42" w:rsidP="00784C42">
      <w:pPr>
        <w:pStyle w:val="Normlnywebov"/>
        <w:numPr>
          <w:ilvl w:val="0"/>
          <w:numId w:val="39"/>
        </w:numPr>
        <w:spacing w:before="0" w:beforeAutospacing="0" w:after="0" w:afterAutospacing="0"/>
        <w:jc w:val="both"/>
        <w:rPr>
          <w:rFonts w:ascii="Calibri" w:hAnsi="Calibri" w:cs="Calibri"/>
        </w:rPr>
      </w:pPr>
      <w:r w:rsidRPr="00A85E95">
        <w:rPr>
          <w:rFonts w:ascii="Calibri" w:hAnsi="Calibri" w:cs="Calibri"/>
        </w:rPr>
        <w:t xml:space="preserve">Konferencia o hmotnom kultúrnom dedičstve na území BSK; </w:t>
      </w:r>
    </w:p>
    <w:p w14:paraId="3B48EA9D" w14:textId="77777777" w:rsidR="00A85E95" w:rsidRDefault="00784C42" w:rsidP="00784C42">
      <w:pPr>
        <w:pStyle w:val="Normlnywebov"/>
        <w:numPr>
          <w:ilvl w:val="0"/>
          <w:numId w:val="39"/>
        </w:numPr>
        <w:spacing w:before="0" w:beforeAutospacing="0" w:after="0" w:afterAutospacing="0"/>
        <w:jc w:val="both"/>
        <w:rPr>
          <w:rFonts w:ascii="Calibri" w:hAnsi="Calibri" w:cs="Calibri"/>
        </w:rPr>
      </w:pPr>
      <w:r w:rsidRPr="00A85E95">
        <w:rPr>
          <w:rFonts w:ascii="Calibri" w:hAnsi="Calibri" w:cs="Calibri"/>
        </w:rPr>
        <w:t xml:space="preserve">Prehĺbenie spolupráce s NC Cvernovka a centra </w:t>
      </w:r>
      <w:proofErr w:type="spellStart"/>
      <w:r w:rsidRPr="00A85E95">
        <w:rPr>
          <w:rFonts w:ascii="Calibri" w:hAnsi="Calibri" w:cs="Calibri"/>
        </w:rPr>
        <w:t>TELOcvičňa</w:t>
      </w:r>
      <w:proofErr w:type="spellEnd"/>
      <w:r w:rsidRPr="00A85E95">
        <w:rPr>
          <w:rFonts w:ascii="Calibri" w:hAnsi="Calibri" w:cs="Calibri"/>
        </w:rPr>
        <w:t xml:space="preserve"> a stabilizácii spolupráce s NC; </w:t>
      </w:r>
    </w:p>
    <w:p w14:paraId="48EE0AC9" w14:textId="77777777" w:rsidR="00A85E95" w:rsidRDefault="00784C42" w:rsidP="00784C42">
      <w:pPr>
        <w:pStyle w:val="Normlnywebov"/>
        <w:numPr>
          <w:ilvl w:val="0"/>
          <w:numId w:val="39"/>
        </w:numPr>
        <w:spacing w:before="0" w:beforeAutospacing="0" w:after="0" w:afterAutospacing="0"/>
        <w:jc w:val="both"/>
        <w:rPr>
          <w:rFonts w:ascii="Calibri" w:hAnsi="Calibri" w:cs="Calibri"/>
        </w:rPr>
      </w:pPr>
      <w:r w:rsidRPr="00A85E95">
        <w:rPr>
          <w:rFonts w:ascii="Calibri" w:hAnsi="Calibri" w:cs="Calibri"/>
        </w:rPr>
        <w:t xml:space="preserve">Tvorba vzdelávacích programov, naviazaných na kultúrnu ponuku kultúrnych zariadení a OK BSK; </w:t>
      </w:r>
    </w:p>
    <w:p w14:paraId="40A106AC" w14:textId="77777777" w:rsidR="00A85E95" w:rsidRDefault="00784C42" w:rsidP="00784C42">
      <w:pPr>
        <w:pStyle w:val="Normlnywebov"/>
        <w:numPr>
          <w:ilvl w:val="0"/>
          <w:numId w:val="39"/>
        </w:numPr>
        <w:spacing w:before="0" w:beforeAutospacing="0" w:after="0" w:afterAutospacing="0"/>
        <w:jc w:val="both"/>
        <w:rPr>
          <w:rFonts w:ascii="Calibri" w:hAnsi="Calibri" w:cs="Calibri"/>
        </w:rPr>
      </w:pPr>
      <w:r w:rsidRPr="00A85E95">
        <w:rPr>
          <w:rFonts w:ascii="Calibri" w:hAnsi="Calibri" w:cs="Calibri"/>
        </w:rPr>
        <w:t xml:space="preserve">Analýza fungovania kultúrnych zariadení – ich efektivita a tvorba programu, koncepcia rozvoja Malá Scéna STU; </w:t>
      </w:r>
    </w:p>
    <w:p w14:paraId="571D771B" w14:textId="73D4AA95" w:rsidR="00784C42" w:rsidRPr="00A85E95" w:rsidRDefault="00784C42" w:rsidP="00784C42">
      <w:pPr>
        <w:pStyle w:val="Normlnywebov"/>
        <w:numPr>
          <w:ilvl w:val="0"/>
          <w:numId w:val="39"/>
        </w:numPr>
        <w:spacing w:before="0" w:beforeAutospacing="0" w:after="0" w:afterAutospacing="0"/>
        <w:jc w:val="both"/>
        <w:rPr>
          <w:rFonts w:ascii="Calibri" w:hAnsi="Calibri" w:cs="Calibri"/>
        </w:rPr>
      </w:pPr>
      <w:r w:rsidRPr="00A85E95">
        <w:rPr>
          <w:rFonts w:ascii="Calibri" w:hAnsi="Calibri" w:cs="Calibri"/>
        </w:rPr>
        <w:t xml:space="preserve">Programová štruktúra synagógy Senec </w:t>
      </w:r>
    </w:p>
    <w:p w14:paraId="206F2811" w14:textId="2ABEDFDD" w:rsidR="00784C42" w:rsidRDefault="00784C42" w:rsidP="00784C42">
      <w:pPr>
        <w:pStyle w:val="Normlnywebov"/>
        <w:spacing w:before="0" w:beforeAutospacing="0" w:after="0" w:afterAutospacing="0"/>
        <w:jc w:val="both"/>
        <w:rPr>
          <w:rFonts w:ascii="Calibri" w:hAnsi="Calibri" w:cs="Calibri"/>
        </w:rPr>
      </w:pPr>
      <w:r w:rsidRPr="002D44CE">
        <w:rPr>
          <w:rFonts w:ascii="Calibri" w:hAnsi="Calibri" w:cs="Calibri"/>
        </w:rPr>
        <w:t>Všetky aktivity BSK vykonáva na základe platných legislatívnych noriem, a to predovšetkým na základe zákona NR SR č. 302/2001 Z.</w:t>
      </w:r>
      <w:r w:rsidR="00CA5802">
        <w:rPr>
          <w:rFonts w:ascii="Calibri" w:hAnsi="Calibri" w:cs="Calibri"/>
        </w:rPr>
        <w:t xml:space="preserve"> </w:t>
      </w:r>
      <w:r w:rsidRPr="002D44CE">
        <w:rPr>
          <w:rFonts w:ascii="Calibri" w:hAnsi="Calibri" w:cs="Calibri"/>
        </w:rPr>
        <w:t>z. o samosprávnych krajoch a zákona NR SR č. 416/2001 Z.</w:t>
      </w:r>
      <w:r w:rsidR="00CA5802">
        <w:rPr>
          <w:rFonts w:ascii="Calibri" w:hAnsi="Calibri" w:cs="Calibri"/>
        </w:rPr>
        <w:t xml:space="preserve"> </w:t>
      </w:r>
      <w:r w:rsidRPr="002D44CE">
        <w:rPr>
          <w:rFonts w:ascii="Calibri" w:hAnsi="Calibri" w:cs="Calibri"/>
        </w:rPr>
        <w:t>z. o prechode niektorých pôsobností z orgánov štátnej správy na obce a vyššie územné celky. Samosprávny kraj má v oblasti kultúry originálne kompetencie.</w:t>
      </w:r>
    </w:p>
    <w:p w14:paraId="40C02C05" w14:textId="77777777" w:rsidR="00784C42" w:rsidRDefault="00784C42" w:rsidP="00427052">
      <w:pPr>
        <w:spacing w:after="0" w:line="240" w:lineRule="auto"/>
        <w:jc w:val="both"/>
        <w:rPr>
          <w:rFonts w:eastAsiaTheme="minorEastAsia" w:cstheme="minorHAnsi"/>
          <w:sz w:val="24"/>
          <w:szCs w:val="24"/>
          <w:lang w:eastAsia="sk-SK"/>
        </w:rPr>
      </w:pPr>
    </w:p>
    <w:p w14:paraId="67EA278A" w14:textId="77777777" w:rsidR="005C26D1" w:rsidRPr="00427052" w:rsidRDefault="005C26D1" w:rsidP="00427052">
      <w:pPr>
        <w:spacing w:after="0" w:line="240" w:lineRule="auto"/>
        <w:jc w:val="both"/>
        <w:rPr>
          <w:rFonts w:eastAsiaTheme="minorEastAsia" w:cstheme="minorHAnsi"/>
          <w:sz w:val="24"/>
          <w:szCs w:val="24"/>
          <w:lang w:eastAsia="sk-SK"/>
        </w:rPr>
      </w:pPr>
    </w:p>
    <w:p w14:paraId="22EFD654" w14:textId="77777777" w:rsidR="00427052" w:rsidRPr="00427052" w:rsidRDefault="00427052" w:rsidP="005C26D1">
      <w:pPr>
        <w:spacing w:before="120" w:after="120" w:line="240" w:lineRule="auto"/>
        <w:outlineLvl w:val="2"/>
        <w:rPr>
          <w:rFonts w:eastAsia="Times New Roman" w:cstheme="minorHAnsi"/>
          <w:b/>
          <w:bCs/>
          <w:sz w:val="27"/>
          <w:szCs w:val="27"/>
          <w:lang w:eastAsia="sk-SK"/>
        </w:rPr>
      </w:pPr>
      <w:r w:rsidRPr="00427052">
        <w:rPr>
          <w:rFonts w:eastAsia="Times New Roman" w:cstheme="minorHAnsi"/>
          <w:b/>
          <w:bCs/>
          <w:color w:val="0000FF"/>
          <w:sz w:val="27"/>
          <w:szCs w:val="27"/>
          <w:lang w:eastAsia="sk-SK"/>
        </w:rPr>
        <w:t>Podprogram 10.3: Divadlá</w:t>
      </w:r>
      <w:r w:rsidRPr="00427052">
        <w:rPr>
          <w:rFonts w:eastAsia="Times New Roman" w:cstheme="minorHAnsi"/>
          <w:b/>
          <w:bCs/>
          <w:sz w:val="27"/>
          <w:szCs w:val="27"/>
          <w:lang w:eastAsia="sk-SK"/>
        </w:rPr>
        <w:t xml:space="preserve"> </w:t>
      </w:r>
    </w:p>
    <w:p w14:paraId="65FE1AF2" w14:textId="2CA51CE9" w:rsidR="00427052" w:rsidRDefault="00427052" w:rsidP="005C26D1">
      <w:pPr>
        <w:spacing w:before="120" w:after="120" w:line="240" w:lineRule="auto"/>
        <w:rPr>
          <w:rFonts w:eastAsiaTheme="minorEastAsia" w:cstheme="minorHAnsi"/>
          <w:sz w:val="24"/>
          <w:szCs w:val="24"/>
          <w:lang w:eastAsia="sk-SK"/>
        </w:rPr>
      </w:pPr>
      <w:r w:rsidRPr="00427052">
        <w:rPr>
          <w:rFonts w:eastAsiaTheme="minorEastAsia" w:cstheme="minorHAnsi"/>
          <w:b/>
          <w:bCs/>
          <w:sz w:val="24"/>
          <w:szCs w:val="24"/>
          <w:lang w:eastAsia="sk-SK"/>
        </w:rPr>
        <w:t xml:space="preserve">Zámer: </w:t>
      </w:r>
      <w:r w:rsidRPr="00427052">
        <w:rPr>
          <w:rFonts w:eastAsiaTheme="minorEastAsia" w:cstheme="minorHAnsi"/>
          <w:sz w:val="24"/>
          <w:szCs w:val="24"/>
          <w:lang w:eastAsia="sk-SK"/>
        </w:rPr>
        <w:t>Zabezpečenie kvalitnej a programovo bohatej ponuky divadiel</w:t>
      </w:r>
    </w:p>
    <w:p w14:paraId="02B4021A" w14:textId="77777777" w:rsidR="005C26D1" w:rsidRPr="00427052" w:rsidRDefault="005C26D1" w:rsidP="00427052">
      <w:pPr>
        <w:spacing w:after="0" w:line="240" w:lineRule="auto"/>
        <w:rPr>
          <w:rFonts w:eastAsiaTheme="minorEastAsia" w:cstheme="minorHAnsi"/>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8"/>
        <w:gridCol w:w="2221"/>
        <w:gridCol w:w="1416"/>
        <w:gridCol w:w="1416"/>
        <w:gridCol w:w="684"/>
        <w:gridCol w:w="1416"/>
        <w:gridCol w:w="684"/>
        <w:gridCol w:w="1416"/>
        <w:gridCol w:w="699"/>
      </w:tblGrid>
      <w:tr w:rsidR="00427052" w:rsidRPr="00427052" w14:paraId="5E47FFA4" w14:textId="77777777" w:rsidTr="00A55DA6">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5CAC39" w14:textId="77777777"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b/>
                <w:bCs/>
                <w:i/>
                <w:iCs/>
                <w:sz w:val="24"/>
                <w:szCs w:val="24"/>
                <w:lang w:eastAsia="sk-SK"/>
              </w:rPr>
              <w:t>Rozpočet v EUR</w:t>
            </w:r>
          </w:p>
        </w:tc>
      </w:tr>
      <w:tr w:rsidR="00427052" w:rsidRPr="00427052" w14:paraId="22480C0F" w14:textId="77777777" w:rsidTr="00963605">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B2716DD" w14:textId="77777777" w:rsidR="00427052" w:rsidRPr="00427052" w:rsidRDefault="00427052" w:rsidP="00427052">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EK</w:t>
            </w:r>
          </w:p>
        </w:tc>
        <w:tc>
          <w:tcPr>
            <w:tcW w:w="108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5A4DF6B" w14:textId="77777777" w:rsidR="00427052" w:rsidRPr="00427052" w:rsidRDefault="00427052" w:rsidP="00427052">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1C027B" w14:textId="6D374657"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b/>
                <w:bCs/>
                <w:sz w:val="20"/>
                <w:szCs w:val="20"/>
                <w:lang w:eastAsia="sk-SK"/>
              </w:rPr>
              <w:t>202</w:t>
            </w:r>
            <w:r w:rsidR="006B7261">
              <w:rPr>
                <w:rFonts w:eastAsia="Times New Roman" w:cstheme="minorHAnsi"/>
                <w:b/>
                <w:bCs/>
                <w:sz w:val="20"/>
                <w:szCs w:val="20"/>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981734" w14:textId="1622BEF4"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b/>
                <w:bCs/>
                <w:sz w:val="20"/>
                <w:szCs w:val="20"/>
                <w:lang w:eastAsia="sk-SK"/>
              </w:rPr>
              <w:t>202</w:t>
            </w:r>
            <w:r w:rsidR="006B7261">
              <w:rPr>
                <w:rFonts w:eastAsia="Times New Roman" w:cstheme="minorHAnsi"/>
                <w:b/>
                <w:bCs/>
                <w:sz w:val="20"/>
                <w:szCs w:val="20"/>
                <w:lang w:eastAsia="sk-SK"/>
              </w:rPr>
              <w:t>5</w:t>
            </w:r>
          </w:p>
        </w:tc>
        <w:tc>
          <w:tcPr>
            <w:tcW w:w="32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7BEFCA8" w14:textId="77777777"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4EF9FE8" w14:textId="18CC8DD8"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b/>
                <w:bCs/>
                <w:sz w:val="20"/>
                <w:szCs w:val="20"/>
                <w:lang w:eastAsia="sk-SK"/>
              </w:rPr>
              <w:t>202</w:t>
            </w:r>
            <w:r w:rsidR="006B7261">
              <w:rPr>
                <w:rFonts w:eastAsia="Times New Roman" w:cstheme="minorHAnsi"/>
                <w:b/>
                <w:bCs/>
                <w:sz w:val="20"/>
                <w:szCs w:val="20"/>
                <w:lang w:eastAsia="sk-SK"/>
              </w:rPr>
              <w:t>6</w:t>
            </w:r>
          </w:p>
        </w:tc>
        <w:tc>
          <w:tcPr>
            <w:tcW w:w="32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7D67042" w14:textId="77777777"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89D59E2" w14:textId="5D8D17C5"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b/>
                <w:bCs/>
                <w:sz w:val="20"/>
                <w:szCs w:val="20"/>
                <w:lang w:eastAsia="sk-SK"/>
              </w:rPr>
              <w:t>202</w:t>
            </w:r>
            <w:r w:rsidR="006B7261">
              <w:rPr>
                <w:rFonts w:eastAsia="Times New Roman" w:cstheme="minorHAnsi"/>
                <w:b/>
                <w:bCs/>
                <w:sz w:val="20"/>
                <w:szCs w:val="20"/>
                <w:lang w:eastAsia="sk-SK"/>
              </w:rPr>
              <w:t>7</w:t>
            </w:r>
          </w:p>
        </w:tc>
        <w:tc>
          <w:tcPr>
            <w:tcW w:w="32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78E1EFF" w14:textId="77777777" w:rsidR="00427052" w:rsidRPr="00427052" w:rsidRDefault="00427052" w:rsidP="00427052">
            <w:pPr>
              <w:spacing w:after="0" w:line="240" w:lineRule="auto"/>
              <w:jc w:val="center"/>
              <w:rPr>
                <w:rFonts w:eastAsia="Times New Roman" w:cstheme="minorHAnsi"/>
                <w:sz w:val="24"/>
                <w:szCs w:val="24"/>
                <w:lang w:eastAsia="sk-SK"/>
              </w:rPr>
            </w:pPr>
            <w:r w:rsidRPr="00427052">
              <w:rPr>
                <w:rFonts w:eastAsia="Times New Roman" w:cstheme="minorHAnsi"/>
                <w:b/>
                <w:bCs/>
                <w:sz w:val="20"/>
                <w:szCs w:val="20"/>
                <w:lang w:eastAsia="sk-SK"/>
              </w:rPr>
              <w:t>%</w:t>
            </w:r>
          </w:p>
        </w:tc>
      </w:tr>
      <w:tr w:rsidR="00963605" w:rsidRPr="00427052" w14:paraId="113837D3" w14:textId="77777777" w:rsidTr="00963605">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0352D2" w14:textId="77777777" w:rsidR="00963605" w:rsidRPr="00427052" w:rsidRDefault="00963605" w:rsidP="00963605">
            <w:pPr>
              <w:spacing w:after="0" w:line="240" w:lineRule="auto"/>
              <w:jc w:val="center"/>
              <w:rPr>
                <w:rFonts w:eastAsia="Times New Roman" w:cstheme="minorHAns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8D250C" w14:textId="77777777" w:rsidR="00963605" w:rsidRPr="00427052" w:rsidRDefault="00963605" w:rsidP="00963605">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Výdavky celkom</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D30045" w14:textId="4757732A"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3 787 805,00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BE38C7" w14:textId="2B74B157"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4 317 773,00</w:t>
            </w:r>
            <w:r w:rsidRPr="0076205D">
              <w:rPr>
                <w:rFonts w:ascii="Calibri" w:eastAsia="Times New Roman" w:hAnsi="Calibri" w:cs="Calibri"/>
              </w:rPr>
              <w:t xml:space="preserve"> </w:t>
            </w:r>
          </w:p>
        </w:tc>
        <w:tc>
          <w:tcPr>
            <w:tcW w:w="32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94D85F" w14:textId="1AFFD694"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113,99</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3DA98E" w14:textId="65325A98"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4 445 000,00</w:t>
            </w:r>
            <w:r w:rsidRPr="0076205D">
              <w:rPr>
                <w:rFonts w:ascii="Calibri" w:eastAsia="Times New Roman" w:hAnsi="Calibri" w:cs="Calibri"/>
              </w:rPr>
              <w:t xml:space="preserve"> </w:t>
            </w:r>
          </w:p>
        </w:tc>
        <w:tc>
          <w:tcPr>
            <w:tcW w:w="32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9E5593" w14:textId="0B427133"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102,95</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45A997" w14:textId="281BDFED"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4 555 000,00</w:t>
            </w:r>
            <w:r w:rsidRPr="0076205D">
              <w:rPr>
                <w:rFonts w:ascii="Calibri" w:eastAsia="Times New Roman" w:hAnsi="Calibri" w:cs="Calibri"/>
              </w:rPr>
              <w:t xml:space="preserve"> </w:t>
            </w:r>
          </w:p>
        </w:tc>
        <w:tc>
          <w:tcPr>
            <w:tcW w:w="32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87F7C0" w14:textId="1C1888BC"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102,47</w:t>
            </w:r>
            <w:r w:rsidRPr="0076205D">
              <w:rPr>
                <w:rFonts w:ascii="Calibri" w:eastAsia="Times New Roman" w:hAnsi="Calibri" w:cs="Calibri"/>
              </w:rPr>
              <w:t xml:space="preserve"> </w:t>
            </w:r>
          </w:p>
        </w:tc>
      </w:tr>
      <w:tr w:rsidR="00963605" w:rsidRPr="00427052" w14:paraId="4F0121B8" w14:textId="77777777" w:rsidTr="00963605">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4C26089" w14:textId="77777777" w:rsidR="00963605" w:rsidRPr="00427052" w:rsidRDefault="00963605" w:rsidP="00963605">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600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FE3B2B" w14:textId="77777777" w:rsidR="00963605" w:rsidRPr="00427052" w:rsidRDefault="00963605" w:rsidP="00963605">
            <w:pPr>
              <w:spacing w:after="0" w:line="240" w:lineRule="auto"/>
              <w:rPr>
                <w:rFonts w:eastAsia="Times New Roman" w:cstheme="minorHAnsi"/>
                <w:sz w:val="24"/>
                <w:szCs w:val="24"/>
                <w:lang w:eastAsia="sk-SK"/>
              </w:rPr>
            </w:pPr>
            <w:r w:rsidRPr="00427052">
              <w:rPr>
                <w:rFonts w:eastAsia="Times New Roman" w:cstheme="minorHAnsi"/>
                <w:b/>
                <w:bCs/>
                <w:sz w:val="20"/>
                <w:szCs w:val="20"/>
                <w:lang w:eastAsia="sk-SK"/>
              </w:rPr>
              <w:t>Bežné výdavky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309A76" w14:textId="2D18F07E"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3 787 805,00</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A2A9C3" w14:textId="0A9115F9"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4 317 773,00</w:t>
            </w:r>
            <w:r w:rsidRPr="0076205D">
              <w:rPr>
                <w:rFonts w:ascii="Calibri" w:eastAsia="Times New Roman" w:hAnsi="Calibri" w:cs="Calibri"/>
              </w:rPr>
              <w:t xml:space="preserve"> </w:t>
            </w:r>
          </w:p>
        </w:tc>
        <w:tc>
          <w:tcPr>
            <w:tcW w:w="32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577248" w14:textId="7CF02E37"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113,99</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C82931" w14:textId="5635F90F"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4 445 000,00</w:t>
            </w:r>
            <w:r w:rsidRPr="0076205D">
              <w:rPr>
                <w:rFonts w:ascii="Calibri" w:eastAsia="Times New Roman" w:hAnsi="Calibri" w:cs="Calibri"/>
              </w:rPr>
              <w:t xml:space="preserve"> </w:t>
            </w:r>
          </w:p>
        </w:tc>
        <w:tc>
          <w:tcPr>
            <w:tcW w:w="32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E1325E" w14:textId="01A9EE94"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102,95</w:t>
            </w:r>
            <w:r w:rsidRPr="0076205D">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55F379" w14:textId="7A12EE24"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4 555 000,00</w:t>
            </w:r>
            <w:r w:rsidRPr="0076205D">
              <w:rPr>
                <w:rFonts w:ascii="Calibri" w:eastAsia="Times New Roman" w:hAnsi="Calibri" w:cs="Calibri"/>
              </w:rPr>
              <w:t xml:space="preserve"> </w:t>
            </w:r>
          </w:p>
        </w:tc>
        <w:tc>
          <w:tcPr>
            <w:tcW w:w="32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6A530F" w14:textId="0F03FA2B" w:rsidR="00963605" w:rsidRPr="00427052" w:rsidRDefault="00963605" w:rsidP="00963605">
            <w:pPr>
              <w:spacing w:after="0" w:line="240" w:lineRule="auto"/>
              <w:jc w:val="right"/>
              <w:rPr>
                <w:rFonts w:eastAsia="Times New Roman" w:cstheme="minorHAnsi"/>
                <w:sz w:val="24"/>
                <w:szCs w:val="24"/>
                <w:lang w:eastAsia="sk-SK"/>
              </w:rPr>
            </w:pPr>
            <w:r w:rsidRPr="0076205D">
              <w:rPr>
                <w:rFonts w:ascii="Calibri" w:eastAsia="Times New Roman" w:hAnsi="Calibri" w:cs="Calibri"/>
                <w:b/>
                <w:bCs/>
                <w:sz w:val="20"/>
                <w:szCs w:val="20"/>
              </w:rPr>
              <w:t>102,47</w:t>
            </w:r>
            <w:r w:rsidRPr="0076205D">
              <w:rPr>
                <w:rFonts w:ascii="Calibri" w:eastAsia="Times New Roman" w:hAnsi="Calibri" w:cs="Calibri"/>
              </w:rPr>
              <w:t xml:space="preserve"> </w:t>
            </w:r>
          </w:p>
        </w:tc>
      </w:tr>
      <w:tr w:rsidR="00963605" w:rsidRPr="00427052" w14:paraId="55B7CA09" w14:textId="77777777" w:rsidTr="00963605">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775D51" w14:textId="77777777" w:rsidR="00963605" w:rsidRPr="00427052" w:rsidRDefault="00963605" w:rsidP="00963605">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640</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43E595" w14:textId="77777777" w:rsidR="00963605" w:rsidRPr="00427052" w:rsidRDefault="00963605" w:rsidP="00963605">
            <w:pPr>
              <w:spacing w:after="0" w:line="240" w:lineRule="auto"/>
              <w:rPr>
                <w:rFonts w:eastAsia="Times New Roman" w:cstheme="minorHAnsi"/>
                <w:sz w:val="24"/>
                <w:szCs w:val="24"/>
                <w:lang w:eastAsia="sk-SK"/>
              </w:rPr>
            </w:pPr>
            <w:r w:rsidRPr="00427052">
              <w:rPr>
                <w:rFonts w:eastAsia="Times New Roman" w:cstheme="minorHAnsi"/>
                <w:sz w:val="20"/>
                <w:szCs w:val="20"/>
                <w:lang w:eastAsia="sk-SK"/>
              </w:rPr>
              <w:t>Bežné transfery</w:t>
            </w:r>
            <w:r w:rsidRPr="00427052">
              <w:rPr>
                <w:rFonts w:eastAsia="Times New Roman" w:cstheme="minorHAns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ECB7A65" w14:textId="7408DE68" w:rsidR="00963605" w:rsidRPr="00963605" w:rsidRDefault="00963605" w:rsidP="00963605">
            <w:pPr>
              <w:spacing w:after="0" w:line="240" w:lineRule="auto"/>
              <w:jc w:val="right"/>
              <w:rPr>
                <w:rFonts w:eastAsia="Times New Roman" w:cstheme="minorHAnsi"/>
                <w:sz w:val="24"/>
                <w:szCs w:val="24"/>
                <w:lang w:eastAsia="sk-SK"/>
              </w:rPr>
            </w:pPr>
            <w:r w:rsidRPr="00963605">
              <w:rPr>
                <w:rFonts w:ascii="Calibri" w:eastAsia="Times New Roman" w:hAnsi="Calibri" w:cs="Calibri"/>
                <w:sz w:val="20"/>
                <w:szCs w:val="20"/>
              </w:rPr>
              <w:t>3 787 805,00</w:t>
            </w:r>
            <w:r w:rsidRPr="0096360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F233282" w14:textId="7C835939" w:rsidR="00963605" w:rsidRPr="00963605" w:rsidRDefault="00963605" w:rsidP="00963605">
            <w:pPr>
              <w:spacing w:after="0" w:line="240" w:lineRule="auto"/>
              <w:jc w:val="right"/>
              <w:rPr>
                <w:rFonts w:eastAsia="Times New Roman" w:cstheme="minorHAnsi"/>
                <w:sz w:val="24"/>
                <w:szCs w:val="24"/>
                <w:lang w:eastAsia="sk-SK"/>
              </w:rPr>
            </w:pPr>
            <w:r w:rsidRPr="00963605">
              <w:rPr>
                <w:rFonts w:ascii="Calibri" w:eastAsia="Times New Roman" w:hAnsi="Calibri" w:cs="Calibri"/>
                <w:sz w:val="20"/>
                <w:szCs w:val="20"/>
              </w:rPr>
              <w:t>4 317 773,00</w:t>
            </w:r>
            <w:r w:rsidRPr="00963605">
              <w:rPr>
                <w:rFonts w:ascii="Calibri" w:eastAsia="Times New Roman" w:hAnsi="Calibri" w:cs="Calibri"/>
              </w:rPr>
              <w:t xml:space="preserve"> </w:t>
            </w:r>
          </w:p>
        </w:tc>
        <w:tc>
          <w:tcPr>
            <w:tcW w:w="322" w:type="pct"/>
            <w:tcBorders>
              <w:top w:val="outset" w:sz="6" w:space="0" w:color="000000"/>
              <w:left w:val="outset" w:sz="6" w:space="0" w:color="000000"/>
              <w:bottom w:val="outset" w:sz="6" w:space="0" w:color="000000"/>
              <w:right w:val="outset" w:sz="6" w:space="0" w:color="000000"/>
            </w:tcBorders>
            <w:noWrap/>
            <w:vAlign w:val="center"/>
            <w:hideMark/>
          </w:tcPr>
          <w:p w14:paraId="74557971" w14:textId="4682E8E8" w:rsidR="00963605" w:rsidRPr="00963605" w:rsidRDefault="00963605" w:rsidP="00963605">
            <w:pPr>
              <w:spacing w:after="0" w:line="240" w:lineRule="auto"/>
              <w:jc w:val="right"/>
              <w:rPr>
                <w:rFonts w:eastAsia="Times New Roman" w:cstheme="minorHAnsi"/>
                <w:sz w:val="24"/>
                <w:szCs w:val="24"/>
                <w:lang w:eastAsia="sk-SK"/>
              </w:rPr>
            </w:pPr>
            <w:r w:rsidRPr="00963605">
              <w:rPr>
                <w:rFonts w:ascii="Calibri" w:eastAsia="Times New Roman" w:hAnsi="Calibri" w:cs="Calibri"/>
                <w:sz w:val="20"/>
                <w:szCs w:val="20"/>
              </w:rPr>
              <w:t>113,99</w:t>
            </w:r>
            <w:r w:rsidRPr="0096360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E20EA8D" w14:textId="27FE9822" w:rsidR="00963605" w:rsidRPr="00963605" w:rsidRDefault="00963605" w:rsidP="00963605">
            <w:pPr>
              <w:spacing w:after="0" w:line="240" w:lineRule="auto"/>
              <w:jc w:val="right"/>
              <w:rPr>
                <w:rFonts w:eastAsia="Times New Roman" w:cstheme="minorHAnsi"/>
                <w:sz w:val="24"/>
                <w:szCs w:val="24"/>
                <w:lang w:eastAsia="sk-SK"/>
              </w:rPr>
            </w:pPr>
            <w:r w:rsidRPr="00963605">
              <w:rPr>
                <w:rFonts w:ascii="Calibri" w:eastAsia="Times New Roman" w:hAnsi="Calibri" w:cs="Calibri"/>
                <w:sz w:val="20"/>
                <w:szCs w:val="20"/>
              </w:rPr>
              <w:t>4 445 000,00</w:t>
            </w:r>
            <w:r w:rsidRPr="00963605">
              <w:rPr>
                <w:rFonts w:ascii="Calibri" w:eastAsia="Times New Roman" w:hAnsi="Calibri" w:cs="Calibri"/>
              </w:rPr>
              <w:t xml:space="preserve"> </w:t>
            </w:r>
          </w:p>
        </w:tc>
        <w:tc>
          <w:tcPr>
            <w:tcW w:w="322" w:type="pct"/>
            <w:tcBorders>
              <w:top w:val="outset" w:sz="6" w:space="0" w:color="000000"/>
              <w:left w:val="outset" w:sz="6" w:space="0" w:color="000000"/>
              <w:bottom w:val="outset" w:sz="6" w:space="0" w:color="000000"/>
              <w:right w:val="outset" w:sz="6" w:space="0" w:color="000000"/>
            </w:tcBorders>
            <w:noWrap/>
            <w:vAlign w:val="center"/>
            <w:hideMark/>
          </w:tcPr>
          <w:p w14:paraId="1FD2D880" w14:textId="5BEAF647" w:rsidR="00963605" w:rsidRPr="00963605" w:rsidRDefault="00963605" w:rsidP="00963605">
            <w:pPr>
              <w:spacing w:after="0" w:line="240" w:lineRule="auto"/>
              <w:jc w:val="right"/>
              <w:rPr>
                <w:rFonts w:eastAsia="Times New Roman" w:cstheme="minorHAnsi"/>
                <w:sz w:val="24"/>
                <w:szCs w:val="24"/>
                <w:lang w:eastAsia="sk-SK"/>
              </w:rPr>
            </w:pPr>
            <w:r w:rsidRPr="00963605">
              <w:rPr>
                <w:rFonts w:ascii="Calibri" w:eastAsia="Times New Roman" w:hAnsi="Calibri" w:cs="Calibri"/>
                <w:sz w:val="20"/>
                <w:szCs w:val="20"/>
              </w:rPr>
              <w:t>102,95</w:t>
            </w:r>
            <w:r w:rsidRPr="00963605">
              <w:rPr>
                <w:rFonts w:ascii="Calibri" w:eastAsia="Times New Roman" w:hAnsi="Calibri" w:cs="Calibr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C85F98" w14:textId="1F798351" w:rsidR="00963605" w:rsidRPr="00963605" w:rsidRDefault="00963605" w:rsidP="00963605">
            <w:pPr>
              <w:spacing w:after="0" w:line="240" w:lineRule="auto"/>
              <w:jc w:val="right"/>
              <w:rPr>
                <w:rFonts w:eastAsia="Times New Roman" w:cstheme="minorHAnsi"/>
                <w:sz w:val="24"/>
                <w:szCs w:val="24"/>
                <w:lang w:eastAsia="sk-SK"/>
              </w:rPr>
            </w:pPr>
            <w:r w:rsidRPr="00963605">
              <w:rPr>
                <w:rFonts w:ascii="Calibri" w:eastAsia="Times New Roman" w:hAnsi="Calibri" w:cs="Calibri"/>
                <w:sz w:val="20"/>
                <w:szCs w:val="20"/>
              </w:rPr>
              <w:t>4 555 000,00</w:t>
            </w:r>
            <w:r w:rsidRPr="00963605">
              <w:rPr>
                <w:rFonts w:ascii="Calibri" w:eastAsia="Times New Roman" w:hAnsi="Calibri" w:cs="Calibri"/>
              </w:rPr>
              <w:t xml:space="preserve"> </w:t>
            </w:r>
          </w:p>
        </w:tc>
        <w:tc>
          <w:tcPr>
            <w:tcW w:w="322" w:type="pct"/>
            <w:tcBorders>
              <w:top w:val="outset" w:sz="6" w:space="0" w:color="000000"/>
              <w:left w:val="outset" w:sz="6" w:space="0" w:color="000000"/>
              <w:bottom w:val="outset" w:sz="6" w:space="0" w:color="000000"/>
              <w:right w:val="outset" w:sz="6" w:space="0" w:color="000000"/>
            </w:tcBorders>
            <w:noWrap/>
            <w:vAlign w:val="center"/>
            <w:hideMark/>
          </w:tcPr>
          <w:p w14:paraId="000833CC" w14:textId="4B93CE8A" w:rsidR="00963605" w:rsidRPr="00963605" w:rsidRDefault="00963605" w:rsidP="00963605">
            <w:pPr>
              <w:spacing w:after="0" w:line="240" w:lineRule="auto"/>
              <w:jc w:val="right"/>
              <w:rPr>
                <w:rFonts w:eastAsia="Times New Roman" w:cstheme="minorHAnsi"/>
                <w:sz w:val="24"/>
                <w:szCs w:val="24"/>
                <w:lang w:eastAsia="sk-SK"/>
              </w:rPr>
            </w:pPr>
            <w:r w:rsidRPr="00963605">
              <w:rPr>
                <w:rFonts w:ascii="Calibri" w:eastAsia="Times New Roman" w:hAnsi="Calibri" w:cs="Calibri"/>
                <w:sz w:val="20"/>
                <w:szCs w:val="20"/>
              </w:rPr>
              <w:t>102,47</w:t>
            </w:r>
            <w:r w:rsidRPr="00963605">
              <w:rPr>
                <w:rFonts w:ascii="Calibri" w:eastAsia="Times New Roman" w:hAnsi="Calibri" w:cs="Calibri"/>
              </w:rPr>
              <w:t xml:space="preserve"> </w:t>
            </w:r>
          </w:p>
        </w:tc>
      </w:tr>
    </w:tbl>
    <w:p w14:paraId="61106E54" w14:textId="77777777" w:rsidR="002506A2" w:rsidRDefault="002506A2" w:rsidP="002506A2">
      <w:pPr>
        <w:pStyle w:val="Normlnywebov"/>
        <w:spacing w:before="0" w:beforeAutospacing="0" w:after="0" w:afterAutospacing="0"/>
        <w:jc w:val="both"/>
        <w:rPr>
          <w:rFonts w:eastAsiaTheme="minorEastAsia" w:cstheme="minorHAnsi"/>
          <w:b/>
          <w:bCs/>
        </w:rPr>
      </w:pPr>
    </w:p>
    <w:p w14:paraId="00B8887F" w14:textId="6D0F343F" w:rsidR="002506A2" w:rsidRDefault="00427052" w:rsidP="002506A2">
      <w:pPr>
        <w:pStyle w:val="Normlnywebov"/>
        <w:spacing w:before="0" w:beforeAutospacing="0" w:after="0" w:afterAutospacing="0"/>
        <w:jc w:val="both"/>
        <w:rPr>
          <w:rFonts w:ascii="Calibri" w:hAnsi="Calibri" w:cs="Calibri"/>
        </w:rPr>
      </w:pPr>
      <w:r w:rsidRPr="002506A2">
        <w:rPr>
          <w:rFonts w:asciiTheme="minorHAnsi" w:eastAsiaTheme="minorEastAsia" w:hAnsiTheme="minorHAnsi" w:cstheme="minorHAnsi"/>
          <w:b/>
          <w:bCs/>
        </w:rPr>
        <w:t>Komentár:</w:t>
      </w:r>
      <w:r w:rsidRPr="00427052">
        <w:rPr>
          <w:rFonts w:eastAsiaTheme="minorEastAsia" w:cstheme="minorHAnsi"/>
          <w:b/>
          <w:bCs/>
        </w:rPr>
        <w:t xml:space="preserve"> </w:t>
      </w:r>
      <w:r w:rsidR="002506A2" w:rsidRPr="002D44CE">
        <w:rPr>
          <w:rFonts w:ascii="Calibri" w:hAnsi="Calibri" w:cs="Calibri"/>
        </w:rPr>
        <w:t xml:space="preserve">Bratislavský samosprávny kraj má vo svojej pôsobnosti 4 divadlá. Divadlo Aréna sídli po rekonštrukcii opäť vo vlastných priestoroch. Divadlo </w:t>
      </w:r>
      <w:proofErr w:type="spellStart"/>
      <w:r w:rsidR="002506A2" w:rsidRPr="002D44CE">
        <w:rPr>
          <w:rFonts w:ascii="Calibri" w:hAnsi="Calibri" w:cs="Calibri"/>
        </w:rPr>
        <w:t>Astorka</w:t>
      </w:r>
      <w:proofErr w:type="spellEnd"/>
      <w:r w:rsidR="002506A2" w:rsidRPr="002D44CE">
        <w:rPr>
          <w:rFonts w:ascii="Calibri" w:hAnsi="Calibri" w:cs="Calibri"/>
        </w:rPr>
        <w:t xml:space="preserve"> Korzo ´90 pôsobí v priestoroch prenajatých MK SR a v priestore A2 na </w:t>
      </w:r>
      <w:proofErr w:type="spellStart"/>
      <w:r w:rsidR="002506A2" w:rsidRPr="002D44CE">
        <w:rPr>
          <w:rFonts w:ascii="Calibri" w:hAnsi="Calibri" w:cs="Calibri"/>
        </w:rPr>
        <w:t>Miczkiewiczovej</w:t>
      </w:r>
      <w:proofErr w:type="spellEnd"/>
      <w:r w:rsidR="002506A2" w:rsidRPr="002D44CE">
        <w:rPr>
          <w:rFonts w:ascii="Calibri" w:hAnsi="Calibri" w:cs="Calibri"/>
        </w:rPr>
        <w:t xml:space="preserve"> ul. Objekt Bratislavského bábkového divadla na Dunajskej ulici sa v septembri 2024 vrátil </w:t>
      </w:r>
      <w:r w:rsidR="006B7261">
        <w:rPr>
          <w:rFonts w:ascii="Calibri" w:hAnsi="Calibri" w:cs="Calibri"/>
        </w:rPr>
        <w:t>4</w:t>
      </w:r>
      <w:r w:rsidR="002506A2" w:rsidRPr="002D44CE">
        <w:rPr>
          <w:rFonts w:ascii="Calibri" w:hAnsi="Calibri" w:cs="Calibri"/>
        </w:rPr>
        <w:t xml:space="preserve">o svojich zrekonštruovaných priestorov. Divadlo LUDUS sa stabilne presídlilo v júli 2024 do nových priestorov Malej scény STU na základe zmluvy o dlhodobom prenájme uzavretej medzi BSK a STU. </w:t>
      </w:r>
    </w:p>
    <w:p w14:paraId="41BEEA00" w14:textId="42591095" w:rsidR="00427052" w:rsidRPr="00427052" w:rsidRDefault="00427052" w:rsidP="00427052">
      <w:pPr>
        <w:spacing w:after="0" w:line="240" w:lineRule="auto"/>
        <w:jc w:val="both"/>
        <w:rPr>
          <w:rFonts w:eastAsiaTheme="minorEastAsia" w:cstheme="minorHAnsi"/>
          <w:sz w:val="24"/>
          <w:szCs w:val="24"/>
          <w:lang w:eastAsia="sk-SK"/>
        </w:rPr>
      </w:pPr>
    </w:p>
    <w:p w14:paraId="5423EC19" w14:textId="77777777" w:rsidR="00427052" w:rsidRPr="00427052" w:rsidRDefault="00427052" w:rsidP="005C26D1">
      <w:pPr>
        <w:spacing w:before="120" w:after="120" w:line="240" w:lineRule="auto"/>
        <w:outlineLvl w:val="3"/>
        <w:rPr>
          <w:rFonts w:eastAsia="Times New Roman" w:cstheme="minorHAnsi"/>
          <w:b/>
          <w:bCs/>
          <w:sz w:val="24"/>
          <w:szCs w:val="24"/>
          <w:lang w:eastAsia="sk-SK"/>
        </w:rPr>
      </w:pPr>
      <w:r w:rsidRPr="00427052">
        <w:rPr>
          <w:rFonts w:eastAsia="Times New Roman" w:cstheme="minorHAnsi"/>
          <w:b/>
          <w:bCs/>
          <w:color w:val="0000FF"/>
          <w:sz w:val="24"/>
          <w:szCs w:val="24"/>
          <w:lang w:eastAsia="sk-SK"/>
        </w:rPr>
        <w:t>Prvok 10.3.1: Divadlo ARÉNA - príspevková organizácia</w:t>
      </w:r>
      <w:r w:rsidRPr="00427052">
        <w:rPr>
          <w:rFonts w:eastAsia="Times New Roman" w:cstheme="minorHAnsi"/>
          <w:b/>
          <w:bCs/>
          <w:sz w:val="24"/>
          <w:szCs w:val="24"/>
          <w:lang w:eastAsia="sk-SK"/>
        </w:rPr>
        <w:t xml:space="preserve"> </w:t>
      </w:r>
    </w:p>
    <w:p w14:paraId="01255CB8" w14:textId="77777777" w:rsidR="00427052" w:rsidRDefault="00427052" w:rsidP="005C26D1">
      <w:pPr>
        <w:spacing w:before="120" w:after="120" w:line="240" w:lineRule="auto"/>
        <w:rPr>
          <w:rFonts w:eastAsiaTheme="minorEastAsia" w:cstheme="minorHAnsi"/>
          <w:sz w:val="24"/>
          <w:szCs w:val="24"/>
          <w:lang w:eastAsia="sk-SK"/>
        </w:rPr>
      </w:pPr>
      <w:r w:rsidRPr="00427052">
        <w:rPr>
          <w:rFonts w:eastAsiaTheme="minorEastAsia" w:cstheme="minorHAnsi"/>
          <w:b/>
          <w:bCs/>
          <w:sz w:val="24"/>
          <w:szCs w:val="24"/>
          <w:lang w:eastAsia="sk-SK"/>
        </w:rPr>
        <w:t xml:space="preserve">Zámer: </w:t>
      </w:r>
      <w:r w:rsidRPr="00427052">
        <w:rPr>
          <w:rFonts w:eastAsiaTheme="minorEastAsia" w:cstheme="minorHAnsi"/>
          <w:sz w:val="24"/>
          <w:szCs w:val="24"/>
          <w:lang w:eastAsia="sk-SK"/>
        </w:rPr>
        <w:t>Zabezpečiť divadelnú programovú ponuku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322C30" w:rsidRPr="00322C30" w14:paraId="7CC0F577" w14:textId="77777777" w:rsidTr="00D97E48">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8CB9CE"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i/>
                <w:iCs/>
                <w:sz w:val="24"/>
                <w:szCs w:val="24"/>
                <w:lang w:eastAsia="sk-SK"/>
              </w:rPr>
              <w:t>Rozpočet v EUR</w:t>
            </w:r>
          </w:p>
        </w:tc>
      </w:tr>
      <w:tr w:rsidR="00322C30" w:rsidRPr="00322C30" w14:paraId="1622296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195CA13"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75E77C"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83E5CCF"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B7B4617"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33CD8D6"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578CF2"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9C6D57D"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F8F162"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850FDB7"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w:t>
            </w:r>
          </w:p>
        </w:tc>
      </w:tr>
      <w:tr w:rsidR="00322C30" w:rsidRPr="00322C30" w14:paraId="016B11F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9B18AE"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0E90E5"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Výdavky celkom</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D9782F"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1 130 188,00</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E4787E"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1 400 000,00</w:t>
            </w:r>
            <w:r w:rsidRPr="00322C30">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9EF5650"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123,87</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CEFB0E"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1 450 000,00</w:t>
            </w:r>
            <w:r w:rsidRPr="00322C30">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820035"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103,57</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4ECCF8"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1 480 000,00</w:t>
            </w:r>
            <w:r w:rsidRPr="00322C30">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1A0629"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102,07</w:t>
            </w:r>
            <w:r w:rsidRPr="00322C30">
              <w:rPr>
                <w:rFonts w:ascii="Calibri" w:eastAsia="Times New Roman" w:hAnsi="Calibri" w:cs="Calibri"/>
                <w:sz w:val="24"/>
                <w:szCs w:val="24"/>
                <w:lang w:eastAsia="sk-SK"/>
              </w:rPr>
              <w:t xml:space="preserve"> </w:t>
            </w:r>
          </w:p>
        </w:tc>
      </w:tr>
      <w:tr w:rsidR="00322C30" w:rsidRPr="00322C30" w14:paraId="4C69DB7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9DC825"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600</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13DBE4"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Bežné výdavky</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E78B94"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1 130 188,00</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E266C2"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1 400 000,00</w:t>
            </w:r>
            <w:r w:rsidRPr="00322C30">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8D10F1"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123,87</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CFE00C"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1 450 000,00</w:t>
            </w:r>
            <w:r w:rsidRPr="00322C30">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D2CE73"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103,57</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47046C"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1 480 000,00</w:t>
            </w:r>
            <w:r w:rsidRPr="00322C30">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81536B"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b/>
                <w:bCs/>
                <w:sz w:val="20"/>
                <w:szCs w:val="20"/>
                <w:lang w:eastAsia="sk-SK"/>
              </w:rPr>
              <w:t>102,07</w:t>
            </w:r>
            <w:r w:rsidRPr="00322C30">
              <w:rPr>
                <w:rFonts w:ascii="Calibri" w:eastAsia="Times New Roman" w:hAnsi="Calibri" w:cs="Calibri"/>
                <w:sz w:val="24"/>
                <w:szCs w:val="24"/>
                <w:lang w:eastAsia="sk-SK"/>
              </w:rPr>
              <w:t xml:space="preserve"> </w:t>
            </w:r>
          </w:p>
        </w:tc>
      </w:tr>
      <w:tr w:rsidR="00322C30" w:rsidRPr="00322C30" w14:paraId="3EAD437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15CC96"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0"/>
                <w:szCs w:val="20"/>
                <w:lang w:eastAsia="sk-SK"/>
              </w:rPr>
              <w:t>640</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356543C"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0"/>
                <w:szCs w:val="20"/>
                <w:lang w:eastAsia="sk-SK"/>
              </w:rPr>
              <w:t>Bežné transfery</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1EA4F0C"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sz w:val="20"/>
                <w:szCs w:val="20"/>
                <w:lang w:eastAsia="sk-SK"/>
              </w:rPr>
              <w:t>1 130 188,00</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E7639D"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sz w:val="20"/>
                <w:szCs w:val="20"/>
                <w:lang w:eastAsia="sk-SK"/>
              </w:rPr>
              <w:t>1 400 000,00</w:t>
            </w:r>
            <w:r w:rsidRPr="00322C30">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BE55939"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sz w:val="20"/>
                <w:szCs w:val="20"/>
                <w:lang w:eastAsia="sk-SK"/>
              </w:rPr>
              <w:t>123,87</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9CBBB8"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sz w:val="20"/>
                <w:szCs w:val="20"/>
                <w:lang w:eastAsia="sk-SK"/>
              </w:rPr>
              <w:t>1 450 000,00</w:t>
            </w:r>
            <w:r w:rsidRPr="00322C30">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FDA5DC7"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sz w:val="20"/>
                <w:szCs w:val="20"/>
                <w:lang w:eastAsia="sk-SK"/>
              </w:rPr>
              <w:t>103,57</w:t>
            </w:r>
            <w:r w:rsidRPr="00322C30">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4C96A0"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sz w:val="20"/>
                <w:szCs w:val="20"/>
                <w:lang w:eastAsia="sk-SK"/>
              </w:rPr>
              <w:t>1 480 000,00</w:t>
            </w:r>
            <w:r w:rsidRPr="00322C30">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03B515D" w14:textId="77777777" w:rsidR="00322C30" w:rsidRPr="00322C30" w:rsidRDefault="00322C30" w:rsidP="00322C30">
            <w:pPr>
              <w:spacing w:after="0" w:line="240" w:lineRule="auto"/>
              <w:jc w:val="right"/>
              <w:rPr>
                <w:rFonts w:ascii="Calibri" w:eastAsia="Times New Roman" w:hAnsi="Calibri" w:cs="Calibri"/>
                <w:sz w:val="24"/>
                <w:szCs w:val="24"/>
                <w:lang w:eastAsia="sk-SK"/>
              </w:rPr>
            </w:pPr>
            <w:r w:rsidRPr="00322C30">
              <w:rPr>
                <w:rFonts w:ascii="Calibri" w:eastAsia="Times New Roman" w:hAnsi="Calibri" w:cs="Calibri"/>
                <w:sz w:val="20"/>
                <w:szCs w:val="20"/>
                <w:lang w:eastAsia="sk-SK"/>
              </w:rPr>
              <w:t>102,07</w:t>
            </w:r>
            <w:r w:rsidRPr="00322C30">
              <w:rPr>
                <w:rFonts w:ascii="Calibri" w:eastAsia="Times New Roman" w:hAnsi="Calibri" w:cs="Calibri"/>
                <w:sz w:val="24"/>
                <w:szCs w:val="24"/>
                <w:lang w:eastAsia="sk-SK"/>
              </w:rPr>
              <w:t xml:space="preserve"> </w:t>
            </w:r>
          </w:p>
        </w:tc>
      </w:tr>
    </w:tbl>
    <w:p w14:paraId="1800F3AF" w14:textId="77777777" w:rsidR="00322C30" w:rsidRPr="00322C30" w:rsidRDefault="00322C30" w:rsidP="00322C30">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59"/>
        <w:gridCol w:w="2019"/>
        <w:gridCol w:w="2019"/>
        <w:gridCol w:w="2019"/>
        <w:gridCol w:w="2034"/>
      </w:tblGrid>
      <w:tr w:rsidR="00322C30" w:rsidRPr="00322C30" w14:paraId="0E28238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914BCD"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15DF67"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Riaditeľ zariadenia</w:t>
            </w:r>
          </w:p>
        </w:tc>
      </w:tr>
      <w:tr w:rsidR="00322C30" w:rsidRPr="00322C30" w14:paraId="08C5DA9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E69801"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62222D"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Zabezpečiť divadelnú programovú ponuku</w:t>
            </w:r>
          </w:p>
        </w:tc>
      </w:tr>
      <w:tr w:rsidR="00322C30" w:rsidRPr="00322C30" w14:paraId="75E9C6A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5F75D9"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38D900"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Počet zrealizovaných vzdelávacích aktivít (prípadne podcastov, čítaní a pod.)</w:t>
            </w:r>
          </w:p>
        </w:tc>
      </w:tr>
      <w:tr w:rsidR="00322C30" w:rsidRPr="00322C30" w14:paraId="1B305C3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7756A7"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4417EB"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563E47"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A01492"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41D25E"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2027</w:t>
            </w:r>
          </w:p>
        </w:tc>
      </w:tr>
      <w:tr w:rsidR="00322C30" w:rsidRPr="00322C30" w14:paraId="7722488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4F157B"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F7E58D"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2E3235"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48E8E2"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1AE078"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10</w:t>
            </w:r>
          </w:p>
        </w:tc>
      </w:tr>
      <w:tr w:rsidR="00322C30" w:rsidRPr="00322C30" w14:paraId="6B1AC26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45B404"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lastRenderedPageBreak/>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17EE39"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Cyklus desiatich workshopov/prednášok (DETSKÁ UNIVERZITA)</w:t>
            </w:r>
          </w:p>
        </w:tc>
      </w:tr>
      <w:tr w:rsidR="00322C30" w:rsidRPr="00322C30" w14:paraId="3A7B9BD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A1682C"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266714"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4D5749"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1A705F"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55D93C"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2027</w:t>
            </w:r>
          </w:p>
        </w:tc>
      </w:tr>
      <w:tr w:rsidR="00322C30" w:rsidRPr="00322C30" w14:paraId="40B2319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16D7DB"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63C859"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09C55E"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E5621F"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F1F0DE"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1</w:t>
            </w:r>
          </w:p>
        </w:tc>
      </w:tr>
      <w:tr w:rsidR="00322C30" w:rsidRPr="00322C30" w14:paraId="39617A3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246C02"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504486"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Počet podaných projektov na dotačné/grantové výzvy na aktivity Divadla ARÉNA</w:t>
            </w:r>
          </w:p>
        </w:tc>
      </w:tr>
      <w:tr w:rsidR="00322C30" w:rsidRPr="00322C30" w14:paraId="5560165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9A1F91"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B9E621"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BE3B8F"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FF9FF0"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A77C81"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2027</w:t>
            </w:r>
          </w:p>
        </w:tc>
      </w:tr>
      <w:tr w:rsidR="00322C30" w:rsidRPr="00322C30" w14:paraId="38E5122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454BD9"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7BB653"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0E569D"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 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1D6AF3"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7</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9CC2AC"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7</w:t>
            </w:r>
          </w:p>
        </w:tc>
      </w:tr>
      <w:tr w:rsidR="00322C30" w:rsidRPr="00322C30" w14:paraId="1E22711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F661EC"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1768F5"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xml:space="preserve">Počet zrealizovaných nových titulov </w:t>
            </w:r>
          </w:p>
        </w:tc>
      </w:tr>
      <w:tr w:rsidR="00322C30" w:rsidRPr="00322C30" w14:paraId="4A85142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5A7E51"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ACAAE9"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25A368"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FAA2E0"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4739E6"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2027</w:t>
            </w:r>
          </w:p>
        </w:tc>
      </w:tr>
      <w:tr w:rsidR="00322C30" w:rsidRPr="00322C30" w14:paraId="50B224B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640A91"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F63F0F"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DDE8F6"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 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3ED5EC"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A18D30"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3</w:t>
            </w:r>
          </w:p>
        </w:tc>
      </w:tr>
      <w:tr w:rsidR="00322C30" w:rsidRPr="00322C30" w14:paraId="5EBCEFD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D37FFE9"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48617B1D"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Počet návštevníkov divadelných predstavení</w:t>
            </w:r>
          </w:p>
        </w:tc>
      </w:tr>
      <w:tr w:rsidR="00322C30" w:rsidRPr="00322C30" w14:paraId="44E7E86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149B897"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43B3625"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E99199B"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2784C4A"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C138BD2"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2027</w:t>
            </w:r>
          </w:p>
        </w:tc>
      </w:tr>
      <w:tr w:rsidR="00322C30" w:rsidRPr="00322C30" w14:paraId="49883A5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FCCA898"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96C8086"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42 000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28B5C17"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 58 000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75895CE"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58 000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C77C332"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42 000</w:t>
            </w:r>
          </w:p>
        </w:tc>
      </w:tr>
      <w:tr w:rsidR="00322C30" w:rsidRPr="00322C30" w14:paraId="42F2110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3217A9"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C266E4"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Počet predstavení – zájazdy tuzemské, zahraničné</w:t>
            </w:r>
          </w:p>
        </w:tc>
      </w:tr>
      <w:tr w:rsidR="00322C30" w:rsidRPr="00322C30" w14:paraId="47B0478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83BEA3"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355A8A"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DF4C7A"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85D72F"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9D115E"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2027</w:t>
            </w:r>
          </w:p>
        </w:tc>
      </w:tr>
      <w:tr w:rsidR="00322C30" w:rsidRPr="00322C30" w14:paraId="4D75079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B59E33"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82EA49"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62D19A"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0FEE0B"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2BE175"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10</w:t>
            </w:r>
          </w:p>
        </w:tc>
      </w:tr>
      <w:tr w:rsidR="00322C30" w:rsidRPr="00322C30" w14:paraId="39FC480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B10DA4"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6501A1"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i/>
                <w:iCs/>
                <w:sz w:val="24"/>
                <w:szCs w:val="24"/>
                <w:lang w:eastAsia="sk-SK"/>
              </w:rPr>
              <w:t xml:space="preserve">Počet </w:t>
            </w:r>
            <w:r w:rsidRPr="00322C30">
              <w:rPr>
                <w:rFonts w:ascii="Calibri" w:eastAsia="Times New Roman" w:hAnsi="Calibri" w:cs="Calibri"/>
                <w:sz w:val="24"/>
                <w:szCs w:val="24"/>
                <w:lang w:eastAsia="sk-SK"/>
              </w:rPr>
              <w:t>zrealizovaných</w:t>
            </w:r>
            <w:r w:rsidRPr="00322C30">
              <w:rPr>
                <w:rFonts w:ascii="Calibri" w:eastAsia="Times New Roman" w:hAnsi="Calibri" w:cs="Calibri"/>
                <w:i/>
                <w:iCs/>
                <w:sz w:val="24"/>
                <w:szCs w:val="24"/>
                <w:lang w:eastAsia="sk-SK"/>
              </w:rPr>
              <w:t xml:space="preserve"> nových</w:t>
            </w:r>
            <w:r w:rsidRPr="00322C30">
              <w:rPr>
                <w:rFonts w:ascii="Calibri" w:eastAsia="Times New Roman" w:hAnsi="Calibri" w:cs="Calibri"/>
                <w:sz w:val="24"/>
                <w:szCs w:val="24"/>
                <w:lang w:eastAsia="sk-SK"/>
              </w:rPr>
              <w:t xml:space="preserve"> foriem práce s verejnosťou / publikom</w:t>
            </w:r>
          </w:p>
        </w:tc>
      </w:tr>
      <w:tr w:rsidR="00322C30" w:rsidRPr="00322C30" w14:paraId="1686AFF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649D93"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FDC022"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C0A6E0"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CEC701"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B52CDB"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2027</w:t>
            </w:r>
          </w:p>
        </w:tc>
      </w:tr>
      <w:tr w:rsidR="00322C30" w:rsidRPr="00322C30" w14:paraId="32C4A69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1876FC"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99717E"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A3E7B5"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b/>
                <w:bCs/>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FCEB30"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D76184"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w:t>
            </w:r>
          </w:p>
        </w:tc>
      </w:tr>
      <w:tr w:rsidR="00322C30" w:rsidRPr="00322C30" w14:paraId="1DD2357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D38046A"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290E1F44"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Počet predstavení na vlastnej scéne</w:t>
            </w:r>
          </w:p>
        </w:tc>
      </w:tr>
      <w:tr w:rsidR="00322C30" w:rsidRPr="00322C30" w14:paraId="2C8FB03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45AE8AF"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E9D471B"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2BDC63B" w14:textId="77777777" w:rsidR="00322C30" w:rsidRPr="00322C30" w:rsidRDefault="00322C30" w:rsidP="00322C30">
            <w:pPr>
              <w:spacing w:after="0" w:line="240" w:lineRule="auto"/>
              <w:jc w:val="center"/>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56A7CBB"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13FEDBA"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2027</w:t>
            </w:r>
          </w:p>
        </w:tc>
      </w:tr>
      <w:tr w:rsidR="00322C30" w:rsidRPr="00322C30" w14:paraId="206A9E1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F6912CB"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D02A82D"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9FA8331" w14:textId="77777777" w:rsidR="00322C30" w:rsidRPr="00322C30" w:rsidRDefault="00322C30" w:rsidP="00322C30">
            <w:pPr>
              <w:spacing w:after="0" w:line="240" w:lineRule="auto"/>
              <w:jc w:val="center"/>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240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A87B528"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33DAEDF"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240</w:t>
            </w:r>
          </w:p>
        </w:tc>
      </w:tr>
      <w:tr w:rsidR="00322C30" w:rsidRPr="00322C30" w14:paraId="1E4B9B0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53ED229"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46113C85"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Počet nových foriem projektov mimo priamej divadelnej činnosti</w:t>
            </w:r>
          </w:p>
        </w:tc>
      </w:tr>
      <w:tr w:rsidR="00322C30" w:rsidRPr="00322C30" w14:paraId="1DD20E8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588084E"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EB37638"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5CB330A" w14:textId="77777777" w:rsidR="00322C30" w:rsidRPr="00322C30" w:rsidRDefault="00322C30" w:rsidP="00322C30">
            <w:pPr>
              <w:spacing w:after="0" w:line="240" w:lineRule="auto"/>
              <w:jc w:val="center"/>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F71C14C"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A11896E"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2027</w:t>
            </w:r>
          </w:p>
        </w:tc>
      </w:tr>
      <w:tr w:rsidR="00322C30" w:rsidRPr="00322C30" w14:paraId="3A541CE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E83915B"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86C1AC3"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64B885A" w14:textId="77777777" w:rsidR="00322C30" w:rsidRPr="00322C30" w:rsidRDefault="00322C30" w:rsidP="00322C30">
            <w:pPr>
              <w:spacing w:after="0" w:line="240" w:lineRule="auto"/>
              <w:jc w:val="center"/>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ABAB28C"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7607423"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3</w:t>
            </w:r>
          </w:p>
        </w:tc>
      </w:tr>
      <w:tr w:rsidR="00322C30" w:rsidRPr="00322C30" w14:paraId="6A5F24C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7E6DBD5"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7E8C6081"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Počet tanečných projektov (spoluorganizovaných)</w:t>
            </w:r>
          </w:p>
        </w:tc>
      </w:tr>
      <w:tr w:rsidR="00322C30" w:rsidRPr="00322C30" w14:paraId="4447AB4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F13DB0F"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7C7C1B1"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55E64B6" w14:textId="77777777" w:rsidR="00322C30" w:rsidRPr="00322C30" w:rsidRDefault="00322C30" w:rsidP="00322C30">
            <w:pPr>
              <w:spacing w:after="0" w:line="240" w:lineRule="auto"/>
              <w:jc w:val="center"/>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14A89E8"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39989C8"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2027</w:t>
            </w:r>
          </w:p>
        </w:tc>
      </w:tr>
      <w:tr w:rsidR="00322C30" w:rsidRPr="00322C30" w14:paraId="58492C6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C8292AC"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84175BA"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24E1E9C" w14:textId="77777777" w:rsidR="00322C30" w:rsidRPr="00322C30" w:rsidRDefault="00322C30" w:rsidP="00322C30">
            <w:pPr>
              <w:spacing w:after="0" w:line="240" w:lineRule="auto"/>
              <w:jc w:val="center"/>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9F92FCD"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7AB78E2"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3</w:t>
            </w:r>
          </w:p>
        </w:tc>
      </w:tr>
      <w:tr w:rsidR="00322C30" w:rsidRPr="00322C30" w14:paraId="6A66933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A3A1F87"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72D82DEB" w14:textId="77777777" w:rsidR="00322C30" w:rsidRPr="00322C30" w:rsidRDefault="00322C30" w:rsidP="00322C30">
            <w:pPr>
              <w:spacing w:after="0" w:line="240" w:lineRule="auto"/>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Počet kultúrno-spoločenských podujatí</w:t>
            </w:r>
          </w:p>
        </w:tc>
      </w:tr>
      <w:tr w:rsidR="00322C30" w:rsidRPr="00322C30" w14:paraId="10E9023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C29C4B2"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96BD134"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845B17F" w14:textId="77777777" w:rsidR="00322C30" w:rsidRPr="00322C30" w:rsidRDefault="00322C30" w:rsidP="00322C30">
            <w:pPr>
              <w:spacing w:after="0" w:line="240" w:lineRule="auto"/>
              <w:jc w:val="center"/>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4B74DC5"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72F6958"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2027</w:t>
            </w:r>
          </w:p>
        </w:tc>
      </w:tr>
      <w:tr w:rsidR="00322C30" w:rsidRPr="00322C30" w14:paraId="6B3A785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60739D2" w14:textId="77777777" w:rsidR="00322C30" w:rsidRPr="00322C30" w:rsidRDefault="00322C30" w:rsidP="00322C30">
            <w:pPr>
              <w:spacing w:after="0" w:line="240" w:lineRule="auto"/>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E420374"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58B74FF" w14:textId="77777777" w:rsidR="00322C30" w:rsidRPr="00322C30" w:rsidRDefault="00322C30" w:rsidP="00322C30">
            <w:pPr>
              <w:spacing w:after="0" w:line="240" w:lineRule="auto"/>
              <w:jc w:val="center"/>
              <w:rPr>
                <w:rFonts w:ascii="Calibri" w:eastAsia="Times New Roman" w:hAnsi="Calibri" w:cs="Calibri"/>
                <w:b/>
                <w:bCs/>
                <w:sz w:val="24"/>
                <w:szCs w:val="24"/>
                <w:lang w:eastAsia="sk-SK"/>
              </w:rPr>
            </w:pPr>
            <w:r w:rsidRPr="00322C30">
              <w:rPr>
                <w:rFonts w:ascii="Calibri" w:eastAsia="Times New Roman" w:hAnsi="Calibri" w:cs="Calibri"/>
                <w:b/>
                <w:bCs/>
                <w:sz w:val="24"/>
                <w:szCs w:val="24"/>
                <w:lang w:eastAsia="sk-SK"/>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2143E38"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DA3AD41" w14:textId="77777777" w:rsidR="00322C30" w:rsidRPr="00322C30" w:rsidRDefault="00322C30" w:rsidP="00322C30">
            <w:pPr>
              <w:spacing w:after="0" w:line="240" w:lineRule="auto"/>
              <w:jc w:val="center"/>
              <w:rPr>
                <w:rFonts w:ascii="Calibri" w:eastAsia="Times New Roman" w:hAnsi="Calibri" w:cs="Calibri"/>
                <w:sz w:val="24"/>
                <w:szCs w:val="24"/>
                <w:lang w:eastAsia="sk-SK"/>
              </w:rPr>
            </w:pPr>
            <w:r w:rsidRPr="00322C30">
              <w:rPr>
                <w:rFonts w:ascii="Calibri" w:eastAsia="Times New Roman" w:hAnsi="Calibri" w:cs="Calibri"/>
                <w:sz w:val="24"/>
                <w:szCs w:val="24"/>
                <w:lang w:eastAsia="sk-SK"/>
              </w:rPr>
              <w:t>3</w:t>
            </w:r>
          </w:p>
        </w:tc>
      </w:tr>
    </w:tbl>
    <w:p w14:paraId="37F6B688" w14:textId="6589429C" w:rsidR="00322C30" w:rsidRPr="0064648B" w:rsidRDefault="0064648B" w:rsidP="0064648B">
      <w:pPr>
        <w:pStyle w:val="Normlnywebov"/>
        <w:spacing w:before="0" w:beforeAutospacing="0" w:after="0" w:afterAutospacing="0"/>
        <w:jc w:val="both"/>
        <w:rPr>
          <w:rFonts w:ascii="Calibri" w:hAnsi="Calibri" w:cs="Calibri"/>
        </w:rPr>
      </w:pPr>
      <w:r w:rsidRPr="002D44CE">
        <w:rPr>
          <w:rFonts w:ascii="Calibri" w:hAnsi="Calibri" w:cs="Calibri"/>
          <w:b/>
          <w:bCs/>
        </w:rPr>
        <w:t xml:space="preserve">Komentár: </w:t>
      </w:r>
      <w:r w:rsidRPr="002D44CE">
        <w:rPr>
          <w:rFonts w:ascii="Calibri" w:hAnsi="Calibri" w:cs="Calibri"/>
        </w:rPr>
        <w:t xml:space="preserve">Divadlo Aréna je profilované ako </w:t>
      </w:r>
      <w:proofErr w:type="spellStart"/>
      <w:r w:rsidRPr="002D44CE">
        <w:rPr>
          <w:rFonts w:ascii="Calibri" w:hAnsi="Calibri" w:cs="Calibri"/>
        </w:rPr>
        <w:t>multižánrové</w:t>
      </w:r>
      <w:proofErr w:type="spellEnd"/>
      <w:r w:rsidRPr="002D44CE">
        <w:rPr>
          <w:rFonts w:ascii="Calibri" w:hAnsi="Calibri" w:cs="Calibri"/>
        </w:rPr>
        <w:t xml:space="preserve"> divadlo, kde svoj priestor nachádza súčasná i klasická činohra, prenesené operné predstavenia z Metropolitnej opery v NY (USA), či rockové a jazzové koncerty. Bratislavský samosprávny kraj ukončil po troch rokoch, v roku 2024, rekonštrukciu Divadla Aréna. Ide o najväčší investičný projekt župy v oblasti kultúry. Národná kultúrna pamiatka disponuje najmodernejšou divadelnou technikou a vytvoreným komfortným teleskopickým hľadiskom. Okrem toho bol rozšírený aj priestor komorného divadelného priestoru - štúdia LOFT, ktorý je určený pre malé javiskové formy. Divadlo sa stane dominantou </w:t>
      </w:r>
      <w:proofErr w:type="spellStart"/>
      <w:r w:rsidRPr="002D44CE">
        <w:rPr>
          <w:rFonts w:ascii="Calibri" w:hAnsi="Calibri" w:cs="Calibri"/>
        </w:rPr>
        <w:t>Tyršovho</w:t>
      </w:r>
      <w:proofErr w:type="spellEnd"/>
      <w:r w:rsidRPr="002D44CE">
        <w:rPr>
          <w:rFonts w:ascii="Calibri" w:hAnsi="Calibri" w:cs="Calibri"/>
        </w:rPr>
        <w:t xml:space="preserve"> nábrežia, ktoré bude využité aj na voľnočasové projekty a programy. Novú sezónu 2024/2025 začalo Divadlo Aréna oficiálne 17. novembra 2024 premiérov </w:t>
      </w:r>
      <w:proofErr w:type="spellStart"/>
      <w:r w:rsidRPr="002D44CE">
        <w:rPr>
          <w:rFonts w:ascii="Calibri" w:hAnsi="Calibri" w:cs="Calibri"/>
        </w:rPr>
        <w:t>Ibsenovej</w:t>
      </w:r>
      <w:proofErr w:type="spellEnd"/>
      <w:r w:rsidRPr="002D44CE">
        <w:rPr>
          <w:rFonts w:ascii="Calibri" w:hAnsi="Calibri" w:cs="Calibri"/>
        </w:rPr>
        <w:t xml:space="preserve"> hry Nepriateľ ľudu (</w:t>
      </w:r>
      <w:proofErr w:type="spellStart"/>
      <w:r w:rsidRPr="002D44CE">
        <w:rPr>
          <w:rFonts w:ascii="Calibri" w:hAnsi="Calibri" w:cs="Calibri"/>
        </w:rPr>
        <w:t>En</w:t>
      </w:r>
      <w:proofErr w:type="spellEnd"/>
      <w:r w:rsidRPr="002D44CE">
        <w:rPr>
          <w:rFonts w:ascii="Calibri" w:hAnsi="Calibri" w:cs="Calibri"/>
        </w:rPr>
        <w:t xml:space="preserve"> </w:t>
      </w:r>
      <w:proofErr w:type="spellStart"/>
      <w:r w:rsidRPr="002D44CE">
        <w:rPr>
          <w:rFonts w:ascii="Calibri" w:hAnsi="Calibri" w:cs="Calibri"/>
        </w:rPr>
        <w:t>Folkefiende</w:t>
      </w:r>
      <w:proofErr w:type="spellEnd"/>
      <w:r w:rsidRPr="002D44CE">
        <w:rPr>
          <w:rFonts w:ascii="Calibri" w:hAnsi="Calibri" w:cs="Calibri"/>
        </w:rPr>
        <w:t>, 1882). Hra je čiastočne inšpirovaná skutočnými udalosťami a dotýka sa celospoločenských tém. Divadlo Aréna bude pripravovať od roku 2025, okrem Detskej Univerzity Komenského, vzdelávacie programy pre rôzne cieľové skupiny.</w:t>
      </w:r>
    </w:p>
    <w:p w14:paraId="12353061" w14:textId="77777777" w:rsidR="00427052" w:rsidRPr="00427052" w:rsidRDefault="00427052" w:rsidP="00427052">
      <w:pPr>
        <w:spacing w:after="0" w:line="240" w:lineRule="auto"/>
        <w:rPr>
          <w:rFonts w:eastAsiaTheme="minorEastAsia" w:cstheme="minorHAnsi"/>
          <w:vanish/>
          <w:sz w:val="24"/>
          <w:szCs w:val="24"/>
          <w:lang w:eastAsia="sk-SK"/>
        </w:rPr>
      </w:pPr>
    </w:p>
    <w:p w14:paraId="12010F0B" w14:textId="77777777" w:rsidR="00427052" w:rsidRPr="00427052" w:rsidRDefault="00427052" w:rsidP="005C26D1">
      <w:pPr>
        <w:spacing w:before="120" w:after="120" w:line="240" w:lineRule="auto"/>
        <w:jc w:val="both"/>
        <w:outlineLvl w:val="3"/>
        <w:rPr>
          <w:rFonts w:eastAsia="Times New Roman" w:cstheme="minorHAnsi"/>
          <w:b/>
          <w:bCs/>
          <w:sz w:val="24"/>
          <w:szCs w:val="24"/>
          <w:lang w:eastAsia="sk-SK"/>
        </w:rPr>
      </w:pPr>
      <w:r w:rsidRPr="00427052">
        <w:rPr>
          <w:rFonts w:eastAsia="Times New Roman" w:cstheme="minorHAnsi"/>
          <w:b/>
          <w:bCs/>
          <w:color w:val="0000FF"/>
          <w:sz w:val="24"/>
          <w:szCs w:val="24"/>
          <w:lang w:eastAsia="sk-SK"/>
        </w:rPr>
        <w:t>Prvok 10.3.2: Divadlo ASTORKA KORZO 90 - príspevková organizácia</w:t>
      </w:r>
      <w:r w:rsidRPr="00427052">
        <w:rPr>
          <w:rFonts w:eastAsia="Times New Roman" w:cstheme="minorHAnsi"/>
          <w:b/>
          <w:bCs/>
          <w:sz w:val="24"/>
          <w:szCs w:val="24"/>
          <w:lang w:eastAsia="sk-SK"/>
        </w:rPr>
        <w:t xml:space="preserve"> </w:t>
      </w:r>
    </w:p>
    <w:p w14:paraId="4DAAD40A" w14:textId="77777777" w:rsidR="00427052" w:rsidRDefault="00427052" w:rsidP="005C26D1">
      <w:pPr>
        <w:spacing w:before="120" w:after="120" w:line="240" w:lineRule="auto"/>
        <w:jc w:val="both"/>
        <w:rPr>
          <w:rFonts w:eastAsiaTheme="minorEastAsia" w:cstheme="minorHAnsi"/>
          <w:sz w:val="24"/>
          <w:szCs w:val="24"/>
          <w:lang w:eastAsia="sk-SK"/>
        </w:rPr>
      </w:pPr>
      <w:r w:rsidRPr="00427052">
        <w:rPr>
          <w:rFonts w:eastAsiaTheme="minorEastAsia" w:cstheme="minorHAnsi"/>
          <w:b/>
          <w:bCs/>
          <w:sz w:val="24"/>
          <w:szCs w:val="24"/>
          <w:lang w:eastAsia="sk-SK"/>
        </w:rPr>
        <w:t xml:space="preserve">Zámer: </w:t>
      </w:r>
      <w:r w:rsidRPr="00427052">
        <w:rPr>
          <w:rFonts w:eastAsiaTheme="minorEastAsia" w:cstheme="minorHAnsi"/>
          <w:sz w:val="24"/>
          <w:szCs w:val="24"/>
          <w:lang w:eastAsia="sk-SK"/>
        </w:rPr>
        <w:t>Zabezpečiť divadelnú programovú ponuku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A85EB4" w:rsidRPr="00A85EB4" w14:paraId="41A3B388" w14:textId="77777777" w:rsidTr="00D97E48">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0E9CD6"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i/>
                <w:iCs/>
                <w:sz w:val="24"/>
                <w:szCs w:val="24"/>
                <w:lang w:eastAsia="sk-SK"/>
              </w:rPr>
              <w:t>Rozpočet v EUR</w:t>
            </w:r>
          </w:p>
        </w:tc>
      </w:tr>
      <w:tr w:rsidR="00A85EB4" w:rsidRPr="00A85EB4" w14:paraId="32E7955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02B3090"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3F2DB14"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CB7525"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659CEFA"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E66320D"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9ADF68"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D798BF2"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AFAA3B8"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C67BDC1"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w:t>
            </w:r>
          </w:p>
        </w:tc>
      </w:tr>
      <w:tr w:rsidR="00A85EB4" w:rsidRPr="00A85EB4" w14:paraId="4183DBC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58162B"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577658"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Výdavky celkom</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63D83A"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1 171 027,00</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6ADCC5"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1 223 753,00</w:t>
            </w:r>
            <w:r w:rsidRPr="00A85EB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A45826"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104,50</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D65078"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1 250 000,00</w:t>
            </w:r>
            <w:r w:rsidRPr="00A85EB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D9DAF2"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102,14</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B14290"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1 275 000,00</w:t>
            </w:r>
            <w:r w:rsidRPr="00A85EB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53878D"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102,00</w:t>
            </w:r>
            <w:r w:rsidRPr="00A85EB4">
              <w:rPr>
                <w:rFonts w:ascii="Calibri" w:eastAsia="Times New Roman" w:hAnsi="Calibri" w:cs="Calibri"/>
                <w:sz w:val="24"/>
                <w:szCs w:val="24"/>
                <w:lang w:eastAsia="sk-SK"/>
              </w:rPr>
              <w:t xml:space="preserve"> </w:t>
            </w:r>
          </w:p>
        </w:tc>
      </w:tr>
      <w:tr w:rsidR="00A85EB4" w:rsidRPr="00A85EB4" w14:paraId="0B9B643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942E6C"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600</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C5D51B"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Bežné výdavky</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8D27A1"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1 171 027,00</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361584"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1 223 753,00</w:t>
            </w:r>
            <w:r w:rsidRPr="00A85EB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E4547A"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104,50</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68998FA"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1 250 000,00</w:t>
            </w:r>
            <w:r w:rsidRPr="00A85EB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BE5B54"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102,14</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CC27B50"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1 275 000,00</w:t>
            </w:r>
            <w:r w:rsidRPr="00A85EB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015EB6"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b/>
                <w:bCs/>
                <w:sz w:val="20"/>
                <w:szCs w:val="20"/>
                <w:lang w:eastAsia="sk-SK"/>
              </w:rPr>
              <w:t>102,00</w:t>
            </w:r>
            <w:r w:rsidRPr="00A85EB4">
              <w:rPr>
                <w:rFonts w:ascii="Calibri" w:eastAsia="Times New Roman" w:hAnsi="Calibri" w:cs="Calibri"/>
                <w:sz w:val="24"/>
                <w:szCs w:val="24"/>
                <w:lang w:eastAsia="sk-SK"/>
              </w:rPr>
              <w:t xml:space="preserve"> </w:t>
            </w:r>
          </w:p>
        </w:tc>
      </w:tr>
      <w:tr w:rsidR="00A85EB4" w:rsidRPr="00A85EB4" w14:paraId="3016CE5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60E580"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0"/>
                <w:szCs w:val="20"/>
                <w:lang w:eastAsia="sk-SK"/>
              </w:rPr>
              <w:t>640</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5156F0"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0"/>
                <w:szCs w:val="20"/>
                <w:lang w:eastAsia="sk-SK"/>
              </w:rPr>
              <w:t>Bežné transfery</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80FD32"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sz w:val="20"/>
                <w:szCs w:val="20"/>
                <w:lang w:eastAsia="sk-SK"/>
              </w:rPr>
              <w:t>1 171 027,00</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7E2FFF"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sz w:val="20"/>
                <w:szCs w:val="20"/>
                <w:lang w:eastAsia="sk-SK"/>
              </w:rPr>
              <w:t>1 223 753,00</w:t>
            </w:r>
            <w:r w:rsidRPr="00A85EB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D041265"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sz w:val="20"/>
                <w:szCs w:val="20"/>
                <w:lang w:eastAsia="sk-SK"/>
              </w:rPr>
              <w:t>104,50</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426E7B"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sz w:val="20"/>
                <w:szCs w:val="20"/>
                <w:lang w:eastAsia="sk-SK"/>
              </w:rPr>
              <w:t>1 250 000,00</w:t>
            </w:r>
            <w:r w:rsidRPr="00A85EB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F952A97"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sz w:val="20"/>
                <w:szCs w:val="20"/>
                <w:lang w:eastAsia="sk-SK"/>
              </w:rPr>
              <w:t>102,14</w:t>
            </w:r>
            <w:r w:rsidRPr="00A85EB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8FCEC0"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sz w:val="20"/>
                <w:szCs w:val="20"/>
                <w:lang w:eastAsia="sk-SK"/>
              </w:rPr>
              <w:t>1 275 000,00</w:t>
            </w:r>
            <w:r w:rsidRPr="00A85EB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FFB8B2B" w14:textId="77777777" w:rsidR="00A85EB4" w:rsidRPr="00A85EB4" w:rsidRDefault="00A85EB4" w:rsidP="00A85EB4">
            <w:pPr>
              <w:spacing w:after="0" w:line="240" w:lineRule="auto"/>
              <w:jc w:val="right"/>
              <w:rPr>
                <w:rFonts w:ascii="Calibri" w:eastAsia="Times New Roman" w:hAnsi="Calibri" w:cs="Calibri"/>
                <w:sz w:val="24"/>
                <w:szCs w:val="24"/>
                <w:lang w:eastAsia="sk-SK"/>
              </w:rPr>
            </w:pPr>
            <w:r w:rsidRPr="00A85EB4">
              <w:rPr>
                <w:rFonts w:ascii="Calibri" w:eastAsia="Times New Roman" w:hAnsi="Calibri" w:cs="Calibri"/>
                <w:sz w:val="20"/>
                <w:szCs w:val="20"/>
                <w:lang w:eastAsia="sk-SK"/>
              </w:rPr>
              <w:t>102,00</w:t>
            </w:r>
            <w:r w:rsidRPr="00A85EB4">
              <w:rPr>
                <w:rFonts w:ascii="Calibri" w:eastAsia="Times New Roman" w:hAnsi="Calibri" w:cs="Calibri"/>
                <w:sz w:val="24"/>
                <w:szCs w:val="24"/>
                <w:lang w:eastAsia="sk-SK"/>
              </w:rPr>
              <w:t xml:space="preserve"> </w:t>
            </w:r>
          </w:p>
        </w:tc>
      </w:tr>
    </w:tbl>
    <w:p w14:paraId="75F75BD0" w14:textId="77777777" w:rsidR="00A85EB4" w:rsidRPr="00A85EB4" w:rsidRDefault="00A85EB4" w:rsidP="00A85EB4">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0"/>
        <w:gridCol w:w="1625"/>
        <w:gridCol w:w="2213"/>
        <w:gridCol w:w="2213"/>
        <w:gridCol w:w="2089"/>
      </w:tblGrid>
      <w:tr w:rsidR="00A85EB4" w:rsidRPr="00A85EB4" w14:paraId="00D3B21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8A23D7"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8DAA87"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Riaditeľ zariadenia</w:t>
            </w:r>
          </w:p>
        </w:tc>
      </w:tr>
      <w:tr w:rsidR="00A85EB4" w:rsidRPr="00A85EB4" w14:paraId="3B1935E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640D45"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5E0602"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Zabezpečiť divadelnú programovú ponuku</w:t>
            </w:r>
          </w:p>
        </w:tc>
      </w:tr>
      <w:tr w:rsidR="00A85EB4" w:rsidRPr="00A85EB4" w14:paraId="0254078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36653E"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D6D271"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Počet návštevníkov vlastných divadelných predstavení  - v priestore Divadla ASTORKA KORZO´90 a Štúdia A2</w:t>
            </w:r>
          </w:p>
        </w:tc>
      </w:tr>
      <w:tr w:rsidR="00A85EB4" w:rsidRPr="00A85EB4" w14:paraId="1608374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B09A28"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16D683"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30323C"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040F0D"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C224BD"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2027</w:t>
            </w:r>
          </w:p>
        </w:tc>
      </w:tr>
      <w:tr w:rsidR="00A85EB4" w:rsidRPr="00A85EB4" w14:paraId="669101B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3DB014"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98D0D2"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8FF529"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 31 200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BCFCD1"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31 200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3B8603"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31 200</w:t>
            </w:r>
          </w:p>
        </w:tc>
      </w:tr>
      <w:tr w:rsidR="00A85EB4" w:rsidRPr="00A85EB4" w14:paraId="415694B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FCE25D"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84EBCA"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Počet podaných projektov na dotačné/grantové výzvy na aktivity Divadla ASTORKA KORZO´90</w:t>
            </w:r>
          </w:p>
        </w:tc>
      </w:tr>
      <w:tr w:rsidR="00A85EB4" w:rsidRPr="00A85EB4" w14:paraId="5B9A955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937BA8"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FBB3B4"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29A16F"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22FD23"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560215"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2027</w:t>
            </w:r>
          </w:p>
        </w:tc>
      </w:tr>
      <w:tr w:rsidR="00A85EB4" w:rsidRPr="00A85EB4" w14:paraId="090791F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60809A"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327043"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09656C"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84CB15"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6FBF37"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6</w:t>
            </w:r>
          </w:p>
        </w:tc>
      </w:tr>
      <w:tr w:rsidR="00A85EB4" w:rsidRPr="00A85EB4" w14:paraId="6979805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77D401"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0CD5F9"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xml:space="preserve">Počet zrealizovaných festivalov (festival </w:t>
            </w:r>
            <w:proofErr w:type="spellStart"/>
            <w:r w:rsidRPr="00A85EB4">
              <w:rPr>
                <w:rFonts w:ascii="Calibri" w:eastAsia="Times New Roman" w:hAnsi="Calibri" w:cs="Calibri"/>
                <w:sz w:val="24"/>
                <w:szCs w:val="24"/>
                <w:lang w:eastAsia="sk-SK"/>
              </w:rPr>
              <w:t>Astorka</w:t>
            </w:r>
            <w:proofErr w:type="spellEnd"/>
            <w:r w:rsidRPr="00A85EB4">
              <w:rPr>
                <w:rFonts w:ascii="Calibri" w:eastAsia="Times New Roman" w:hAnsi="Calibri" w:cs="Calibri"/>
                <w:sz w:val="24"/>
                <w:szCs w:val="24"/>
                <w:lang w:eastAsia="sk-SK"/>
              </w:rPr>
              <w:t>)</w:t>
            </w:r>
          </w:p>
        </w:tc>
      </w:tr>
      <w:tr w:rsidR="00A85EB4" w:rsidRPr="00A85EB4" w14:paraId="3E0712D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3E1E2A"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181BCE"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EF9311"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E9B5EF"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F58BF5"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2027</w:t>
            </w:r>
          </w:p>
        </w:tc>
      </w:tr>
      <w:tr w:rsidR="00A85EB4" w:rsidRPr="00A85EB4" w14:paraId="0DD91A8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6A9DF8"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3B0119"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A5D2EE"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99CCCD"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52B43B"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1</w:t>
            </w:r>
          </w:p>
        </w:tc>
      </w:tr>
      <w:tr w:rsidR="00A85EB4" w:rsidRPr="00A85EB4" w14:paraId="6B99442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DB270C"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75E32E"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Počet zrealizovaných nových titulov – v priestore divadla ASTORKA KORZO´90</w:t>
            </w:r>
          </w:p>
        </w:tc>
      </w:tr>
      <w:tr w:rsidR="00A85EB4" w:rsidRPr="00A85EB4" w14:paraId="224858B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D8BAAC"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7E5A56"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5C66D6"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E21887"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D3C564"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2027</w:t>
            </w:r>
          </w:p>
        </w:tc>
      </w:tr>
      <w:tr w:rsidR="00A85EB4" w:rsidRPr="00A85EB4" w14:paraId="6B6A2DA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7FE741"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D777BC"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19604F"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907796"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489ADF"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2</w:t>
            </w:r>
          </w:p>
        </w:tc>
      </w:tr>
      <w:tr w:rsidR="00A85EB4" w:rsidRPr="00A85EB4" w14:paraId="4220F4C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658AC6"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89AF90"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Počet zrealizovaných nových titulov – v priestore Štúdia A2</w:t>
            </w:r>
          </w:p>
        </w:tc>
      </w:tr>
      <w:tr w:rsidR="00A85EB4" w:rsidRPr="00A85EB4" w14:paraId="4ADEFBA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5BBC2F"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4EFF89"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AE07E9"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7220A6"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5B8A8C"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2027</w:t>
            </w:r>
          </w:p>
        </w:tc>
      </w:tr>
      <w:tr w:rsidR="00A85EB4" w:rsidRPr="00A85EB4" w14:paraId="2E6319E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68BA29"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BAB334"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79927B"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F54231"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F90C8C"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2</w:t>
            </w:r>
          </w:p>
        </w:tc>
      </w:tr>
      <w:tr w:rsidR="00A85EB4" w:rsidRPr="00A85EB4" w14:paraId="5912C97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E63C04"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9931A7"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Počet vlastných predstavení v Štúdiu A2</w:t>
            </w:r>
          </w:p>
        </w:tc>
      </w:tr>
      <w:tr w:rsidR="00A85EB4" w:rsidRPr="00A85EB4" w14:paraId="1D65938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C755A9"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2E0B2A"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6F0AC6"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FD1078"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6D8A75"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2027</w:t>
            </w:r>
          </w:p>
        </w:tc>
      </w:tr>
      <w:tr w:rsidR="00A85EB4" w:rsidRPr="00A85EB4" w14:paraId="123D5A0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DA7B89"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C22583"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25FE42"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 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982ADB"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B0D738"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60</w:t>
            </w:r>
          </w:p>
        </w:tc>
      </w:tr>
      <w:tr w:rsidR="00A85EB4" w:rsidRPr="00A85EB4" w14:paraId="791123B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B2D053"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EED293"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Počet vlastných predstavení v Divadle ASTORKA KORZO´90</w:t>
            </w:r>
          </w:p>
        </w:tc>
      </w:tr>
      <w:tr w:rsidR="00A85EB4" w:rsidRPr="00A85EB4" w14:paraId="268C148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954821"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FCE9A2"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9BEF46"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374158"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D2C2E7"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2027</w:t>
            </w:r>
          </w:p>
        </w:tc>
      </w:tr>
      <w:tr w:rsidR="00A85EB4" w:rsidRPr="00A85EB4" w14:paraId="21FE38A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FC3537"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926554"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160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464C5D"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 180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EC6793"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180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4E3970"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180</w:t>
            </w:r>
          </w:p>
        </w:tc>
      </w:tr>
      <w:tr w:rsidR="00A85EB4" w:rsidRPr="00A85EB4" w14:paraId="5DFA55B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0D05D00"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448C85EB"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Počet prestavení – zájazdy tuzemské, zahraničné</w:t>
            </w:r>
          </w:p>
        </w:tc>
      </w:tr>
      <w:tr w:rsidR="00A85EB4" w:rsidRPr="00A85EB4" w14:paraId="0C9725B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7B678E2"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E487388"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C8504CC"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615B82A"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A46E39E"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2027</w:t>
            </w:r>
          </w:p>
        </w:tc>
      </w:tr>
      <w:tr w:rsidR="00A85EB4" w:rsidRPr="00A85EB4" w14:paraId="3758837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D8F17D4"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591EFE4"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AACC96F"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1B8655D"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A1589E9"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10</w:t>
            </w:r>
          </w:p>
        </w:tc>
      </w:tr>
      <w:tr w:rsidR="00A85EB4" w:rsidRPr="00A85EB4" w14:paraId="2FABBAC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9B93610" w14:textId="77777777" w:rsidR="00A85EB4" w:rsidRPr="00A85EB4" w:rsidRDefault="00A85EB4" w:rsidP="00A85EB4">
            <w:pPr>
              <w:spacing w:after="0" w:line="240" w:lineRule="auto"/>
              <w:rPr>
                <w:rFonts w:ascii="Calibri" w:eastAsia="Times New Roman" w:hAnsi="Calibri" w:cs="Calibri"/>
                <w:b/>
                <w:bCs/>
                <w:sz w:val="24"/>
                <w:szCs w:val="24"/>
                <w:lang w:eastAsia="sk-SK"/>
              </w:rPr>
            </w:pPr>
            <w:r w:rsidRPr="00A85EB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315BF3FB" w14:textId="77777777" w:rsidR="00A85EB4" w:rsidRPr="00A85EB4" w:rsidRDefault="00A85EB4" w:rsidP="00A85EB4">
            <w:pPr>
              <w:spacing w:after="0" w:line="240" w:lineRule="auto"/>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Počet kultúrno-spoločenských podujatí (spoluorganizovaných) – v priestore Divadla ASTORKA KORZO´90 a Štúdia A2</w:t>
            </w:r>
          </w:p>
        </w:tc>
      </w:tr>
      <w:tr w:rsidR="00A85EB4" w:rsidRPr="00A85EB4" w14:paraId="20E59A1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A2A2369" w14:textId="77777777" w:rsidR="00A85EB4" w:rsidRPr="00A85EB4" w:rsidRDefault="00A85EB4" w:rsidP="00A85EB4">
            <w:pPr>
              <w:spacing w:after="0" w:line="240" w:lineRule="auto"/>
              <w:rPr>
                <w:rFonts w:ascii="Calibri" w:eastAsia="Times New Roman" w:hAnsi="Calibri" w:cs="Calibri"/>
                <w:b/>
                <w:bCs/>
                <w:sz w:val="24"/>
                <w:szCs w:val="24"/>
                <w:lang w:eastAsia="sk-SK"/>
              </w:rPr>
            </w:pPr>
            <w:r w:rsidRPr="00A85EB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D9D6449"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A1D2900" w14:textId="77777777" w:rsidR="00A85EB4" w:rsidRPr="00A85EB4" w:rsidRDefault="00A85EB4" w:rsidP="00A85EB4">
            <w:pPr>
              <w:spacing w:after="0" w:line="240" w:lineRule="auto"/>
              <w:jc w:val="center"/>
              <w:rPr>
                <w:rFonts w:ascii="Calibri" w:eastAsia="Times New Roman" w:hAnsi="Calibri" w:cs="Calibri"/>
                <w:b/>
                <w:bCs/>
                <w:sz w:val="24"/>
                <w:szCs w:val="24"/>
                <w:lang w:eastAsia="sk-SK"/>
              </w:rPr>
            </w:pPr>
            <w:r w:rsidRPr="00A85EB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BBAAECE"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3D0EB75"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2027</w:t>
            </w:r>
          </w:p>
        </w:tc>
      </w:tr>
      <w:tr w:rsidR="00A85EB4" w:rsidRPr="00A85EB4" w14:paraId="3399190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354E269" w14:textId="77777777" w:rsidR="00A85EB4" w:rsidRPr="00A85EB4" w:rsidRDefault="00A85EB4" w:rsidP="00A85EB4">
            <w:pPr>
              <w:spacing w:after="0" w:line="240" w:lineRule="auto"/>
              <w:rPr>
                <w:rFonts w:ascii="Calibri" w:eastAsia="Times New Roman" w:hAnsi="Calibri" w:cs="Calibri"/>
                <w:b/>
                <w:bCs/>
                <w:sz w:val="24"/>
                <w:szCs w:val="24"/>
                <w:lang w:eastAsia="sk-SK"/>
              </w:rPr>
            </w:pPr>
            <w:r w:rsidRPr="00A85EB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A7E9444"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50A9812" w14:textId="77777777" w:rsidR="00A85EB4" w:rsidRPr="00A85EB4" w:rsidRDefault="00A85EB4" w:rsidP="00A85EB4">
            <w:pPr>
              <w:spacing w:after="0" w:line="240" w:lineRule="auto"/>
              <w:jc w:val="center"/>
              <w:rPr>
                <w:rFonts w:ascii="Calibri" w:eastAsia="Times New Roman" w:hAnsi="Calibri" w:cs="Calibri"/>
                <w:b/>
                <w:bCs/>
                <w:sz w:val="24"/>
                <w:szCs w:val="24"/>
                <w:lang w:eastAsia="sk-SK"/>
              </w:rPr>
            </w:pPr>
            <w:r w:rsidRPr="00A85EB4">
              <w:rPr>
                <w:rFonts w:ascii="Calibri" w:eastAsia="Times New Roman" w:hAnsi="Calibri" w:cs="Calibri"/>
                <w:b/>
                <w:bCs/>
                <w:sz w:val="24"/>
                <w:szCs w:val="24"/>
                <w:lang w:eastAsia="sk-SK"/>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278BA2F"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C8BA080" w14:textId="77777777" w:rsidR="00A85EB4" w:rsidRPr="00A85EB4" w:rsidRDefault="00A85EB4" w:rsidP="00A85EB4">
            <w:pPr>
              <w:spacing w:after="0" w:line="240" w:lineRule="auto"/>
              <w:jc w:val="center"/>
              <w:rPr>
                <w:rFonts w:ascii="Calibri" w:eastAsia="Times New Roman" w:hAnsi="Calibri" w:cs="Calibri"/>
                <w:sz w:val="24"/>
                <w:szCs w:val="24"/>
                <w:lang w:eastAsia="sk-SK"/>
              </w:rPr>
            </w:pPr>
            <w:r w:rsidRPr="00A85EB4">
              <w:rPr>
                <w:rFonts w:ascii="Calibri" w:eastAsia="Times New Roman" w:hAnsi="Calibri" w:cs="Calibri"/>
                <w:sz w:val="24"/>
                <w:szCs w:val="24"/>
                <w:lang w:eastAsia="sk-SK"/>
              </w:rPr>
              <w:t>10</w:t>
            </w:r>
          </w:p>
        </w:tc>
      </w:tr>
    </w:tbl>
    <w:p w14:paraId="1362FDAA" w14:textId="0D18878D" w:rsidR="00A85EB4" w:rsidRPr="00A85EB4" w:rsidRDefault="00A85EB4" w:rsidP="00A85EB4">
      <w:pPr>
        <w:spacing w:after="0" w:line="240" w:lineRule="auto"/>
        <w:jc w:val="both"/>
        <w:rPr>
          <w:rFonts w:ascii="Calibri" w:eastAsia="Times New Roman" w:hAnsi="Calibri" w:cs="Calibri"/>
          <w:sz w:val="24"/>
          <w:szCs w:val="24"/>
          <w:lang w:eastAsia="sk-SK"/>
        </w:rPr>
      </w:pPr>
      <w:r w:rsidRPr="00A85EB4">
        <w:rPr>
          <w:rFonts w:ascii="Calibri" w:eastAsia="Times New Roman" w:hAnsi="Calibri" w:cs="Calibri"/>
          <w:b/>
          <w:bCs/>
          <w:sz w:val="24"/>
          <w:szCs w:val="24"/>
          <w:lang w:eastAsia="sk-SK"/>
        </w:rPr>
        <w:lastRenderedPageBreak/>
        <w:t xml:space="preserve">Komentár: </w:t>
      </w:r>
      <w:r w:rsidRPr="00A85EB4">
        <w:rPr>
          <w:rFonts w:ascii="Calibri" w:eastAsia="Times New Roman" w:hAnsi="Calibri" w:cs="Calibri"/>
          <w:sz w:val="24"/>
          <w:szCs w:val="24"/>
          <w:lang w:eastAsia="sk-SK"/>
        </w:rPr>
        <w:t xml:space="preserve">Divadlo ASTORKA KORZO´90 ponúka vyvážený a kvalitný repertoár, ktorého súčasťou sú diela svetovej klasiky, ale aj inscenácie súčasnej svetovej drámy či drámy slovenských autorov. Divadlo vo februári 2020 rozšírilo svoje aktivity v novom priestore na </w:t>
      </w:r>
      <w:proofErr w:type="spellStart"/>
      <w:r w:rsidRPr="00A85EB4">
        <w:rPr>
          <w:rFonts w:ascii="Calibri" w:eastAsia="Times New Roman" w:hAnsi="Calibri" w:cs="Calibri"/>
          <w:sz w:val="24"/>
          <w:szCs w:val="24"/>
          <w:lang w:eastAsia="sk-SK"/>
        </w:rPr>
        <w:t>Mickiewiczovej</w:t>
      </w:r>
      <w:proofErr w:type="spellEnd"/>
      <w:r w:rsidRPr="00A85EB4">
        <w:rPr>
          <w:rFonts w:ascii="Calibri" w:eastAsia="Times New Roman" w:hAnsi="Calibri" w:cs="Calibri"/>
          <w:sz w:val="24"/>
          <w:szCs w:val="24"/>
          <w:lang w:eastAsia="sk-SK"/>
        </w:rPr>
        <w:t xml:space="preserve"> ulici v Bratislave v novom župnom divadle Štúdio A2. Novovzniknutý divadelný priestor vznikol z vnútornej potreby divadla a slúži pre aktivity, ktoré sa svojím charakterom viac hodia do menšieho divadelného priestoru ako je súčasné javisko divadla v budove MK SR na Námestí SNP v Bratislave. Divadelný priestor Štúdio A2 je naďalej využívaný aj pre mladých začínajúcich umelcov a mladé divadelné kolektívy. Pre sezónu 2024/2025 divadlo vytvorilo 2 nové divadelné inscenácie – od najvýznamnejšieho izraelského dramatika </w:t>
      </w:r>
      <w:proofErr w:type="spellStart"/>
      <w:r w:rsidRPr="00A85EB4">
        <w:rPr>
          <w:rFonts w:ascii="Calibri" w:eastAsia="Times New Roman" w:hAnsi="Calibri" w:cs="Calibri"/>
          <w:sz w:val="24"/>
          <w:szCs w:val="24"/>
          <w:lang w:eastAsia="sk-SK"/>
        </w:rPr>
        <w:t>Hanocha</w:t>
      </w:r>
      <w:proofErr w:type="spellEnd"/>
      <w:r w:rsidRPr="00A85EB4">
        <w:rPr>
          <w:rFonts w:ascii="Calibri" w:eastAsia="Times New Roman" w:hAnsi="Calibri" w:cs="Calibri"/>
          <w:sz w:val="24"/>
          <w:szCs w:val="24"/>
          <w:lang w:eastAsia="sk-SK"/>
        </w:rPr>
        <w:t xml:space="preserve"> </w:t>
      </w:r>
      <w:proofErr w:type="spellStart"/>
      <w:r w:rsidRPr="00A85EB4">
        <w:rPr>
          <w:rFonts w:ascii="Calibri" w:eastAsia="Times New Roman" w:hAnsi="Calibri" w:cs="Calibri"/>
          <w:sz w:val="24"/>
          <w:szCs w:val="24"/>
          <w:lang w:eastAsia="sk-SK"/>
        </w:rPr>
        <w:t>Levina</w:t>
      </w:r>
      <w:proofErr w:type="spellEnd"/>
      <w:r w:rsidRPr="00A85EB4">
        <w:rPr>
          <w:rFonts w:ascii="Calibri" w:eastAsia="Times New Roman" w:hAnsi="Calibri" w:cs="Calibri"/>
          <w:sz w:val="24"/>
          <w:szCs w:val="24"/>
          <w:lang w:eastAsia="sk-SK"/>
        </w:rPr>
        <w:t xml:space="preserve"> hru Váhavec a premiéru hry Ženy veľkých mužov (manželky </w:t>
      </w:r>
      <w:proofErr w:type="spellStart"/>
      <w:r w:rsidRPr="00A85EB4">
        <w:rPr>
          <w:rFonts w:ascii="Calibri" w:eastAsia="Times New Roman" w:hAnsi="Calibri" w:cs="Calibri"/>
          <w:sz w:val="24"/>
          <w:szCs w:val="24"/>
          <w:lang w:eastAsia="sk-SK"/>
        </w:rPr>
        <w:t>Freuda</w:t>
      </w:r>
      <w:proofErr w:type="spellEnd"/>
      <w:r w:rsidRPr="00A85EB4">
        <w:rPr>
          <w:rFonts w:ascii="Calibri" w:eastAsia="Times New Roman" w:hAnsi="Calibri" w:cs="Calibri"/>
          <w:sz w:val="24"/>
          <w:szCs w:val="24"/>
          <w:lang w:eastAsia="sk-SK"/>
        </w:rPr>
        <w:t xml:space="preserve">, Marxa a Sokrata)autoriek </w:t>
      </w:r>
      <w:proofErr w:type="spellStart"/>
      <w:r w:rsidRPr="00A85EB4">
        <w:rPr>
          <w:rFonts w:ascii="Calibri" w:eastAsia="Times New Roman" w:hAnsi="Calibri" w:cs="Calibri"/>
          <w:sz w:val="24"/>
          <w:szCs w:val="24"/>
          <w:lang w:eastAsia="sk-SK"/>
        </w:rPr>
        <w:t>Yossefa</w:t>
      </w:r>
      <w:proofErr w:type="spellEnd"/>
      <w:r w:rsidRPr="00A85EB4">
        <w:rPr>
          <w:rFonts w:ascii="Calibri" w:eastAsia="Times New Roman" w:hAnsi="Calibri" w:cs="Calibri"/>
          <w:sz w:val="24"/>
          <w:szCs w:val="24"/>
          <w:lang w:eastAsia="sk-SK"/>
        </w:rPr>
        <w:t xml:space="preserve"> </w:t>
      </w:r>
      <w:proofErr w:type="spellStart"/>
      <w:r w:rsidRPr="00A85EB4">
        <w:rPr>
          <w:rFonts w:ascii="Calibri" w:eastAsia="Times New Roman" w:hAnsi="Calibri" w:cs="Calibri"/>
          <w:sz w:val="24"/>
          <w:szCs w:val="24"/>
          <w:lang w:eastAsia="sk-SK"/>
        </w:rPr>
        <w:t>Even-Shoshan</w:t>
      </w:r>
      <w:proofErr w:type="spellEnd"/>
      <w:r w:rsidRPr="00A85EB4">
        <w:rPr>
          <w:rFonts w:ascii="Calibri" w:eastAsia="Times New Roman" w:hAnsi="Calibri" w:cs="Calibri"/>
          <w:sz w:val="24"/>
          <w:szCs w:val="24"/>
          <w:lang w:eastAsia="sk-SK"/>
        </w:rPr>
        <w:t xml:space="preserve"> a </w:t>
      </w:r>
      <w:proofErr w:type="spellStart"/>
      <w:r w:rsidRPr="00A85EB4">
        <w:rPr>
          <w:rFonts w:ascii="Calibri" w:eastAsia="Times New Roman" w:hAnsi="Calibri" w:cs="Calibri"/>
          <w:sz w:val="24"/>
          <w:szCs w:val="24"/>
          <w:lang w:eastAsia="sk-SK"/>
        </w:rPr>
        <w:t>Dalia</w:t>
      </w:r>
      <w:proofErr w:type="spellEnd"/>
      <w:r w:rsidRPr="00A85EB4">
        <w:rPr>
          <w:rFonts w:ascii="Calibri" w:eastAsia="Times New Roman" w:hAnsi="Calibri" w:cs="Calibri"/>
          <w:sz w:val="24"/>
          <w:szCs w:val="24"/>
          <w:lang w:eastAsia="sk-SK"/>
        </w:rPr>
        <w:t xml:space="preserve"> </w:t>
      </w:r>
      <w:proofErr w:type="spellStart"/>
      <w:r w:rsidRPr="00A85EB4">
        <w:rPr>
          <w:rFonts w:ascii="Calibri" w:eastAsia="Times New Roman" w:hAnsi="Calibri" w:cs="Calibri"/>
          <w:sz w:val="24"/>
          <w:szCs w:val="24"/>
          <w:lang w:eastAsia="sk-SK"/>
        </w:rPr>
        <w:t>Shimko</w:t>
      </w:r>
      <w:proofErr w:type="spellEnd"/>
      <w:r w:rsidRPr="00A85EB4">
        <w:rPr>
          <w:rFonts w:ascii="Calibri" w:eastAsia="Times New Roman" w:hAnsi="Calibri" w:cs="Calibri"/>
          <w:sz w:val="24"/>
          <w:szCs w:val="24"/>
          <w:lang w:eastAsia="sk-SK"/>
        </w:rPr>
        <w:t>.</w:t>
      </w:r>
    </w:p>
    <w:p w14:paraId="6DB1368C" w14:textId="77777777" w:rsidR="005C26D1" w:rsidRPr="00427052" w:rsidRDefault="005C26D1" w:rsidP="00427052">
      <w:pPr>
        <w:spacing w:after="0" w:line="240" w:lineRule="auto"/>
        <w:jc w:val="both"/>
        <w:rPr>
          <w:rFonts w:eastAsiaTheme="minorEastAsia" w:cstheme="minorHAnsi"/>
          <w:sz w:val="24"/>
          <w:szCs w:val="24"/>
          <w:lang w:eastAsia="sk-SK"/>
        </w:rPr>
      </w:pPr>
    </w:p>
    <w:p w14:paraId="03E65FFD" w14:textId="77777777" w:rsidR="00427052" w:rsidRPr="00427052" w:rsidRDefault="00427052" w:rsidP="00427052">
      <w:pPr>
        <w:spacing w:after="0" w:line="240" w:lineRule="auto"/>
        <w:rPr>
          <w:rFonts w:eastAsiaTheme="minorEastAsia" w:cstheme="minorHAnsi"/>
          <w:vanish/>
          <w:sz w:val="24"/>
          <w:szCs w:val="24"/>
          <w:lang w:eastAsia="sk-SK"/>
        </w:rPr>
      </w:pPr>
    </w:p>
    <w:p w14:paraId="11AA27EF" w14:textId="77777777" w:rsidR="00427052" w:rsidRPr="00427052" w:rsidRDefault="00427052" w:rsidP="00427052">
      <w:pPr>
        <w:spacing w:after="0" w:line="240" w:lineRule="auto"/>
        <w:jc w:val="both"/>
        <w:rPr>
          <w:rFonts w:eastAsiaTheme="minorEastAsia" w:cstheme="minorHAnsi"/>
          <w:sz w:val="24"/>
          <w:szCs w:val="24"/>
          <w:lang w:eastAsia="sk-SK"/>
        </w:rPr>
      </w:pPr>
    </w:p>
    <w:p w14:paraId="47CAC747" w14:textId="77777777" w:rsidR="00427052" w:rsidRPr="00427052" w:rsidRDefault="00427052" w:rsidP="005C26D1">
      <w:pPr>
        <w:spacing w:before="120" w:after="120" w:line="240" w:lineRule="auto"/>
        <w:jc w:val="both"/>
        <w:outlineLvl w:val="3"/>
        <w:rPr>
          <w:rFonts w:eastAsia="Times New Roman" w:cstheme="minorHAnsi"/>
          <w:b/>
          <w:bCs/>
          <w:sz w:val="24"/>
          <w:szCs w:val="24"/>
          <w:lang w:eastAsia="sk-SK"/>
        </w:rPr>
      </w:pPr>
      <w:r w:rsidRPr="00427052">
        <w:rPr>
          <w:rFonts w:eastAsia="Times New Roman" w:cstheme="minorHAnsi"/>
          <w:b/>
          <w:bCs/>
          <w:color w:val="0000FF"/>
          <w:sz w:val="24"/>
          <w:szCs w:val="24"/>
          <w:lang w:eastAsia="sk-SK"/>
        </w:rPr>
        <w:t>Prvok 10.3.3: Bratislavské bábkové divadlo - príspevková organizácia</w:t>
      </w:r>
      <w:r w:rsidRPr="00427052">
        <w:rPr>
          <w:rFonts w:eastAsia="Times New Roman" w:cstheme="minorHAnsi"/>
          <w:b/>
          <w:bCs/>
          <w:sz w:val="24"/>
          <w:szCs w:val="24"/>
          <w:lang w:eastAsia="sk-SK"/>
        </w:rPr>
        <w:t xml:space="preserve"> </w:t>
      </w:r>
    </w:p>
    <w:p w14:paraId="494BC543" w14:textId="77777777" w:rsidR="00427052" w:rsidRDefault="00427052" w:rsidP="005C26D1">
      <w:pPr>
        <w:spacing w:before="120" w:after="120" w:line="240" w:lineRule="auto"/>
        <w:jc w:val="both"/>
        <w:rPr>
          <w:rFonts w:eastAsiaTheme="minorEastAsia" w:cstheme="minorHAnsi"/>
          <w:sz w:val="24"/>
          <w:szCs w:val="24"/>
          <w:lang w:eastAsia="sk-SK"/>
        </w:rPr>
      </w:pPr>
      <w:r w:rsidRPr="00427052">
        <w:rPr>
          <w:rFonts w:eastAsiaTheme="minorEastAsia" w:cstheme="minorHAnsi"/>
          <w:b/>
          <w:bCs/>
          <w:sz w:val="24"/>
          <w:szCs w:val="24"/>
          <w:lang w:eastAsia="sk-SK"/>
        </w:rPr>
        <w:t xml:space="preserve">Zámer: </w:t>
      </w:r>
      <w:r w:rsidRPr="00427052">
        <w:rPr>
          <w:rFonts w:eastAsiaTheme="minorEastAsia" w:cstheme="minorHAnsi"/>
          <w:sz w:val="24"/>
          <w:szCs w:val="24"/>
          <w:lang w:eastAsia="sk-SK"/>
        </w:rPr>
        <w:t xml:space="preserve">Zabezpečiť divadelnú programovú ponuku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FE4C52" w:rsidRPr="00FE4C52" w14:paraId="53FA1E36" w14:textId="77777777" w:rsidTr="00D97E48">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2C6E989"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i/>
                <w:iCs/>
                <w:sz w:val="24"/>
                <w:szCs w:val="24"/>
                <w:lang w:eastAsia="sk-SK"/>
              </w:rPr>
              <w:t>Rozpočet v EUR</w:t>
            </w:r>
          </w:p>
        </w:tc>
      </w:tr>
      <w:tr w:rsidR="00FE4C52" w:rsidRPr="00FE4C52" w14:paraId="1D94EA1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D65D7C2"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712F4AA"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40C04C"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81E19B2"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5CCA5B1"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6FD63F2"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1F02371"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48C686F"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98F67FB"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w:t>
            </w:r>
          </w:p>
        </w:tc>
      </w:tr>
      <w:tr w:rsidR="00FE4C52" w:rsidRPr="00FE4C52" w14:paraId="2388EAE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E643E2"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C71DC7"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Výdavky celkom</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CE2BB1"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1 050 000,00</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6EFB51"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1 198 200,00</w:t>
            </w:r>
            <w:r w:rsidRPr="00FE4C52">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AC4059"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114,11</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2D5BB8"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1 235 000,00</w:t>
            </w:r>
            <w:r w:rsidRPr="00FE4C52">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245CF6"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103,07</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0F2F46"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1 270 000,00</w:t>
            </w:r>
            <w:r w:rsidRPr="00FE4C52">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95451B"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102,83</w:t>
            </w:r>
            <w:r w:rsidRPr="00FE4C52">
              <w:rPr>
                <w:rFonts w:ascii="Calibri" w:eastAsia="Times New Roman" w:hAnsi="Calibri" w:cs="Calibri"/>
                <w:sz w:val="24"/>
                <w:szCs w:val="24"/>
                <w:lang w:eastAsia="sk-SK"/>
              </w:rPr>
              <w:t xml:space="preserve"> </w:t>
            </w:r>
          </w:p>
        </w:tc>
      </w:tr>
      <w:tr w:rsidR="00FE4C52" w:rsidRPr="00FE4C52" w14:paraId="7F1A10F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A7C448"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600</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21D25F"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Bežné výdavky</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908D03"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1 050 000,00</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57E615D"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1 198 200,00</w:t>
            </w:r>
            <w:r w:rsidRPr="00FE4C52">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6A0C3F"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114,11</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649019"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1 235 000,00</w:t>
            </w:r>
            <w:r w:rsidRPr="00FE4C52">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BF8E64C"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103,07</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A7DBEF"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1 270 000,00</w:t>
            </w:r>
            <w:r w:rsidRPr="00FE4C52">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AD3013"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b/>
                <w:bCs/>
                <w:sz w:val="20"/>
                <w:szCs w:val="20"/>
                <w:lang w:eastAsia="sk-SK"/>
              </w:rPr>
              <w:t>102,83</w:t>
            </w:r>
            <w:r w:rsidRPr="00FE4C52">
              <w:rPr>
                <w:rFonts w:ascii="Calibri" w:eastAsia="Times New Roman" w:hAnsi="Calibri" w:cs="Calibri"/>
                <w:sz w:val="24"/>
                <w:szCs w:val="24"/>
                <w:lang w:eastAsia="sk-SK"/>
              </w:rPr>
              <w:t xml:space="preserve"> </w:t>
            </w:r>
          </w:p>
        </w:tc>
      </w:tr>
      <w:tr w:rsidR="00FE4C52" w:rsidRPr="00FE4C52" w14:paraId="0DFC440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0A6359"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0"/>
                <w:szCs w:val="20"/>
                <w:lang w:eastAsia="sk-SK"/>
              </w:rPr>
              <w:t>640</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92120A"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0"/>
                <w:szCs w:val="20"/>
                <w:lang w:eastAsia="sk-SK"/>
              </w:rPr>
              <w:t>Bežné transfery</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9CAF920"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sz w:val="20"/>
                <w:szCs w:val="20"/>
                <w:lang w:eastAsia="sk-SK"/>
              </w:rPr>
              <w:t>1 050 000,00</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C42541"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sz w:val="20"/>
                <w:szCs w:val="20"/>
                <w:lang w:eastAsia="sk-SK"/>
              </w:rPr>
              <w:t>1 198 200,00</w:t>
            </w:r>
            <w:r w:rsidRPr="00FE4C52">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1D60648"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sz w:val="20"/>
                <w:szCs w:val="20"/>
                <w:lang w:eastAsia="sk-SK"/>
              </w:rPr>
              <w:t>114,11</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BBBF90"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sz w:val="20"/>
                <w:szCs w:val="20"/>
                <w:lang w:eastAsia="sk-SK"/>
              </w:rPr>
              <w:t>1 235 000,00</w:t>
            </w:r>
            <w:r w:rsidRPr="00FE4C52">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FB0D51F"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sz w:val="20"/>
                <w:szCs w:val="20"/>
                <w:lang w:eastAsia="sk-SK"/>
              </w:rPr>
              <w:t>103,07</w:t>
            </w:r>
            <w:r w:rsidRPr="00FE4C52">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DECEFFC"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sz w:val="20"/>
                <w:szCs w:val="20"/>
                <w:lang w:eastAsia="sk-SK"/>
              </w:rPr>
              <w:t>1 270 000,00</w:t>
            </w:r>
            <w:r w:rsidRPr="00FE4C52">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5BF7BC7" w14:textId="77777777" w:rsidR="00FE4C52" w:rsidRPr="00FE4C52" w:rsidRDefault="00FE4C52" w:rsidP="00FE4C52">
            <w:pPr>
              <w:spacing w:after="0" w:line="240" w:lineRule="auto"/>
              <w:jc w:val="right"/>
              <w:rPr>
                <w:rFonts w:ascii="Calibri" w:eastAsia="Times New Roman" w:hAnsi="Calibri" w:cs="Calibri"/>
                <w:sz w:val="24"/>
                <w:szCs w:val="24"/>
                <w:lang w:eastAsia="sk-SK"/>
              </w:rPr>
            </w:pPr>
            <w:r w:rsidRPr="00FE4C52">
              <w:rPr>
                <w:rFonts w:ascii="Calibri" w:eastAsia="Times New Roman" w:hAnsi="Calibri" w:cs="Calibri"/>
                <w:sz w:val="20"/>
                <w:szCs w:val="20"/>
                <w:lang w:eastAsia="sk-SK"/>
              </w:rPr>
              <w:t>102,83</w:t>
            </w:r>
            <w:r w:rsidRPr="00FE4C52">
              <w:rPr>
                <w:rFonts w:ascii="Calibri" w:eastAsia="Times New Roman" w:hAnsi="Calibri" w:cs="Calibri"/>
                <w:sz w:val="24"/>
                <w:szCs w:val="24"/>
                <w:lang w:eastAsia="sk-SK"/>
              </w:rPr>
              <w:t xml:space="preserve"> </w:t>
            </w:r>
          </w:p>
        </w:tc>
      </w:tr>
    </w:tbl>
    <w:p w14:paraId="21CBA0DC" w14:textId="77777777" w:rsidR="00FE4C52" w:rsidRPr="00FE4C52" w:rsidRDefault="00FE4C52" w:rsidP="00FE4C52">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0"/>
        <w:gridCol w:w="2034"/>
        <w:gridCol w:w="2032"/>
        <w:gridCol w:w="2030"/>
        <w:gridCol w:w="2044"/>
      </w:tblGrid>
      <w:tr w:rsidR="00FE4C52" w:rsidRPr="00FE4C52" w14:paraId="3FC245C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E6CE3F"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8314D1"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Riaditeľ zariadenia</w:t>
            </w:r>
          </w:p>
        </w:tc>
      </w:tr>
      <w:tr w:rsidR="00FE4C52" w:rsidRPr="00FE4C52" w14:paraId="159EE51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FCCC4D"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366A74"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Zabezpečiť divadelnú programovú ponuku</w:t>
            </w:r>
          </w:p>
        </w:tc>
      </w:tr>
      <w:tr w:rsidR="00FE4C52" w:rsidRPr="00FE4C52" w14:paraId="4875FD3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C7946D"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95D0C0"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Počet podaných projektov na dotačné/grantové výzvy na aktivity Bratislavského bábkového divadla</w:t>
            </w:r>
          </w:p>
        </w:tc>
      </w:tr>
      <w:tr w:rsidR="00FE4C52" w:rsidRPr="00FE4C52" w14:paraId="1E2BA65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80DC6F"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9585E8"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3F1196"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928E86"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7254CA"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2027</w:t>
            </w:r>
          </w:p>
        </w:tc>
      </w:tr>
      <w:tr w:rsidR="00FE4C52" w:rsidRPr="00FE4C52" w14:paraId="7CB8CF4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9A4DF3"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AD2909"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0C1C3B"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 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A3D4BB"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24E6D9"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9</w:t>
            </w:r>
          </w:p>
        </w:tc>
      </w:tr>
      <w:tr w:rsidR="00FE4C52" w:rsidRPr="00FE4C52" w14:paraId="539F2B3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F586DA"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4336EE"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Počet inscenovaných čítaní v knižniciach a v iných KZ v zriaďovateľskej pôsobnosti BSK na území BSK (4 okresy)</w:t>
            </w:r>
          </w:p>
        </w:tc>
      </w:tr>
      <w:tr w:rsidR="00FE4C52" w:rsidRPr="00FE4C52" w14:paraId="06E2442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49C642"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478D52"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05573C"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F06779"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BE5C28"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2027</w:t>
            </w:r>
          </w:p>
        </w:tc>
      </w:tr>
      <w:tr w:rsidR="00FE4C52" w:rsidRPr="00FE4C52" w14:paraId="7795BC0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5D2293"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0420CA"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6AD8DA"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0DD326"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6A3C3D"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10</w:t>
            </w:r>
          </w:p>
        </w:tc>
      </w:tr>
      <w:tr w:rsidR="00FE4C52" w:rsidRPr="00FE4C52" w14:paraId="4A77E7E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5C8BBA"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693735"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Počet zrealizovaných letných festivalov pre detského diváka (festival LETODIVY)</w:t>
            </w:r>
          </w:p>
        </w:tc>
      </w:tr>
      <w:tr w:rsidR="00FE4C52" w:rsidRPr="00FE4C52" w14:paraId="227F664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07BE10"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135A68"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802585"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2C1BB5"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2FD808"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2027</w:t>
            </w:r>
          </w:p>
        </w:tc>
      </w:tr>
      <w:tr w:rsidR="00FE4C52" w:rsidRPr="00FE4C52" w14:paraId="235FB01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8279B3"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837058"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7988CE"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822073"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23BEE9"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1</w:t>
            </w:r>
          </w:p>
        </w:tc>
      </w:tr>
      <w:tr w:rsidR="00FE4C52" w:rsidRPr="00FE4C52" w14:paraId="0882C8A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F3F63E"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3A7AB9"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xml:space="preserve">Počet predstavení – zájazdy tuzemské, zahraničné (mimo spoluprác s knižnicami) </w:t>
            </w:r>
          </w:p>
        </w:tc>
      </w:tr>
      <w:tr w:rsidR="00FE4C52" w:rsidRPr="00FE4C52" w14:paraId="3238ABE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58600C"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697ABD"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9657FD"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BA48A5"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81C392"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2027</w:t>
            </w:r>
          </w:p>
        </w:tc>
      </w:tr>
      <w:tr w:rsidR="00FE4C52" w:rsidRPr="00FE4C52" w14:paraId="74E58CD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26A989"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42BB98"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23935B"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D8DB6F"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66EED7"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20</w:t>
            </w:r>
          </w:p>
        </w:tc>
      </w:tr>
      <w:tr w:rsidR="00FE4C52" w:rsidRPr="00FE4C52" w14:paraId="2BB7306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57F82F"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D8D6DA"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Počet zrealizovaných nových titulov</w:t>
            </w:r>
          </w:p>
        </w:tc>
      </w:tr>
      <w:tr w:rsidR="00FE4C52" w:rsidRPr="00FE4C52" w14:paraId="1FADFDA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C7C225"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6FD52A"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519049"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192D2A"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E68CA2"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2027</w:t>
            </w:r>
          </w:p>
        </w:tc>
      </w:tr>
      <w:tr w:rsidR="00FE4C52" w:rsidRPr="00FE4C52" w14:paraId="3BBBE7F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E9424A"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A1016D"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C085D8"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DB81BD"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0D1A6F"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4</w:t>
            </w:r>
          </w:p>
        </w:tc>
      </w:tr>
      <w:tr w:rsidR="00FE4C52" w:rsidRPr="00FE4C52" w14:paraId="05C9B19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BDFDAA"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B938ED"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Počet predstavení na vlastnej scéne (2 priestory)</w:t>
            </w:r>
          </w:p>
        </w:tc>
      </w:tr>
      <w:tr w:rsidR="00FE4C52" w:rsidRPr="00FE4C52" w14:paraId="0358239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AED15D"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A298A7"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C71D86"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C49C3C"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AA7BB2"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2027</w:t>
            </w:r>
          </w:p>
        </w:tc>
      </w:tr>
      <w:tr w:rsidR="00FE4C52" w:rsidRPr="00FE4C52" w14:paraId="5A8EACE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5A6671"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18F04B"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C72EA8"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370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55D2D3"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370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85C2CB"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370</w:t>
            </w:r>
          </w:p>
        </w:tc>
      </w:tr>
      <w:tr w:rsidR="00FE4C52" w:rsidRPr="00FE4C52" w14:paraId="5C0C270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8CEF5E"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C7B8DF"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Počet návštevníkov divadelných predstavení</w:t>
            </w:r>
          </w:p>
        </w:tc>
      </w:tr>
      <w:tr w:rsidR="00FE4C52" w:rsidRPr="00FE4C52" w14:paraId="6121517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42975A"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lastRenderedPageBreak/>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B54709"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732153"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D24D10"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E32578"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2027</w:t>
            </w:r>
          </w:p>
        </w:tc>
      </w:tr>
      <w:tr w:rsidR="00FE4C52" w:rsidRPr="00FE4C52" w14:paraId="7AAEF59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3E6F22"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3A5AB2"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35 000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B6355B"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 40 100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29C3F8"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40 100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4FC7C0"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40 100</w:t>
            </w:r>
          </w:p>
        </w:tc>
      </w:tr>
      <w:tr w:rsidR="00FE4C52" w:rsidRPr="00FE4C52" w14:paraId="3627B63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5110185"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18740670"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Počet kultúrno-spoločenských podujatí</w:t>
            </w:r>
          </w:p>
        </w:tc>
      </w:tr>
      <w:tr w:rsidR="00FE4C52" w:rsidRPr="00FE4C52" w14:paraId="77D39F3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C86AA1C"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538C23F"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D80CF11"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1949365"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BE769D2"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2027</w:t>
            </w:r>
          </w:p>
        </w:tc>
      </w:tr>
      <w:tr w:rsidR="00FE4C52" w:rsidRPr="00FE4C52" w14:paraId="30346A4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C8FD9A0"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59C7E1C"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F9EA760" w14:textId="77777777" w:rsidR="00FE4C52" w:rsidRPr="00FE4C52" w:rsidRDefault="00FE4C52" w:rsidP="00FE4C52">
            <w:pPr>
              <w:spacing w:after="0" w:line="240" w:lineRule="auto"/>
              <w:jc w:val="center"/>
              <w:rPr>
                <w:rFonts w:ascii="Calibri" w:eastAsia="Times New Roman" w:hAnsi="Calibri" w:cs="Calibri"/>
                <w:b/>
                <w:bCs/>
                <w:sz w:val="24"/>
                <w:szCs w:val="24"/>
                <w:lang w:eastAsia="sk-SK"/>
              </w:rPr>
            </w:pPr>
            <w:r w:rsidRPr="00FE4C52">
              <w:rPr>
                <w:rFonts w:ascii="Calibri" w:eastAsia="Times New Roman" w:hAnsi="Calibri" w:cs="Calibri"/>
                <w:b/>
                <w:bCs/>
                <w:sz w:val="24"/>
                <w:szCs w:val="24"/>
                <w:lang w:eastAsia="sk-SK"/>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487F859"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F4F4C71"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3</w:t>
            </w:r>
          </w:p>
        </w:tc>
      </w:tr>
      <w:tr w:rsidR="00FE4C52" w:rsidRPr="00FE4C52" w14:paraId="7B67E2A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5DE4730" w14:textId="77777777" w:rsidR="00FE4C52" w:rsidRPr="00FE4C52" w:rsidRDefault="00FE4C52" w:rsidP="00FE4C52">
            <w:pPr>
              <w:spacing w:after="0" w:line="240" w:lineRule="auto"/>
              <w:rPr>
                <w:rFonts w:ascii="Calibri" w:eastAsia="Times New Roman" w:hAnsi="Calibri" w:cs="Calibri"/>
                <w:b/>
                <w:bCs/>
                <w:sz w:val="24"/>
                <w:szCs w:val="24"/>
                <w:lang w:eastAsia="sk-SK"/>
              </w:rPr>
            </w:pPr>
            <w:r w:rsidRPr="00FE4C52">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1B5DE005" w14:textId="77777777" w:rsidR="00FE4C52" w:rsidRPr="00FE4C52" w:rsidRDefault="00FE4C52" w:rsidP="00FE4C52">
            <w:pPr>
              <w:spacing w:after="0" w:line="240" w:lineRule="auto"/>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Počet zrealizovaných nových foriem práce s verejnosťou/publikom</w:t>
            </w:r>
          </w:p>
        </w:tc>
      </w:tr>
      <w:tr w:rsidR="00FE4C52" w:rsidRPr="00FE4C52" w14:paraId="34D9519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B6EFB68" w14:textId="77777777" w:rsidR="00FE4C52" w:rsidRPr="00FE4C52" w:rsidRDefault="00FE4C52" w:rsidP="00FE4C52">
            <w:pPr>
              <w:spacing w:after="0" w:line="240" w:lineRule="auto"/>
              <w:rPr>
                <w:rFonts w:ascii="Calibri" w:eastAsia="Times New Roman" w:hAnsi="Calibri" w:cs="Calibri"/>
                <w:b/>
                <w:bCs/>
                <w:sz w:val="24"/>
                <w:szCs w:val="24"/>
                <w:lang w:eastAsia="sk-SK"/>
              </w:rPr>
            </w:pPr>
            <w:r w:rsidRPr="00FE4C52">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BAF9D6C"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B370D81" w14:textId="77777777" w:rsidR="00FE4C52" w:rsidRPr="00FE4C52" w:rsidRDefault="00FE4C52" w:rsidP="00FE4C52">
            <w:pPr>
              <w:spacing w:after="0" w:line="240" w:lineRule="auto"/>
              <w:jc w:val="center"/>
              <w:rPr>
                <w:rFonts w:ascii="Calibri" w:eastAsia="Times New Roman" w:hAnsi="Calibri" w:cs="Calibri"/>
                <w:b/>
                <w:bCs/>
                <w:sz w:val="24"/>
                <w:szCs w:val="24"/>
                <w:lang w:eastAsia="sk-SK"/>
              </w:rPr>
            </w:pPr>
            <w:r w:rsidRPr="00FE4C52">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A0DDC76"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0CF8977"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2027</w:t>
            </w:r>
          </w:p>
        </w:tc>
      </w:tr>
      <w:tr w:rsidR="00FE4C52" w:rsidRPr="00FE4C52" w14:paraId="78E14A0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01C63B5" w14:textId="77777777" w:rsidR="00FE4C52" w:rsidRPr="00FE4C52" w:rsidRDefault="00FE4C52" w:rsidP="00FE4C52">
            <w:pPr>
              <w:spacing w:after="0" w:line="240" w:lineRule="auto"/>
              <w:rPr>
                <w:rFonts w:ascii="Calibri" w:eastAsia="Times New Roman" w:hAnsi="Calibri" w:cs="Calibri"/>
                <w:b/>
                <w:bCs/>
                <w:sz w:val="24"/>
                <w:szCs w:val="24"/>
                <w:lang w:eastAsia="sk-SK"/>
              </w:rPr>
            </w:pPr>
            <w:r w:rsidRPr="00FE4C52">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C29BECE"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889AED4" w14:textId="77777777" w:rsidR="00FE4C52" w:rsidRPr="00FE4C52" w:rsidRDefault="00FE4C52" w:rsidP="00FE4C52">
            <w:pPr>
              <w:spacing w:after="0" w:line="240" w:lineRule="auto"/>
              <w:jc w:val="center"/>
              <w:rPr>
                <w:rFonts w:ascii="Calibri" w:eastAsia="Times New Roman" w:hAnsi="Calibri" w:cs="Calibri"/>
                <w:b/>
                <w:bCs/>
                <w:sz w:val="24"/>
                <w:szCs w:val="24"/>
                <w:lang w:eastAsia="sk-SK"/>
              </w:rPr>
            </w:pPr>
            <w:r w:rsidRPr="00FE4C52">
              <w:rPr>
                <w:rFonts w:ascii="Calibri" w:eastAsia="Times New Roman" w:hAnsi="Calibri" w:cs="Calibri"/>
                <w:b/>
                <w:bCs/>
                <w:sz w:val="24"/>
                <w:szCs w:val="24"/>
                <w:lang w:eastAsia="sk-SK"/>
              </w:rPr>
              <w:t> 55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504CFDF"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55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4A77FDF" w14:textId="77777777" w:rsidR="00FE4C52" w:rsidRPr="00FE4C52" w:rsidRDefault="00FE4C52" w:rsidP="00FE4C52">
            <w:pPr>
              <w:spacing w:after="0" w:line="240" w:lineRule="auto"/>
              <w:jc w:val="center"/>
              <w:rPr>
                <w:rFonts w:ascii="Calibri" w:eastAsia="Times New Roman" w:hAnsi="Calibri" w:cs="Calibri"/>
                <w:sz w:val="24"/>
                <w:szCs w:val="24"/>
                <w:lang w:eastAsia="sk-SK"/>
              </w:rPr>
            </w:pPr>
            <w:r w:rsidRPr="00FE4C52">
              <w:rPr>
                <w:rFonts w:ascii="Calibri" w:eastAsia="Times New Roman" w:hAnsi="Calibri" w:cs="Calibri"/>
                <w:sz w:val="24"/>
                <w:szCs w:val="24"/>
                <w:lang w:eastAsia="sk-SK"/>
              </w:rPr>
              <w:t> 55</w:t>
            </w:r>
          </w:p>
        </w:tc>
      </w:tr>
    </w:tbl>
    <w:p w14:paraId="75E1DB56" w14:textId="75EBCDCD" w:rsidR="00FE4C52" w:rsidRPr="00FE4C52" w:rsidRDefault="00FE4C52" w:rsidP="001B5DF0">
      <w:pPr>
        <w:spacing w:before="120" w:after="120" w:line="240" w:lineRule="auto"/>
        <w:jc w:val="both"/>
        <w:rPr>
          <w:rFonts w:ascii="Calibri" w:eastAsia="Times New Roman" w:hAnsi="Calibri" w:cs="Calibri"/>
          <w:sz w:val="24"/>
          <w:szCs w:val="24"/>
          <w:lang w:eastAsia="sk-SK"/>
        </w:rPr>
      </w:pPr>
      <w:r w:rsidRPr="00FE4C52">
        <w:rPr>
          <w:rFonts w:ascii="Calibri" w:eastAsia="Times New Roman" w:hAnsi="Calibri" w:cs="Calibri"/>
          <w:b/>
          <w:bCs/>
          <w:sz w:val="24"/>
          <w:szCs w:val="24"/>
          <w:lang w:eastAsia="sk-SK"/>
        </w:rPr>
        <w:t xml:space="preserve">Komentár: </w:t>
      </w:r>
      <w:r w:rsidRPr="00FE4C52">
        <w:rPr>
          <w:rFonts w:ascii="Calibri" w:eastAsia="Times New Roman" w:hAnsi="Calibri" w:cs="Calibri"/>
          <w:sz w:val="24"/>
          <w:szCs w:val="24"/>
          <w:lang w:eastAsia="sk-SK"/>
        </w:rPr>
        <w:t xml:space="preserve">Bratislavské bábkové divadlo je vďaka vysokej umeleckej kvalite divadelných projektov vnímané ako popredná umelecká scéna pre deti a mládež. Bratislavské bábkové divadlo, ktoré je národnou kultúrnou pamiatkou, sa po desiatich rokoch, v septembri 2024, vrátilo do zrekonštruovaných priestorov na Dunajskej ulici. Náročnou prestavbou získalo novú projekčnú, zvukovú, svetelnú, divadelnú techniku, technológie a nový štúdiový priestor. Divadlo má zázemie pre hercov, šatne, skúšobný priestor, kancelárie pre zamestnancov a umelecké dielne, ako aj detskú cukráreň či priestor na detské tvorivé dielne. </w:t>
      </w:r>
      <w:proofErr w:type="spellStart"/>
      <w:r w:rsidRPr="00FE4C52">
        <w:rPr>
          <w:rFonts w:ascii="Calibri" w:eastAsia="Times New Roman" w:hAnsi="Calibri" w:cs="Calibri"/>
          <w:sz w:val="24"/>
          <w:szCs w:val="24"/>
          <w:lang w:eastAsia="sk-SK"/>
        </w:rPr>
        <w:t>Workshopový</w:t>
      </w:r>
      <w:proofErr w:type="spellEnd"/>
      <w:r w:rsidRPr="00FE4C52">
        <w:rPr>
          <w:rFonts w:ascii="Calibri" w:eastAsia="Times New Roman" w:hAnsi="Calibri" w:cs="Calibri"/>
          <w:sz w:val="24"/>
          <w:szCs w:val="24"/>
          <w:lang w:eastAsia="sk-SK"/>
        </w:rPr>
        <w:t xml:space="preserve"> priestor vznikol pod strechou na 4. poschodí. V divadle návštevníci nájdu aj otvorený depozitár bábok, do ktorého môžu nahliadnuť a dozvedieť sa viac o tom, ako vznikajú bábky. Divadlo začalo sezónu 2024/2025 premiérami Snehulienka a 7 trpaslíkov pre najmenšie publikum a pohybovou </w:t>
      </w:r>
      <w:proofErr w:type="spellStart"/>
      <w:r w:rsidRPr="00FE4C52">
        <w:rPr>
          <w:rFonts w:ascii="Calibri" w:eastAsia="Times New Roman" w:hAnsi="Calibri" w:cs="Calibri"/>
          <w:sz w:val="24"/>
          <w:szCs w:val="24"/>
          <w:lang w:eastAsia="sk-SK"/>
        </w:rPr>
        <w:t>performanciou</w:t>
      </w:r>
      <w:proofErr w:type="spellEnd"/>
      <w:r w:rsidRPr="00FE4C52">
        <w:rPr>
          <w:rFonts w:ascii="Calibri" w:eastAsia="Times New Roman" w:hAnsi="Calibri" w:cs="Calibri"/>
          <w:sz w:val="24"/>
          <w:szCs w:val="24"/>
          <w:lang w:eastAsia="sk-SK"/>
        </w:rPr>
        <w:t xml:space="preserve"> CEZ OKRAJ pre staršie deti a mládež. Špeciálnym projektom je tretia premiéra, zážitková prehliadka budovy divadla Ahoj, som </w:t>
      </w:r>
      <w:proofErr w:type="spellStart"/>
      <w:r w:rsidRPr="00FE4C52">
        <w:rPr>
          <w:rFonts w:ascii="Calibri" w:eastAsia="Times New Roman" w:hAnsi="Calibri" w:cs="Calibri"/>
          <w:sz w:val="24"/>
          <w:szCs w:val="24"/>
          <w:lang w:eastAsia="sk-SK"/>
        </w:rPr>
        <w:t>Bábkač</w:t>
      </w:r>
      <w:proofErr w:type="spellEnd"/>
      <w:r w:rsidRPr="00FE4C52">
        <w:rPr>
          <w:rFonts w:ascii="Calibri" w:eastAsia="Times New Roman" w:hAnsi="Calibri" w:cs="Calibri"/>
          <w:sz w:val="24"/>
          <w:szCs w:val="24"/>
          <w:lang w:eastAsia="sk-SK"/>
        </w:rPr>
        <w:t>! Činnosť divadla je obohatená alternatívnymi programami ako tvorivé dielne, dramatizované čítania či kreatívne hry.</w:t>
      </w:r>
    </w:p>
    <w:p w14:paraId="0AFC57EC" w14:textId="77777777" w:rsidR="00427052" w:rsidRPr="00427052" w:rsidRDefault="00427052" w:rsidP="00427052">
      <w:pPr>
        <w:spacing w:after="0" w:line="240" w:lineRule="auto"/>
        <w:rPr>
          <w:rFonts w:eastAsiaTheme="minorEastAsia" w:cstheme="minorHAnsi"/>
          <w:vanish/>
          <w:sz w:val="24"/>
          <w:szCs w:val="24"/>
          <w:lang w:eastAsia="sk-SK"/>
        </w:rPr>
      </w:pPr>
    </w:p>
    <w:p w14:paraId="5C22008A" w14:textId="77777777" w:rsidR="00427052" w:rsidRPr="00427052" w:rsidRDefault="00427052" w:rsidP="005C26D1">
      <w:pPr>
        <w:spacing w:before="120" w:after="120" w:line="240" w:lineRule="auto"/>
        <w:jc w:val="both"/>
        <w:outlineLvl w:val="3"/>
        <w:rPr>
          <w:rFonts w:eastAsia="Times New Roman" w:cstheme="minorHAnsi"/>
          <w:b/>
          <w:bCs/>
          <w:sz w:val="24"/>
          <w:szCs w:val="24"/>
          <w:lang w:eastAsia="sk-SK"/>
        </w:rPr>
      </w:pPr>
      <w:r w:rsidRPr="00427052">
        <w:rPr>
          <w:rFonts w:eastAsia="Times New Roman" w:cstheme="minorHAnsi"/>
          <w:b/>
          <w:bCs/>
          <w:color w:val="0000FF"/>
          <w:sz w:val="24"/>
          <w:szCs w:val="24"/>
          <w:lang w:eastAsia="sk-SK"/>
        </w:rPr>
        <w:t>Prvok 10.3.4: Divadlo LUDUS - príspevková organizácia</w:t>
      </w:r>
      <w:r w:rsidRPr="00427052">
        <w:rPr>
          <w:rFonts w:eastAsia="Times New Roman" w:cstheme="minorHAnsi"/>
          <w:b/>
          <w:bCs/>
          <w:sz w:val="24"/>
          <w:szCs w:val="24"/>
          <w:lang w:eastAsia="sk-SK"/>
        </w:rPr>
        <w:t xml:space="preserve"> </w:t>
      </w:r>
    </w:p>
    <w:p w14:paraId="1F7B8401" w14:textId="77777777" w:rsidR="00427052" w:rsidRDefault="00427052" w:rsidP="005C26D1">
      <w:pPr>
        <w:spacing w:before="120" w:after="120" w:line="240" w:lineRule="auto"/>
        <w:jc w:val="both"/>
        <w:rPr>
          <w:rFonts w:eastAsiaTheme="minorEastAsia" w:cstheme="minorHAnsi"/>
          <w:sz w:val="24"/>
          <w:szCs w:val="24"/>
          <w:lang w:eastAsia="sk-SK"/>
        </w:rPr>
      </w:pPr>
      <w:r w:rsidRPr="00427052">
        <w:rPr>
          <w:rFonts w:eastAsiaTheme="minorEastAsia" w:cstheme="minorHAnsi"/>
          <w:b/>
          <w:bCs/>
          <w:sz w:val="24"/>
          <w:szCs w:val="24"/>
          <w:lang w:eastAsia="sk-SK"/>
        </w:rPr>
        <w:t xml:space="preserve">Zámer: </w:t>
      </w:r>
      <w:r w:rsidRPr="00427052">
        <w:rPr>
          <w:rFonts w:eastAsiaTheme="minorEastAsia" w:cstheme="minorHAnsi"/>
          <w:sz w:val="24"/>
          <w:szCs w:val="24"/>
          <w:lang w:eastAsia="sk-SK"/>
        </w:rPr>
        <w:t>Zabezpečiť divadelnú programovú ponuku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3"/>
        <w:gridCol w:w="2215"/>
        <w:gridCol w:w="1430"/>
        <w:gridCol w:w="1430"/>
        <w:gridCol w:w="649"/>
        <w:gridCol w:w="1430"/>
        <w:gridCol w:w="649"/>
        <w:gridCol w:w="1430"/>
        <w:gridCol w:w="664"/>
      </w:tblGrid>
      <w:tr w:rsidR="00A41344" w:rsidRPr="00A41344" w14:paraId="19E39346" w14:textId="77777777" w:rsidTr="00D97E48">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D5C496"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i/>
                <w:iCs/>
                <w:sz w:val="24"/>
                <w:szCs w:val="24"/>
                <w:lang w:eastAsia="sk-SK"/>
              </w:rPr>
              <w:t>Rozpočet v EUR</w:t>
            </w:r>
          </w:p>
        </w:tc>
      </w:tr>
      <w:tr w:rsidR="00A41344" w:rsidRPr="00A41344" w14:paraId="29FB741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95A3BE"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9B79C84"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3FC74C1"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17F32B"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CD89767"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C354202"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31F64E"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1C2F54A"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F48E162"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w:t>
            </w:r>
          </w:p>
        </w:tc>
      </w:tr>
      <w:tr w:rsidR="00A41344" w:rsidRPr="00A41344" w14:paraId="73CF2EF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A0BFF7"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F13002"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Výdavky celkom</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CBAF4B"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436 590,00</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109FAB"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495 820,00</w:t>
            </w:r>
            <w:r w:rsidRPr="00A4134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CA51A5"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113,57</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AAD758"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510 000,00</w:t>
            </w:r>
            <w:r w:rsidRPr="00A4134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1431D9"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102,86</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C9145D"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530 000,00</w:t>
            </w:r>
            <w:r w:rsidRPr="00A4134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1F3F61"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103,92</w:t>
            </w:r>
            <w:r w:rsidRPr="00A41344">
              <w:rPr>
                <w:rFonts w:ascii="Calibri" w:eastAsia="Times New Roman" w:hAnsi="Calibri" w:cs="Calibri"/>
                <w:sz w:val="24"/>
                <w:szCs w:val="24"/>
                <w:lang w:eastAsia="sk-SK"/>
              </w:rPr>
              <w:t xml:space="preserve"> </w:t>
            </w:r>
          </w:p>
        </w:tc>
      </w:tr>
      <w:tr w:rsidR="00A41344" w:rsidRPr="00A41344" w14:paraId="560E67A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4AE6C4"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600</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83F067"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Bežné výdavky</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AA7B5B"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436 590,00</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4B2708"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495 820,00</w:t>
            </w:r>
            <w:r w:rsidRPr="00A4134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2510A2"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113,57</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FBEF91"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510 000,00</w:t>
            </w:r>
            <w:r w:rsidRPr="00A4134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72269E9"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102,86</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46007C"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530 000,00</w:t>
            </w:r>
            <w:r w:rsidRPr="00A4134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8D8404"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b/>
                <w:bCs/>
                <w:sz w:val="20"/>
                <w:szCs w:val="20"/>
                <w:lang w:eastAsia="sk-SK"/>
              </w:rPr>
              <w:t>103,92</w:t>
            </w:r>
            <w:r w:rsidRPr="00A41344">
              <w:rPr>
                <w:rFonts w:ascii="Calibri" w:eastAsia="Times New Roman" w:hAnsi="Calibri" w:cs="Calibri"/>
                <w:sz w:val="24"/>
                <w:szCs w:val="24"/>
                <w:lang w:eastAsia="sk-SK"/>
              </w:rPr>
              <w:t xml:space="preserve"> </w:t>
            </w:r>
          </w:p>
        </w:tc>
      </w:tr>
      <w:tr w:rsidR="00A41344" w:rsidRPr="00A41344" w14:paraId="6C6948F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1ABD947"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0"/>
                <w:szCs w:val="20"/>
                <w:lang w:eastAsia="sk-SK"/>
              </w:rPr>
              <w:t>640</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BB1737"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0"/>
                <w:szCs w:val="20"/>
                <w:lang w:eastAsia="sk-SK"/>
              </w:rPr>
              <w:t>Bežné transfery</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766914"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sz w:val="20"/>
                <w:szCs w:val="20"/>
                <w:lang w:eastAsia="sk-SK"/>
              </w:rPr>
              <w:t>436 590,00</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5AA1BC6"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sz w:val="20"/>
                <w:szCs w:val="20"/>
                <w:lang w:eastAsia="sk-SK"/>
              </w:rPr>
              <w:t>495 820,00</w:t>
            </w:r>
            <w:r w:rsidRPr="00A4134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9F87058"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sz w:val="20"/>
                <w:szCs w:val="20"/>
                <w:lang w:eastAsia="sk-SK"/>
              </w:rPr>
              <w:t>113,57</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FAABA5"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sz w:val="20"/>
                <w:szCs w:val="20"/>
                <w:lang w:eastAsia="sk-SK"/>
              </w:rPr>
              <w:t>510 000,00</w:t>
            </w:r>
            <w:r w:rsidRPr="00A4134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D97C450"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sz w:val="20"/>
                <w:szCs w:val="20"/>
                <w:lang w:eastAsia="sk-SK"/>
              </w:rPr>
              <w:t>102,86</w:t>
            </w:r>
            <w:r w:rsidRPr="00A41344">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531611"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sz w:val="20"/>
                <w:szCs w:val="20"/>
                <w:lang w:eastAsia="sk-SK"/>
              </w:rPr>
              <w:t>530 000,00</w:t>
            </w:r>
            <w:r w:rsidRPr="00A41344">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8825E51" w14:textId="77777777" w:rsidR="00A41344" w:rsidRPr="00A41344" w:rsidRDefault="00A41344" w:rsidP="00A41344">
            <w:pPr>
              <w:spacing w:after="0" w:line="240" w:lineRule="auto"/>
              <w:jc w:val="right"/>
              <w:rPr>
                <w:rFonts w:ascii="Calibri" w:eastAsia="Times New Roman" w:hAnsi="Calibri" w:cs="Calibri"/>
                <w:sz w:val="24"/>
                <w:szCs w:val="24"/>
                <w:lang w:eastAsia="sk-SK"/>
              </w:rPr>
            </w:pPr>
            <w:r w:rsidRPr="00A41344">
              <w:rPr>
                <w:rFonts w:ascii="Calibri" w:eastAsia="Times New Roman" w:hAnsi="Calibri" w:cs="Calibri"/>
                <w:sz w:val="20"/>
                <w:szCs w:val="20"/>
                <w:lang w:eastAsia="sk-SK"/>
              </w:rPr>
              <w:t>103,92</w:t>
            </w:r>
            <w:r w:rsidRPr="00A41344">
              <w:rPr>
                <w:rFonts w:ascii="Calibri" w:eastAsia="Times New Roman" w:hAnsi="Calibri" w:cs="Calibri"/>
                <w:sz w:val="24"/>
                <w:szCs w:val="24"/>
                <w:lang w:eastAsia="sk-SK"/>
              </w:rPr>
              <w:t xml:space="preserve"> </w:t>
            </w:r>
          </w:p>
        </w:tc>
      </w:tr>
    </w:tbl>
    <w:p w14:paraId="1E209854" w14:textId="77777777" w:rsidR="00A41344" w:rsidRPr="00A41344" w:rsidRDefault="00A41344" w:rsidP="00A41344">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0"/>
        <w:gridCol w:w="1826"/>
        <w:gridCol w:w="2043"/>
        <w:gridCol w:w="2128"/>
        <w:gridCol w:w="2143"/>
      </w:tblGrid>
      <w:tr w:rsidR="00A41344" w:rsidRPr="00A41344" w14:paraId="4E2809B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808057"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C881CA"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Riaditeľ zariadenia</w:t>
            </w:r>
          </w:p>
        </w:tc>
      </w:tr>
      <w:tr w:rsidR="00A41344" w:rsidRPr="00A41344" w14:paraId="7AA5154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095119"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791EF3"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Zabezpečiť divadelnú programovú ponuku</w:t>
            </w:r>
          </w:p>
        </w:tc>
      </w:tr>
      <w:tr w:rsidR="00A41344" w:rsidRPr="00A41344" w14:paraId="4E2965D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2E7686"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85C6D3"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Počet podaných projektov na dotačné/grantové výzvy na aktivity divadla LUDUS v rámci priestoru MS STU</w:t>
            </w:r>
          </w:p>
        </w:tc>
      </w:tr>
      <w:tr w:rsidR="00A41344" w:rsidRPr="00A41344" w14:paraId="44E568E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33E29C"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8952C9"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39DA3C"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761B3F"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0005A5"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7579A84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F63737"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B115E5"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A1AEA9"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 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B65346"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9</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A58203"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9</w:t>
            </w:r>
          </w:p>
        </w:tc>
      </w:tr>
      <w:tr w:rsidR="00A41344" w:rsidRPr="00A41344" w14:paraId="2CCB185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395095"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D54529"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Počet zrealizovaných nových foriem práce s verejnosťou/publikom mimo lektorských úvodov)</w:t>
            </w:r>
          </w:p>
        </w:tc>
      </w:tr>
      <w:tr w:rsidR="00A41344" w:rsidRPr="00A41344" w14:paraId="4F6EA35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72021A"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C744E8"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AB7198"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318A9E"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9FA44A"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3DB84D7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7E29FC"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1D8469"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6D7E26"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 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8D2EA7"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439502"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50</w:t>
            </w:r>
          </w:p>
        </w:tc>
      </w:tr>
      <w:tr w:rsidR="00A41344" w:rsidRPr="00A41344" w14:paraId="4FBFA97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816D21"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447816"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xml:space="preserve">Počet predstavení – zájazdy tuzemské, zahraničné (účasť na festivaloch) </w:t>
            </w:r>
          </w:p>
        </w:tc>
      </w:tr>
      <w:tr w:rsidR="00A41344" w:rsidRPr="00A41344" w14:paraId="5566782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D4893B"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A157DB"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B4219C"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7A2839"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6608A5"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626B978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1D7F89"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B28A28"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6ADCC6"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A47344"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E6E1A8"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5</w:t>
            </w:r>
          </w:p>
        </w:tc>
      </w:tr>
      <w:tr w:rsidR="00A41344" w:rsidRPr="00A41344" w14:paraId="37A1CEE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A0603E"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991AB1"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Počet zrealizovaných nových titulov</w:t>
            </w:r>
          </w:p>
        </w:tc>
      </w:tr>
      <w:tr w:rsidR="00A41344" w:rsidRPr="00A41344" w14:paraId="33DBF10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8BE64F"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lastRenderedPageBreak/>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0F55D7"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5CFD96"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792D4C"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CB933B"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05EEF62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B9CADF"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A88B20"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EE3AB7"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4F747E"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34E2D6"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2</w:t>
            </w:r>
          </w:p>
        </w:tc>
      </w:tr>
      <w:tr w:rsidR="00A41344" w:rsidRPr="00A41344" w14:paraId="1E9B35B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65D171"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20BA63"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Počet vlastných divadelných predstavení v priestoroch MS STU</w:t>
            </w:r>
          </w:p>
        </w:tc>
      </w:tr>
      <w:tr w:rsidR="00A41344" w:rsidRPr="00A41344" w14:paraId="3E6CFC7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698254"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B9B538"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6A03FB"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277778"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1F14C8"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7C34958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1F64AF"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667188"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1E2DDF"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D29814"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212FD4"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100</w:t>
            </w:r>
          </w:p>
        </w:tc>
      </w:tr>
      <w:tr w:rsidR="00A41344" w:rsidRPr="00A41344" w14:paraId="6AFA603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59611F"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EF8626"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Počet divadelných predstavení – zájazdy v regióne BSK</w:t>
            </w:r>
          </w:p>
        </w:tc>
      </w:tr>
      <w:tr w:rsidR="00A41344" w:rsidRPr="00A41344" w14:paraId="7D31204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4A9E03"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9CA631"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A07C1E"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C66E54"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8367C7"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0CF77D6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AFF53E"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60473B"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997800"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 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9D8279"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A33A12"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25</w:t>
            </w:r>
          </w:p>
        </w:tc>
      </w:tr>
      <w:tr w:rsidR="00A41344" w:rsidRPr="00A41344" w14:paraId="7588424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D92F9D1"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5A868424"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Počet návštevníkov vlastných predstavení</w:t>
            </w:r>
          </w:p>
        </w:tc>
      </w:tr>
      <w:tr w:rsidR="00A41344" w:rsidRPr="00A41344" w14:paraId="1DD4A83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7637889"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E13D20D"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96DEBA1"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8F54E16"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5C19095"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7E536BE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2469BE8"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9D7B6CC"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38C8DB3"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13 000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224D17D"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13 000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9856A80"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13 000</w:t>
            </w:r>
          </w:p>
        </w:tc>
      </w:tr>
      <w:tr w:rsidR="00A41344" w:rsidRPr="00A41344" w14:paraId="7090B4F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15FF1C8"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38CB7693"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Počet návštevníkov predstavení – zájazdy v regióne BSK</w:t>
            </w:r>
          </w:p>
        </w:tc>
      </w:tr>
      <w:tr w:rsidR="00A41344" w:rsidRPr="00A41344" w14:paraId="22A6D19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A7BB0E9"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63ECF9B"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2AF5BFA"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C686A98"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CCE552F"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5D6DE46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4C3DF80"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9623A8C"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6 000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86CC8E0"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b/>
                <w:bCs/>
                <w:sz w:val="24"/>
                <w:szCs w:val="24"/>
                <w:lang w:eastAsia="sk-SK"/>
              </w:rPr>
              <w:t> 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063262C"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6BC35EE"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2 000</w:t>
            </w:r>
          </w:p>
        </w:tc>
      </w:tr>
      <w:tr w:rsidR="00A41344" w:rsidRPr="00A41344" w14:paraId="7EA3424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BDFD6F9"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3546F7F5"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Počet zrealizovaných nových titulov zabezpečených spolupracujúcim subjektom (v pozícii produkčnej)</w:t>
            </w:r>
          </w:p>
        </w:tc>
      </w:tr>
      <w:tr w:rsidR="00A41344" w:rsidRPr="00A41344" w14:paraId="1E0B5F1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8317FB1"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DFC9F9C"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F841C9B" w14:textId="77777777" w:rsidR="00A41344" w:rsidRPr="00A41344" w:rsidRDefault="00A41344" w:rsidP="00A41344">
            <w:pPr>
              <w:spacing w:after="0" w:line="240" w:lineRule="auto"/>
              <w:jc w:val="center"/>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A4A46BD"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E88B819"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34050A6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54BBE30"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5CC0032"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E303FF3" w14:textId="77777777" w:rsidR="00A41344" w:rsidRPr="00A41344" w:rsidRDefault="00A41344" w:rsidP="00A41344">
            <w:pPr>
              <w:spacing w:after="0" w:line="240" w:lineRule="auto"/>
              <w:jc w:val="center"/>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C12398C"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2369BD4"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2</w:t>
            </w:r>
          </w:p>
        </w:tc>
      </w:tr>
      <w:tr w:rsidR="00A41344" w:rsidRPr="00A41344" w14:paraId="6C2D562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06CEAF5"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2D7E952B"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xml:space="preserve">Počet predstavení spolupracujúcich subjektov (iné divadlá, </w:t>
            </w:r>
            <w:proofErr w:type="spellStart"/>
            <w:r w:rsidRPr="00A41344">
              <w:rPr>
                <w:rFonts w:ascii="Calibri" w:eastAsia="Times New Roman" w:hAnsi="Calibri" w:cs="Calibri"/>
                <w:sz w:val="24"/>
                <w:szCs w:val="24"/>
                <w:lang w:eastAsia="sk-SK"/>
              </w:rPr>
              <w:t>o.z</w:t>
            </w:r>
            <w:proofErr w:type="spellEnd"/>
            <w:r w:rsidRPr="00A41344">
              <w:rPr>
                <w:rFonts w:ascii="Calibri" w:eastAsia="Times New Roman" w:hAnsi="Calibri" w:cs="Calibri"/>
                <w:sz w:val="24"/>
                <w:szCs w:val="24"/>
                <w:lang w:eastAsia="sk-SK"/>
              </w:rPr>
              <w:t>. a divadelné spoločnosti)</w:t>
            </w:r>
          </w:p>
        </w:tc>
      </w:tr>
      <w:tr w:rsidR="00A41344" w:rsidRPr="00A41344" w14:paraId="3F88D1B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24E2315"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AA4901B"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6392D7C" w14:textId="77777777" w:rsidR="00A41344" w:rsidRPr="00A41344" w:rsidRDefault="00A41344" w:rsidP="00A41344">
            <w:pPr>
              <w:spacing w:after="0" w:line="240" w:lineRule="auto"/>
              <w:jc w:val="center"/>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A92A112"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63A2421"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5D86D81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EE331FF"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D020AE1"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26854B3" w14:textId="77777777" w:rsidR="00A41344" w:rsidRPr="00A41344" w:rsidRDefault="00A41344" w:rsidP="00A41344">
            <w:pPr>
              <w:spacing w:after="0" w:line="240" w:lineRule="auto"/>
              <w:jc w:val="center"/>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7860D59"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CBB039F"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40</w:t>
            </w:r>
          </w:p>
        </w:tc>
      </w:tr>
      <w:tr w:rsidR="00A41344" w:rsidRPr="00A41344" w14:paraId="7E1D413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91C7812"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7437073A"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Počet koncepčných materiálov</w:t>
            </w:r>
          </w:p>
        </w:tc>
      </w:tr>
      <w:tr w:rsidR="00A41344" w:rsidRPr="00A41344" w14:paraId="60656F8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35BD2A4"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4ACBA91"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17E101C" w14:textId="77777777" w:rsidR="00A41344" w:rsidRPr="00A41344" w:rsidRDefault="00A41344" w:rsidP="00A41344">
            <w:pPr>
              <w:spacing w:after="0" w:line="240" w:lineRule="auto"/>
              <w:jc w:val="center"/>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C3CEE4B"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88E9136"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3C89B0F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E755123"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5B6682E"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1C79CF5" w14:textId="77777777" w:rsidR="00A41344" w:rsidRPr="00A41344" w:rsidRDefault="00A41344" w:rsidP="00A41344">
            <w:pPr>
              <w:spacing w:after="0" w:line="240" w:lineRule="auto"/>
              <w:jc w:val="center"/>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1DD1A3B"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A43F7E4"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2</w:t>
            </w:r>
          </w:p>
        </w:tc>
      </w:tr>
      <w:tr w:rsidR="00A41344" w:rsidRPr="00A41344" w14:paraId="589026A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9578526"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7D9BAEDC"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Počet kultúrno-spoločenských podujatí</w:t>
            </w:r>
          </w:p>
        </w:tc>
      </w:tr>
      <w:tr w:rsidR="00A41344" w:rsidRPr="00A41344" w14:paraId="224CBCD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D26E04E"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777E6CE"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DDE37D6" w14:textId="77777777" w:rsidR="00A41344" w:rsidRPr="00A41344" w:rsidRDefault="00A41344" w:rsidP="00A41344">
            <w:pPr>
              <w:spacing w:after="0" w:line="240" w:lineRule="auto"/>
              <w:jc w:val="center"/>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1110621"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524DD5A"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5777F92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4F50A06"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78E6F6E"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E55B47D" w14:textId="77777777" w:rsidR="00A41344" w:rsidRPr="00A41344" w:rsidRDefault="00A41344" w:rsidP="00A41344">
            <w:pPr>
              <w:spacing w:after="0" w:line="240" w:lineRule="auto"/>
              <w:jc w:val="center"/>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8F9FE0C"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993D5A6"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 5</w:t>
            </w:r>
          </w:p>
        </w:tc>
      </w:tr>
      <w:tr w:rsidR="00A41344" w:rsidRPr="00A41344" w14:paraId="22E36F4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309D26D4"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tcPr>
          <w:p w14:paraId="17E76391" w14:textId="77777777" w:rsidR="00A41344" w:rsidRPr="00A41344" w:rsidRDefault="00A41344" w:rsidP="00A41344">
            <w:pPr>
              <w:spacing w:after="0" w:line="240" w:lineRule="auto"/>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Počet výstavných projektov v priestoroch MS STU</w:t>
            </w:r>
          </w:p>
        </w:tc>
      </w:tr>
      <w:tr w:rsidR="00A41344" w:rsidRPr="00A41344" w14:paraId="4DB257F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0A306962"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E479ABB"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1C07F8BD" w14:textId="77777777" w:rsidR="00A41344" w:rsidRPr="00A41344" w:rsidRDefault="00A41344" w:rsidP="00A41344">
            <w:pPr>
              <w:spacing w:after="0" w:line="240" w:lineRule="auto"/>
              <w:jc w:val="center"/>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8DE276D"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7D9B6659"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2027</w:t>
            </w:r>
          </w:p>
        </w:tc>
      </w:tr>
      <w:tr w:rsidR="00A41344" w:rsidRPr="00A41344" w14:paraId="1DE3529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DE4C33E" w14:textId="77777777" w:rsidR="00A41344" w:rsidRPr="00A41344" w:rsidRDefault="00A41344" w:rsidP="00A41344">
            <w:pPr>
              <w:spacing w:after="0" w:line="240" w:lineRule="auto"/>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5C2303AE"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4651021A" w14:textId="77777777" w:rsidR="00A41344" w:rsidRPr="00A41344" w:rsidRDefault="00A41344" w:rsidP="00A41344">
            <w:pPr>
              <w:spacing w:after="0" w:line="240" w:lineRule="auto"/>
              <w:jc w:val="center"/>
              <w:rPr>
                <w:rFonts w:ascii="Calibri" w:eastAsia="Times New Roman" w:hAnsi="Calibri" w:cs="Calibri"/>
                <w:b/>
                <w:bCs/>
                <w:sz w:val="24"/>
                <w:szCs w:val="24"/>
                <w:lang w:eastAsia="sk-SK"/>
              </w:rPr>
            </w:pPr>
            <w:r w:rsidRPr="00A41344">
              <w:rPr>
                <w:rFonts w:ascii="Calibri" w:eastAsia="Times New Roman" w:hAnsi="Calibri" w:cs="Calibri"/>
                <w:b/>
                <w:bCs/>
                <w:sz w:val="24"/>
                <w:szCs w:val="24"/>
                <w:lang w:eastAsia="sk-SK"/>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2CCA7BC2"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tcPr>
          <w:p w14:paraId="6EFA92EC" w14:textId="77777777" w:rsidR="00A41344" w:rsidRPr="00A41344" w:rsidRDefault="00A41344" w:rsidP="00A41344">
            <w:pPr>
              <w:spacing w:after="0" w:line="240" w:lineRule="auto"/>
              <w:jc w:val="center"/>
              <w:rPr>
                <w:rFonts w:ascii="Calibri" w:eastAsia="Times New Roman" w:hAnsi="Calibri" w:cs="Calibri"/>
                <w:sz w:val="24"/>
                <w:szCs w:val="24"/>
                <w:lang w:eastAsia="sk-SK"/>
              </w:rPr>
            </w:pPr>
            <w:r w:rsidRPr="00A41344">
              <w:rPr>
                <w:rFonts w:ascii="Calibri" w:eastAsia="Times New Roman" w:hAnsi="Calibri" w:cs="Calibri"/>
                <w:sz w:val="24"/>
                <w:szCs w:val="24"/>
                <w:lang w:eastAsia="sk-SK"/>
              </w:rPr>
              <w:t>3</w:t>
            </w:r>
          </w:p>
        </w:tc>
      </w:tr>
    </w:tbl>
    <w:p w14:paraId="46762BC1" w14:textId="24877157" w:rsidR="005C26D1" w:rsidRDefault="00A41344" w:rsidP="001B5DF0">
      <w:pPr>
        <w:spacing w:before="120" w:after="0" w:line="240" w:lineRule="auto"/>
        <w:jc w:val="both"/>
        <w:rPr>
          <w:rFonts w:eastAsiaTheme="minorEastAsia" w:cstheme="minorHAnsi"/>
          <w:sz w:val="24"/>
          <w:szCs w:val="24"/>
          <w:lang w:eastAsia="sk-SK"/>
        </w:rPr>
      </w:pPr>
      <w:r w:rsidRPr="00A41344">
        <w:rPr>
          <w:rFonts w:ascii="Calibri" w:eastAsia="Times New Roman" w:hAnsi="Calibri" w:cs="Calibri"/>
          <w:b/>
          <w:bCs/>
          <w:sz w:val="24"/>
          <w:szCs w:val="24"/>
          <w:lang w:eastAsia="sk-SK"/>
        </w:rPr>
        <w:t xml:space="preserve">Komentár: </w:t>
      </w:r>
      <w:r w:rsidRPr="00A41344">
        <w:rPr>
          <w:rFonts w:ascii="Calibri" w:eastAsia="Times New Roman" w:hAnsi="Calibri" w:cs="Calibri"/>
          <w:sz w:val="24"/>
          <w:szCs w:val="24"/>
          <w:lang w:eastAsia="sk-SK"/>
        </w:rPr>
        <w:t>Divadlo LUDUS v súlade s požiadavkami zriaďovateľa Bratislavského samosprávneho kraja, prešlo postupnou transformáciou, vyplývajúcou z nastavených merateľných ukazovateľov. Tieto sa týkajú obsahu tvorby, dramaturgie divadla, zamerania sa na divácku skupinu – najmä stredoškolskú a vysokoškolskú mládež. Prostredníctvom nich rozšírilo Divadlo LUDUS svoju ponuku o vzdelávacie programy pre svoju cieľovú skupinu, začalo aktívne cestovať so svojimi predstaveniami do celého regiónu BSK. V júli 2024 Divadlo LUDUS získalo nový priestor, čo má priaznivý vplyv na divadelnú sezónu 2024/2025. Presťahovalo sa do objektu Malej scény STU na základe dlhodobého prenájmu objektu medzi BSK a STU, čo si vyžiada aj zmenu organizačnej štruktúry. Pre nový objekt vytvorilo požiadavku na verejné obstarávanie zákazky na svetelnú a zvukovú techniku.</w:t>
      </w:r>
    </w:p>
    <w:p w14:paraId="32D02BF9" w14:textId="77777777" w:rsidR="00037B84" w:rsidRDefault="00037B84" w:rsidP="00427052">
      <w:pPr>
        <w:spacing w:after="0" w:line="240" w:lineRule="auto"/>
        <w:jc w:val="both"/>
        <w:rPr>
          <w:rFonts w:eastAsiaTheme="minorEastAsia" w:cstheme="minorHAnsi"/>
          <w:sz w:val="24"/>
          <w:szCs w:val="24"/>
          <w:lang w:eastAsia="sk-SK"/>
        </w:rPr>
      </w:pPr>
    </w:p>
    <w:p w14:paraId="058588C0" w14:textId="77777777" w:rsidR="00427052" w:rsidRPr="00427052" w:rsidRDefault="00427052" w:rsidP="00427052">
      <w:pPr>
        <w:spacing w:after="0" w:line="240" w:lineRule="auto"/>
        <w:rPr>
          <w:rFonts w:eastAsiaTheme="minorEastAsia" w:cstheme="minorHAnsi"/>
          <w:vanish/>
          <w:sz w:val="24"/>
          <w:szCs w:val="24"/>
          <w:lang w:eastAsia="sk-SK"/>
        </w:rPr>
      </w:pPr>
    </w:p>
    <w:p w14:paraId="1CCD5EA5" w14:textId="77777777" w:rsidR="00427052" w:rsidRPr="00427052" w:rsidRDefault="00427052" w:rsidP="005C26D1">
      <w:pPr>
        <w:spacing w:before="120" w:after="120" w:line="240" w:lineRule="auto"/>
        <w:jc w:val="both"/>
        <w:outlineLvl w:val="2"/>
        <w:rPr>
          <w:rFonts w:eastAsia="Times New Roman" w:cstheme="minorHAnsi"/>
          <w:b/>
          <w:bCs/>
          <w:sz w:val="27"/>
          <w:szCs w:val="27"/>
          <w:lang w:eastAsia="sk-SK"/>
        </w:rPr>
      </w:pPr>
      <w:r w:rsidRPr="00427052">
        <w:rPr>
          <w:rFonts w:eastAsia="Times New Roman" w:cstheme="minorHAnsi"/>
          <w:b/>
          <w:bCs/>
          <w:color w:val="0000FF"/>
          <w:sz w:val="27"/>
          <w:szCs w:val="27"/>
          <w:lang w:eastAsia="sk-SK"/>
        </w:rPr>
        <w:t>Podprogram 10.4: Malokarpatské múzeum v Pezinku - príspevková organizácia</w:t>
      </w:r>
      <w:r w:rsidRPr="00427052">
        <w:rPr>
          <w:rFonts w:eastAsia="Times New Roman" w:cstheme="minorHAnsi"/>
          <w:b/>
          <w:bCs/>
          <w:sz w:val="27"/>
          <w:szCs w:val="27"/>
          <w:lang w:eastAsia="sk-SK"/>
        </w:rPr>
        <w:t xml:space="preserve"> </w:t>
      </w:r>
    </w:p>
    <w:p w14:paraId="0DB498BE" w14:textId="60C68EB2" w:rsidR="00427052" w:rsidRDefault="00427052" w:rsidP="005C26D1">
      <w:pPr>
        <w:spacing w:before="120" w:after="120" w:line="240" w:lineRule="auto"/>
        <w:jc w:val="both"/>
        <w:rPr>
          <w:rFonts w:eastAsiaTheme="minorEastAsia" w:cstheme="minorHAnsi"/>
          <w:sz w:val="24"/>
          <w:szCs w:val="24"/>
          <w:lang w:eastAsia="sk-SK"/>
        </w:rPr>
      </w:pPr>
      <w:r w:rsidRPr="00427052">
        <w:rPr>
          <w:rFonts w:eastAsiaTheme="minorEastAsia" w:cstheme="minorHAnsi"/>
          <w:b/>
          <w:bCs/>
          <w:sz w:val="24"/>
          <w:szCs w:val="24"/>
          <w:lang w:eastAsia="sk-SK"/>
        </w:rPr>
        <w:t xml:space="preserve">Zámer: </w:t>
      </w:r>
      <w:r w:rsidRPr="00427052">
        <w:rPr>
          <w:rFonts w:eastAsiaTheme="minorEastAsia" w:cstheme="minorHAnsi"/>
          <w:sz w:val="24"/>
          <w:szCs w:val="24"/>
          <w:lang w:eastAsia="sk-SK"/>
        </w:rPr>
        <w:t>Nadobúdať, ochraňovať a sprístupňovať predmety kultúrneho dedičstva v Bratislavskom samosprávnom kraji</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3"/>
        <w:gridCol w:w="2215"/>
        <w:gridCol w:w="1430"/>
        <w:gridCol w:w="1430"/>
        <w:gridCol w:w="649"/>
        <w:gridCol w:w="1430"/>
        <w:gridCol w:w="649"/>
        <w:gridCol w:w="1430"/>
        <w:gridCol w:w="664"/>
      </w:tblGrid>
      <w:tr w:rsidR="00772635" w:rsidRPr="00772635" w14:paraId="36A083B6" w14:textId="77777777" w:rsidTr="00D97E48">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996BB6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i/>
                <w:iCs/>
                <w:sz w:val="24"/>
                <w:szCs w:val="24"/>
                <w:lang w:eastAsia="sk-SK"/>
              </w:rPr>
              <w:t>Rozpočet v EUR</w:t>
            </w:r>
          </w:p>
        </w:tc>
      </w:tr>
      <w:tr w:rsidR="00772635" w:rsidRPr="00772635" w14:paraId="14CE676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6E9AB6B"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D61FA98"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2D7611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B3F72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1DB0E5"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818193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8CD6A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914C0C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C347DE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w:t>
            </w:r>
          </w:p>
        </w:tc>
      </w:tr>
      <w:tr w:rsidR="00772635" w:rsidRPr="00772635" w14:paraId="5862B2A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6095A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5A2853"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Výdavky celkom</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C9A6E8"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630 000,00</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14F950"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698 000,00</w:t>
            </w:r>
            <w:r w:rsidRPr="0077263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AD1C2B"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110,79</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1EA0F8"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765 000,00</w:t>
            </w:r>
            <w:r w:rsidRPr="0077263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1233F7"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109,60</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607DD3"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824 000,00</w:t>
            </w:r>
            <w:r w:rsidRPr="0077263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C7BB21"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107,71</w:t>
            </w:r>
            <w:r w:rsidRPr="00772635">
              <w:rPr>
                <w:rFonts w:ascii="Calibri" w:eastAsia="Times New Roman" w:hAnsi="Calibri" w:cs="Calibri"/>
                <w:sz w:val="24"/>
                <w:szCs w:val="24"/>
                <w:lang w:eastAsia="sk-SK"/>
              </w:rPr>
              <w:t xml:space="preserve"> </w:t>
            </w:r>
          </w:p>
        </w:tc>
      </w:tr>
      <w:tr w:rsidR="00772635" w:rsidRPr="00772635" w14:paraId="1D8201D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D6CD6C8"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600</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78AB3F"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Bežné výdavky</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4E5BA4"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630 000,00</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1E6E8E"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698 000,00</w:t>
            </w:r>
            <w:r w:rsidRPr="0077263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841E78"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110,79</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91B61E"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765 000,00</w:t>
            </w:r>
            <w:r w:rsidRPr="0077263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044C2D"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109,60</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EB4BCB"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824 000,00</w:t>
            </w:r>
            <w:r w:rsidRPr="0077263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C75E86"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b/>
                <w:bCs/>
                <w:sz w:val="20"/>
                <w:szCs w:val="20"/>
                <w:lang w:eastAsia="sk-SK"/>
              </w:rPr>
              <w:t>107,71</w:t>
            </w:r>
            <w:r w:rsidRPr="00772635">
              <w:rPr>
                <w:rFonts w:ascii="Calibri" w:eastAsia="Times New Roman" w:hAnsi="Calibri" w:cs="Calibri"/>
                <w:sz w:val="24"/>
                <w:szCs w:val="24"/>
                <w:lang w:eastAsia="sk-SK"/>
              </w:rPr>
              <w:t xml:space="preserve"> </w:t>
            </w:r>
          </w:p>
        </w:tc>
      </w:tr>
      <w:tr w:rsidR="00772635" w:rsidRPr="00772635" w14:paraId="60BBE41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8E4431"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0"/>
                <w:szCs w:val="20"/>
                <w:lang w:eastAsia="sk-SK"/>
              </w:rPr>
              <w:t>640</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DADB87"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0"/>
                <w:szCs w:val="20"/>
                <w:lang w:eastAsia="sk-SK"/>
              </w:rPr>
              <w:t>Bežné transfery</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2487B5"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sz w:val="20"/>
                <w:szCs w:val="20"/>
                <w:lang w:eastAsia="sk-SK"/>
              </w:rPr>
              <w:t>630 000,00</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771766"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sz w:val="20"/>
                <w:szCs w:val="20"/>
                <w:lang w:eastAsia="sk-SK"/>
              </w:rPr>
              <w:t>698 000,00</w:t>
            </w:r>
            <w:r w:rsidRPr="0077263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1C98C95"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sz w:val="20"/>
                <w:szCs w:val="20"/>
                <w:lang w:eastAsia="sk-SK"/>
              </w:rPr>
              <w:t>110,79</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22F284"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sz w:val="20"/>
                <w:szCs w:val="20"/>
                <w:lang w:eastAsia="sk-SK"/>
              </w:rPr>
              <w:t>765 000,00</w:t>
            </w:r>
            <w:r w:rsidRPr="0077263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3BE893F"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sz w:val="20"/>
                <w:szCs w:val="20"/>
                <w:lang w:eastAsia="sk-SK"/>
              </w:rPr>
              <w:t>109,60</w:t>
            </w:r>
            <w:r w:rsidRPr="0077263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A417D1"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sz w:val="20"/>
                <w:szCs w:val="20"/>
                <w:lang w:eastAsia="sk-SK"/>
              </w:rPr>
              <w:t>824 000,00</w:t>
            </w:r>
            <w:r w:rsidRPr="0077263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5329646" w14:textId="77777777" w:rsidR="00772635" w:rsidRPr="00772635" w:rsidRDefault="00772635" w:rsidP="00772635">
            <w:pPr>
              <w:spacing w:after="0" w:line="240" w:lineRule="auto"/>
              <w:jc w:val="right"/>
              <w:rPr>
                <w:rFonts w:ascii="Calibri" w:eastAsia="Times New Roman" w:hAnsi="Calibri" w:cs="Calibri"/>
                <w:sz w:val="24"/>
                <w:szCs w:val="24"/>
                <w:lang w:eastAsia="sk-SK"/>
              </w:rPr>
            </w:pPr>
            <w:r w:rsidRPr="00772635">
              <w:rPr>
                <w:rFonts w:ascii="Calibri" w:eastAsia="Times New Roman" w:hAnsi="Calibri" w:cs="Calibri"/>
                <w:sz w:val="20"/>
                <w:szCs w:val="20"/>
                <w:lang w:eastAsia="sk-SK"/>
              </w:rPr>
              <w:t>107,71</w:t>
            </w:r>
            <w:r w:rsidRPr="00772635">
              <w:rPr>
                <w:rFonts w:ascii="Calibri" w:eastAsia="Times New Roman" w:hAnsi="Calibri" w:cs="Calibri"/>
                <w:sz w:val="24"/>
                <w:szCs w:val="24"/>
                <w:lang w:eastAsia="sk-SK"/>
              </w:rPr>
              <w:t xml:space="preserve"> </w:t>
            </w:r>
          </w:p>
        </w:tc>
      </w:tr>
    </w:tbl>
    <w:p w14:paraId="232AB022" w14:textId="77777777" w:rsidR="00772635" w:rsidRPr="00772635" w:rsidRDefault="00772635" w:rsidP="00772635">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31"/>
        <w:gridCol w:w="2031"/>
        <w:gridCol w:w="2031"/>
        <w:gridCol w:w="2046"/>
      </w:tblGrid>
      <w:tr w:rsidR="00772635" w:rsidRPr="00772635" w14:paraId="1002C21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B3D767"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5B5619"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Riaditeľ zariadenia</w:t>
            </w:r>
          </w:p>
        </w:tc>
      </w:tr>
      <w:tr w:rsidR="00772635" w:rsidRPr="00772635" w14:paraId="7DC8B5D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DCD15C"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588A91"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Sprístupniť verejnosti kultúrne hodnoty vytvorené na území regiónu a prispievať k ochrane kultúrneho dedičstva v Bratislavskom samosprávnom kraji.</w:t>
            </w:r>
          </w:p>
        </w:tc>
      </w:tr>
      <w:tr w:rsidR="00772635" w:rsidRPr="00772635" w14:paraId="1ACFFA3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F4D8CB"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2D9593"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všetkých návštevníkov múzea</w:t>
            </w:r>
          </w:p>
        </w:tc>
      </w:tr>
      <w:tr w:rsidR="00772635" w:rsidRPr="00772635" w14:paraId="6C7F4FC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BF4409"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A1D34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32311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9310D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F9996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679D341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2437DE"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8030DD"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8 000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DF79C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8 000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50C6C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8 500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E68C3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8 500</w:t>
            </w:r>
          </w:p>
        </w:tc>
      </w:tr>
      <w:tr w:rsidR="00772635" w:rsidRPr="00772635" w14:paraId="18FF57D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E3BBE9"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AC888C"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xml:space="preserve">Počet </w:t>
            </w:r>
            <w:proofErr w:type="spellStart"/>
            <w:r w:rsidRPr="00772635">
              <w:rPr>
                <w:rFonts w:ascii="Calibri" w:eastAsia="Times New Roman" w:hAnsi="Calibri" w:cs="Calibri"/>
                <w:sz w:val="24"/>
                <w:szCs w:val="24"/>
                <w:lang w:eastAsia="sk-SK"/>
              </w:rPr>
              <w:t>degustačných</w:t>
            </w:r>
            <w:proofErr w:type="spellEnd"/>
            <w:r w:rsidRPr="00772635">
              <w:rPr>
                <w:rFonts w:ascii="Calibri" w:eastAsia="Times New Roman" w:hAnsi="Calibri" w:cs="Calibri"/>
                <w:sz w:val="24"/>
                <w:szCs w:val="24"/>
                <w:lang w:eastAsia="sk-SK"/>
              </w:rPr>
              <w:t xml:space="preserve"> a vínnych podujatí</w:t>
            </w:r>
          </w:p>
        </w:tc>
      </w:tr>
      <w:tr w:rsidR="00772635" w:rsidRPr="00772635" w14:paraId="7ECE608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D901F6"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2CF8B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4E166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BDBD9D"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200E3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3DCB21B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5AAB68"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6E98D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E929D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45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F72BD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59D84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30</w:t>
            </w:r>
          </w:p>
        </w:tc>
      </w:tr>
      <w:tr w:rsidR="00772635" w:rsidRPr="00772635" w14:paraId="3AD8CEF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D84D7B"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213AC7"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výstupov vedeckej a výskumnej činnosti</w:t>
            </w:r>
          </w:p>
        </w:tc>
      </w:tr>
      <w:tr w:rsidR="00772635" w:rsidRPr="00772635" w14:paraId="00A6863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89B2ED"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A200F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0BFFE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64808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A4A04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1F19D79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77901A"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DFEEA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D493F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3D0F1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78030D"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20</w:t>
            </w:r>
          </w:p>
        </w:tc>
      </w:tr>
      <w:tr w:rsidR="00772635" w:rsidRPr="00772635" w14:paraId="6B750CF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6FF1AD"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975A6F"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konzervovaných zbierkových predmetov</w:t>
            </w:r>
          </w:p>
        </w:tc>
      </w:tr>
      <w:tr w:rsidR="00772635" w:rsidRPr="00772635" w14:paraId="5D50FD4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7F6C3A"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67905D"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1A087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C39E6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A1128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3758CEC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11F2D4"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9D548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C1A57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F6F82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9A526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30</w:t>
            </w:r>
          </w:p>
        </w:tc>
      </w:tr>
      <w:tr w:rsidR="00772635" w:rsidRPr="00772635" w14:paraId="707B576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0278F2"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E6BA07"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reštaurovaných zbierkových predmetov</w:t>
            </w:r>
          </w:p>
        </w:tc>
      </w:tr>
      <w:tr w:rsidR="00772635" w:rsidRPr="00772635" w14:paraId="1FEC10B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D5522D"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BE6C15"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450C0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EBAE2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840CCD"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6366996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4B196C"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1B1A4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CAF72B"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79185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A8AFA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6</w:t>
            </w:r>
          </w:p>
        </w:tc>
      </w:tr>
      <w:tr w:rsidR="00772635" w:rsidRPr="00772635" w14:paraId="64D20F0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176C5D"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A5203A"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nadobudnutých predmetov spolu</w:t>
            </w:r>
          </w:p>
        </w:tc>
      </w:tr>
      <w:tr w:rsidR="00772635" w:rsidRPr="00772635" w14:paraId="641F2F6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97AE6C"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0B637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F48EB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1420A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35919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3FF1D88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6ABC05"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BBBC5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3656F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41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B2FC0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41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7B582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41</w:t>
            </w:r>
          </w:p>
        </w:tc>
      </w:tr>
      <w:tr w:rsidR="00772635" w:rsidRPr="00772635" w14:paraId="1A7BAB8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0CF016"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63608B"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nadobudnutých zbierkových predmetov vlastným výskumom</w:t>
            </w:r>
          </w:p>
        </w:tc>
      </w:tr>
      <w:tr w:rsidR="00772635" w:rsidRPr="00772635" w14:paraId="21D48AE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71587B"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5C1DC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EE625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4036D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83D02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6736844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E0D48B"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46CD8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47D01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07F67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8674A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30</w:t>
            </w:r>
          </w:p>
        </w:tc>
      </w:tr>
      <w:tr w:rsidR="00772635" w:rsidRPr="00772635" w14:paraId="54290BD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7CC466"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875087"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nadobudnutých zbierkových predmetov kúpou</w:t>
            </w:r>
          </w:p>
        </w:tc>
      </w:tr>
      <w:tr w:rsidR="00772635" w:rsidRPr="00772635" w14:paraId="7E268EB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B8AEF8"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1D34D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80E04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295BF5"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B9C77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2879146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3E55B5"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6AB60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D60A0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4A8BB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DF1D7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6</w:t>
            </w:r>
          </w:p>
        </w:tc>
      </w:tr>
      <w:tr w:rsidR="00772635" w:rsidRPr="00772635" w14:paraId="03B4BE9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0F73AD"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D594A8"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nadobudnutých zbierkových predmetov darom</w:t>
            </w:r>
          </w:p>
        </w:tc>
      </w:tr>
      <w:tr w:rsidR="00772635" w:rsidRPr="00772635" w14:paraId="2DDFEEB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0033E5"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D3A2E5"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1D08B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E3AF3D"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C6ACC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3C21A95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D4DB50"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EE4BD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DFCD9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DF3F4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8C22D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5</w:t>
            </w:r>
          </w:p>
        </w:tc>
      </w:tr>
      <w:tr w:rsidR="00772635" w:rsidRPr="00772635" w14:paraId="7CC3FD6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692AAA"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lastRenderedPageBreak/>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96BC56"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nových prvkov expozície</w:t>
            </w:r>
          </w:p>
        </w:tc>
      </w:tr>
      <w:tr w:rsidR="00772635" w:rsidRPr="00772635" w14:paraId="26510A3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DCD07B"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36A89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EDB11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B0C21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11BB7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1AA7274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028960"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5CD8BB"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F341E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33BE5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1ADD4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w:t>
            </w:r>
          </w:p>
        </w:tc>
      </w:tr>
      <w:tr w:rsidR="00772635" w:rsidRPr="00772635" w14:paraId="571A4D7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99F99A"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094EA1"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zdigitalizovaných predmetov</w:t>
            </w:r>
          </w:p>
        </w:tc>
      </w:tr>
      <w:tr w:rsidR="00772635" w:rsidRPr="00772635" w14:paraId="75389A9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1B3D1B"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03EAFB"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5A858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C1B74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A0145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010FCEB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8F0539"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C8187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5FBFB5"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35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4A763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40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A618B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40</w:t>
            </w:r>
          </w:p>
        </w:tc>
      </w:tr>
      <w:tr w:rsidR="00772635" w:rsidRPr="00772635" w14:paraId="5BC1928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7959CE"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771732"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platiacich návštevníkov múzea</w:t>
            </w:r>
          </w:p>
        </w:tc>
      </w:tr>
      <w:tr w:rsidR="00772635" w:rsidRPr="00772635" w14:paraId="0EE39A3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205709"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B7BB0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8DDAD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1092D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DD1E6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6392527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A069E1"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0AA92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5 700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08949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6 000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3920A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6 000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A6583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6 000</w:t>
            </w:r>
          </w:p>
        </w:tc>
      </w:tr>
      <w:tr w:rsidR="00772635" w:rsidRPr="00772635" w14:paraId="0032EA7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72E3C4"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98C10C"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platiacich návštevníkov – deti a mládež 6 – 15</w:t>
            </w:r>
          </w:p>
        </w:tc>
      </w:tr>
      <w:tr w:rsidR="00772635" w:rsidRPr="00772635" w14:paraId="2CFC430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598982"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FD157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2E861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DC3D1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1F549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6BE644B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A3284C"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4DC885"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127925"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2 500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BE70B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F5C72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2 500</w:t>
            </w:r>
          </w:p>
        </w:tc>
      </w:tr>
      <w:tr w:rsidR="00772635" w:rsidRPr="00772635" w14:paraId="14456EA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E6EBA1"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EA86E2"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platiacich návštevníkov 16 – 26</w:t>
            </w:r>
          </w:p>
        </w:tc>
      </w:tr>
      <w:tr w:rsidR="00772635" w:rsidRPr="00772635" w14:paraId="5109DEB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B21139"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4B7F6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63D8D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82164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9CA24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5DD0BA3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B14442"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94598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800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3BDA8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1 000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3A496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1EB34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1 000</w:t>
            </w:r>
          </w:p>
        </w:tc>
      </w:tr>
      <w:tr w:rsidR="00772635" w:rsidRPr="00772635" w14:paraId="328863B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84500F"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0009E6"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platiacich návštevníkov 27 - 60</w:t>
            </w:r>
          </w:p>
        </w:tc>
      </w:tr>
      <w:tr w:rsidR="00772635" w:rsidRPr="00772635" w14:paraId="31095FB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6749CA"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86951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124A8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C104B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DEAFC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7A129CF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A90EAC"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A4C29D"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CACA9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4 000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CBD11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4 000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22047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4 000</w:t>
            </w:r>
          </w:p>
        </w:tc>
      </w:tr>
      <w:tr w:rsidR="00772635" w:rsidRPr="00772635" w14:paraId="7655688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1D08F3"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ED1BEE"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návštevníkov festivalu</w:t>
            </w:r>
          </w:p>
        </w:tc>
      </w:tr>
      <w:tr w:rsidR="00772635" w:rsidRPr="00772635" w14:paraId="583583A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96FE32"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A29C3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4F612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4E6B4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7694C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021B93F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08B22E"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A842A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113C55"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2 500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446FE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85E7D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2 500</w:t>
            </w:r>
          </w:p>
        </w:tc>
      </w:tr>
      <w:tr w:rsidR="00772635" w:rsidRPr="00772635" w14:paraId="0529675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0876C5"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C15011"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vzdelávacích podujatí / pre školy, verejnosť</w:t>
            </w:r>
          </w:p>
        </w:tc>
      </w:tr>
      <w:tr w:rsidR="00772635" w:rsidRPr="00772635" w14:paraId="20F3B05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6DE27A"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96177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0E41F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045FA5"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D5ED0B"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366C85A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C1B2CE"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F56C9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70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52C77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85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BA594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85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FFABB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85</w:t>
            </w:r>
          </w:p>
        </w:tc>
      </w:tr>
      <w:tr w:rsidR="00772635" w:rsidRPr="00772635" w14:paraId="3B19D28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4FDAD0"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8A4F88"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voľnočasových a komunitných podujatí pre rodiny</w:t>
            </w:r>
          </w:p>
        </w:tc>
      </w:tr>
      <w:tr w:rsidR="00772635" w:rsidRPr="00772635" w14:paraId="7638970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AE2868"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5113C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712FC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43E2C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5ED5A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2BBD9E2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06DC6E"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434F9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510F6D"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C98B9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FCBBCD"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10</w:t>
            </w:r>
          </w:p>
        </w:tc>
      </w:tr>
      <w:tr w:rsidR="00772635" w:rsidRPr="00772635" w14:paraId="089BE03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6959F2"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AC6497"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Festival/ pravidelné podujatia</w:t>
            </w:r>
          </w:p>
        </w:tc>
      </w:tr>
      <w:tr w:rsidR="00772635" w:rsidRPr="00772635" w14:paraId="1ED2BEA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F5F626"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F0EAE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710E6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42D89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7B074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309BA79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E9E02C"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49ABF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57BEA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392FC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E9F65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w:t>
            </w:r>
          </w:p>
        </w:tc>
      </w:tr>
      <w:tr w:rsidR="00772635" w:rsidRPr="00772635" w14:paraId="3252628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7A2D97"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33E7DA"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koncepčných materiálov</w:t>
            </w:r>
          </w:p>
        </w:tc>
      </w:tr>
      <w:tr w:rsidR="00772635" w:rsidRPr="00772635" w14:paraId="66FD2D5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9B7239"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79B49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130F4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3DF6A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2B3E2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70619A2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C08EFD"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3A3E7B"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7B9B7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09346D"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2CF28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w:t>
            </w:r>
          </w:p>
        </w:tc>
      </w:tr>
      <w:tr w:rsidR="00772635" w:rsidRPr="00772635" w14:paraId="1B6B33F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62E9E2"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B373B8"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xml:space="preserve">Počet podaných projektov </w:t>
            </w:r>
          </w:p>
        </w:tc>
      </w:tr>
      <w:tr w:rsidR="00772635" w:rsidRPr="00772635" w14:paraId="30D3953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B611BA"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D2FBD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1436E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8B26EA"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60C78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687F734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10D6B2"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09317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BBBB6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1082E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7BC69E"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6</w:t>
            </w:r>
          </w:p>
        </w:tc>
      </w:tr>
      <w:tr w:rsidR="00772635" w:rsidRPr="00772635" w14:paraId="1BC9089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76BA31"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D1E19C"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platiacich návštevníkov múzea vo vekovej kategórii 65+</w:t>
            </w:r>
          </w:p>
        </w:tc>
      </w:tr>
      <w:tr w:rsidR="00772635" w:rsidRPr="00772635" w14:paraId="7BC4740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5B90DB"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D0C8AB"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AF414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68360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EE9B3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37606D0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A4FAFA"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lastRenderedPageBreak/>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3D242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400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A0FC7B"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02CE62"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B434F5"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500</w:t>
            </w:r>
          </w:p>
        </w:tc>
      </w:tr>
      <w:tr w:rsidR="00772635" w:rsidRPr="00772635" w14:paraId="5D5FAEB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446198"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60BDD7"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hromadných návštevníkov múzea</w:t>
            </w:r>
          </w:p>
        </w:tc>
      </w:tr>
      <w:tr w:rsidR="00772635" w:rsidRPr="00772635" w14:paraId="2B9490B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BF1CAB"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BB92B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F7E14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8A2B2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A5254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21A6842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8016CA"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F7359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CF1B5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4 500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590219"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4 500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B2279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4 500</w:t>
            </w:r>
          </w:p>
        </w:tc>
      </w:tr>
      <w:tr w:rsidR="00772635" w:rsidRPr="00772635" w14:paraId="11A0B21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28CF5F"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A82503"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individuálnych návštevníkov múzea</w:t>
            </w:r>
          </w:p>
        </w:tc>
      </w:tr>
      <w:tr w:rsidR="00772635" w:rsidRPr="00772635" w14:paraId="5CB13BF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DCF991"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5F0805"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C3613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7533B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4D473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2959A0A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55E3F9"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17833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13062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3 500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DF6F7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C400A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3 500</w:t>
            </w:r>
          </w:p>
        </w:tc>
      </w:tr>
      <w:tr w:rsidR="00772635" w:rsidRPr="00772635" w14:paraId="73C5AB6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759B28"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CE41F9"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podujatí</w:t>
            </w:r>
          </w:p>
        </w:tc>
      </w:tr>
      <w:tr w:rsidR="00772635" w:rsidRPr="00772635" w14:paraId="18E0322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4E3065"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A3445F"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82B466"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4F81C3"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31E9B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5F20C6F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F15038"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9F61D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7850F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145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C5E201"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145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7BF98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145</w:t>
            </w:r>
          </w:p>
        </w:tc>
      </w:tr>
      <w:tr w:rsidR="00772635" w:rsidRPr="00772635" w14:paraId="374EA60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7D2B87"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FB85F3"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Počet výstav</w:t>
            </w:r>
          </w:p>
        </w:tc>
      </w:tr>
      <w:tr w:rsidR="00772635" w:rsidRPr="00772635" w14:paraId="511C6ED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451457"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2A42B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4E630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393FBC"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4EDA6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2027</w:t>
            </w:r>
          </w:p>
        </w:tc>
      </w:tr>
      <w:tr w:rsidR="00772635" w:rsidRPr="00772635" w14:paraId="00CDE84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D5F3E5" w14:textId="77777777" w:rsidR="00772635" w:rsidRPr="00772635" w:rsidRDefault="00772635" w:rsidP="00772635">
            <w:pPr>
              <w:spacing w:after="0" w:line="240" w:lineRule="auto"/>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FA6958"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A7FD94"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B801D7"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2B5E50" w14:textId="77777777" w:rsidR="00772635" w:rsidRPr="00772635" w:rsidRDefault="00772635" w:rsidP="00772635">
            <w:pPr>
              <w:spacing w:after="0" w:line="240" w:lineRule="auto"/>
              <w:jc w:val="center"/>
              <w:rPr>
                <w:rFonts w:ascii="Calibri" w:eastAsia="Times New Roman" w:hAnsi="Calibri" w:cs="Calibri"/>
                <w:sz w:val="24"/>
                <w:szCs w:val="24"/>
                <w:lang w:eastAsia="sk-SK"/>
              </w:rPr>
            </w:pPr>
            <w:r w:rsidRPr="00772635">
              <w:rPr>
                <w:rFonts w:ascii="Calibri" w:eastAsia="Times New Roman" w:hAnsi="Calibri" w:cs="Calibri"/>
                <w:sz w:val="24"/>
                <w:szCs w:val="24"/>
                <w:lang w:eastAsia="sk-SK"/>
              </w:rPr>
              <w:t> 3</w:t>
            </w:r>
          </w:p>
        </w:tc>
      </w:tr>
    </w:tbl>
    <w:p w14:paraId="143959B6" w14:textId="77777777" w:rsidR="00772635" w:rsidRDefault="00772635" w:rsidP="00772635">
      <w:pPr>
        <w:spacing w:after="0" w:line="240" w:lineRule="auto"/>
        <w:jc w:val="both"/>
        <w:rPr>
          <w:rFonts w:ascii="Calibri" w:eastAsia="Times New Roman" w:hAnsi="Calibri" w:cs="Calibri"/>
          <w:b/>
          <w:bCs/>
          <w:sz w:val="24"/>
          <w:szCs w:val="24"/>
          <w:lang w:eastAsia="sk-SK"/>
        </w:rPr>
      </w:pPr>
    </w:p>
    <w:p w14:paraId="76557F27" w14:textId="570920BA" w:rsidR="00772635" w:rsidRPr="00772635" w:rsidRDefault="00772635" w:rsidP="00772635">
      <w:pPr>
        <w:spacing w:after="0" w:line="240" w:lineRule="auto"/>
        <w:jc w:val="both"/>
        <w:rPr>
          <w:rFonts w:ascii="Calibri" w:eastAsia="Times New Roman" w:hAnsi="Calibri" w:cs="Calibri"/>
          <w:sz w:val="24"/>
          <w:szCs w:val="24"/>
          <w:lang w:eastAsia="sk-SK"/>
        </w:rPr>
      </w:pPr>
      <w:r w:rsidRPr="00772635">
        <w:rPr>
          <w:rFonts w:ascii="Calibri" w:eastAsia="Times New Roman" w:hAnsi="Calibri" w:cs="Calibri"/>
          <w:b/>
          <w:bCs/>
          <w:sz w:val="24"/>
          <w:szCs w:val="24"/>
          <w:lang w:eastAsia="sk-SK"/>
        </w:rPr>
        <w:t xml:space="preserve">Komentár: </w:t>
      </w:r>
      <w:r w:rsidRPr="00772635">
        <w:rPr>
          <w:rFonts w:ascii="Calibri" w:eastAsia="Times New Roman" w:hAnsi="Calibri" w:cs="Calibri"/>
          <w:sz w:val="24"/>
          <w:szCs w:val="24"/>
          <w:lang w:eastAsia="sk-SK"/>
        </w:rPr>
        <w:t xml:space="preserve">Malokarpatské múzeum v Pezinku sa aktívne snaží napĺňať svoju víziu atraktívnej prezentácie našich dejín a kultúry, primárne v prostredí regiónu Malých Karpát. Múzeum mapuje malokarpatskú vinohradnícku tradíciu a prevádzkuje detašované pracoviská vo Sv. </w:t>
      </w:r>
      <w:proofErr w:type="spellStart"/>
      <w:r w:rsidRPr="00772635">
        <w:rPr>
          <w:rFonts w:ascii="Calibri" w:eastAsia="Times New Roman" w:hAnsi="Calibri" w:cs="Calibri"/>
          <w:sz w:val="24"/>
          <w:szCs w:val="24"/>
          <w:lang w:eastAsia="sk-SK"/>
        </w:rPr>
        <w:t>Juri</w:t>
      </w:r>
      <w:proofErr w:type="spellEnd"/>
      <w:r w:rsidRPr="00772635">
        <w:rPr>
          <w:rFonts w:ascii="Calibri" w:eastAsia="Times New Roman" w:hAnsi="Calibri" w:cs="Calibri"/>
          <w:sz w:val="24"/>
          <w:szCs w:val="24"/>
          <w:lang w:eastAsia="sk-SK"/>
        </w:rPr>
        <w:t>. Múzeum organizuje tematické výstavy a sprievodné podujatia zamerané na zatraktívnenie svojej ponuky. Hlavnými úlohami Malokarpatského múzea je nadobúdanie, odborné spravovanie a prezentovanie predmetov muzeálnej hodnoty. Múzeum vlastní a spravuje najväčšiu zbierku historických vínnych lisov v Európe. Modernizácia expozície o nové prvky prispieva každoročne k pútavým a zážitkovým spôsobom oslovenia návštevníka. Netradičnou formou oboznamuje s príbehmi zbierkových predmetov a približuje kultúrne dedičstvo regiónu. Svojimi rôznorodými aktivitami, zameranými na viaceré cieľové skupiny, dáva možnosť alternatívy kvalitného trávenia voľného času. Obzvlášť jeho vzdelávacie programy pre materské a základné školy sú vyhľadávané nielen v regionálnom rámci.</w:t>
      </w:r>
      <w:r>
        <w:rPr>
          <w:rFonts w:ascii="Calibri" w:eastAsia="Times New Roman" w:hAnsi="Calibri" w:cs="Calibri"/>
          <w:sz w:val="24"/>
          <w:szCs w:val="24"/>
          <w:lang w:eastAsia="sk-SK"/>
        </w:rPr>
        <w:t xml:space="preserve"> </w:t>
      </w:r>
      <w:r w:rsidRPr="00772635">
        <w:rPr>
          <w:rFonts w:ascii="Calibri" w:eastAsia="Times New Roman" w:hAnsi="Calibri" w:cs="Calibri"/>
          <w:sz w:val="24"/>
          <w:szCs w:val="24"/>
          <w:lang w:eastAsia="sk-SK"/>
        </w:rPr>
        <w:t xml:space="preserve">V rokoch 2025 – 2027 bude pokračovať vo svojej činnosti a využije úspešné modernizácie múzea, ku ktorým pribudla na sklonku minulého roka ďalšia pôsobivá expozícia zameraná na interaktívny spôsob degustácie vína v prepojení so subjektívnymi pocitmi a mnohé inovatívne neformálne vzdelávacie projekty pre deti a seniorov. </w:t>
      </w:r>
    </w:p>
    <w:p w14:paraId="5C7FD980" w14:textId="77777777" w:rsidR="005C26D1" w:rsidRDefault="005C26D1" w:rsidP="00427052">
      <w:pPr>
        <w:spacing w:after="0" w:line="240" w:lineRule="auto"/>
        <w:jc w:val="both"/>
        <w:rPr>
          <w:rFonts w:eastAsiaTheme="minorEastAsia" w:cstheme="minorHAnsi"/>
          <w:sz w:val="24"/>
          <w:szCs w:val="24"/>
          <w:lang w:eastAsia="sk-SK"/>
        </w:rPr>
      </w:pPr>
    </w:p>
    <w:p w14:paraId="6CA98676" w14:textId="77777777" w:rsidR="00427052" w:rsidRPr="00427052" w:rsidRDefault="00427052" w:rsidP="00427052">
      <w:pPr>
        <w:spacing w:after="0" w:line="240" w:lineRule="auto"/>
        <w:rPr>
          <w:rFonts w:eastAsiaTheme="minorEastAsia" w:cstheme="minorHAnsi"/>
          <w:vanish/>
          <w:sz w:val="24"/>
          <w:szCs w:val="24"/>
          <w:lang w:eastAsia="sk-SK"/>
        </w:rPr>
      </w:pPr>
    </w:p>
    <w:p w14:paraId="7BFF9B05" w14:textId="77777777" w:rsidR="00427052" w:rsidRPr="00427052" w:rsidRDefault="00427052" w:rsidP="00427052">
      <w:pPr>
        <w:spacing w:after="0" w:line="240" w:lineRule="auto"/>
        <w:jc w:val="both"/>
        <w:rPr>
          <w:rFonts w:eastAsiaTheme="minorEastAsia" w:cstheme="minorHAnsi"/>
          <w:sz w:val="24"/>
          <w:szCs w:val="24"/>
          <w:lang w:eastAsia="sk-SK"/>
        </w:rPr>
      </w:pPr>
    </w:p>
    <w:p w14:paraId="17EB1B03" w14:textId="77777777" w:rsidR="00427052" w:rsidRPr="00427052" w:rsidRDefault="00427052" w:rsidP="005C26D1">
      <w:pPr>
        <w:spacing w:before="120" w:after="120" w:line="240" w:lineRule="auto"/>
        <w:jc w:val="both"/>
        <w:outlineLvl w:val="2"/>
        <w:rPr>
          <w:rFonts w:eastAsia="Times New Roman" w:cstheme="minorHAnsi"/>
          <w:b/>
          <w:bCs/>
          <w:sz w:val="27"/>
          <w:szCs w:val="27"/>
          <w:lang w:eastAsia="sk-SK"/>
        </w:rPr>
      </w:pPr>
      <w:r w:rsidRPr="00427052">
        <w:rPr>
          <w:rFonts w:eastAsia="Times New Roman" w:cstheme="minorHAnsi"/>
          <w:b/>
          <w:bCs/>
          <w:color w:val="0000FF"/>
          <w:sz w:val="27"/>
          <w:szCs w:val="27"/>
          <w:lang w:eastAsia="sk-SK"/>
        </w:rPr>
        <w:t>Podprogram 10.5: Malokarpatské osvetové stredisko v Modre - príspevková organizácia</w:t>
      </w:r>
      <w:r w:rsidRPr="00427052">
        <w:rPr>
          <w:rFonts w:eastAsia="Times New Roman" w:cstheme="minorHAnsi"/>
          <w:b/>
          <w:bCs/>
          <w:sz w:val="27"/>
          <w:szCs w:val="27"/>
          <w:lang w:eastAsia="sk-SK"/>
        </w:rPr>
        <w:t xml:space="preserve"> </w:t>
      </w:r>
    </w:p>
    <w:p w14:paraId="3177EFDF" w14:textId="77777777" w:rsidR="00427052" w:rsidRDefault="00427052" w:rsidP="005C26D1">
      <w:pPr>
        <w:spacing w:before="120" w:after="120" w:line="240" w:lineRule="auto"/>
        <w:jc w:val="both"/>
        <w:rPr>
          <w:rFonts w:eastAsiaTheme="minorEastAsia" w:cstheme="minorHAnsi"/>
          <w:sz w:val="24"/>
          <w:szCs w:val="24"/>
          <w:lang w:eastAsia="sk-SK"/>
        </w:rPr>
      </w:pPr>
      <w:r w:rsidRPr="00427052">
        <w:rPr>
          <w:rFonts w:eastAsiaTheme="minorEastAsia" w:cstheme="minorHAnsi"/>
          <w:b/>
          <w:bCs/>
          <w:sz w:val="24"/>
          <w:szCs w:val="24"/>
          <w:lang w:eastAsia="sk-SK"/>
        </w:rPr>
        <w:t xml:space="preserve">Zámer: </w:t>
      </w:r>
      <w:r w:rsidRPr="00427052">
        <w:rPr>
          <w:rFonts w:eastAsiaTheme="minorEastAsia" w:cstheme="minorHAnsi"/>
          <w:sz w:val="24"/>
          <w:szCs w:val="24"/>
          <w:lang w:eastAsia="sk-SK"/>
        </w:rPr>
        <w:t>Ponuka širokého spektra kultúrno-osvetovej a záujmovo-umeleckej činnosti v Bratislavskom samosprávnom kraji.</w:t>
      </w:r>
    </w:p>
    <w:p w14:paraId="3223A705" w14:textId="77777777" w:rsidR="00427052" w:rsidRPr="00427052" w:rsidRDefault="00427052" w:rsidP="00427052">
      <w:pPr>
        <w:spacing w:after="0" w:line="240" w:lineRule="auto"/>
        <w:rPr>
          <w:rFonts w:eastAsiaTheme="minorEastAsia" w:cstheme="minorHAns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365"/>
        <w:gridCol w:w="1041"/>
        <w:gridCol w:w="1041"/>
        <w:gridCol w:w="1296"/>
        <w:gridCol w:w="641"/>
        <w:gridCol w:w="641"/>
        <w:gridCol w:w="649"/>
        <w:gridCol w:w="641"/>
        <w:gridCol w:w="641"/>
        <w:gridCol w:w="548"/>
        <w:gridCol w:w="641"/>
        <w:gridCol w:w="641"/>
        <w:gridCol w:w="664"/>
      </w:tblGrid>
      <w:tr w:rsidR="00CF717E" w:rsidRPr="00CF717E" w14:paraId="5EFC8641" w14:textId="77777777" w:rsidTr="00D97E48">
        <w:trPr>
          <w:tblCellSpacing w:w="15" w:type="dxa"/>
        </w:trPr>
        <w:tc>
          <w:tcPr>
            <w:tcW w:w="0" w:type="auto"/>
            <w:gridSpan w:val="13"/>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669F5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i/>
                <w:iCs/>
                <w:sz w:val="24"/>
                <w:szCs w:val="24"/>
                <w:lang w:eastAsia="sk-SK"/>
              </w:rPr>
              <w:t>Rozpočet v EUR</w:t>
            </w:r>
          </w:p>
        </w:tc>
      </w:tr>
      <w:tr w:rsidR="00CF717E" w:rsidRPr="00CF717E" w14:paraId="70957282" w14:textId="77777777" w:rsidTr="001B5DF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B752C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EK</w:t>
            </w:r>
          </w:p>
        </w:tc>
        <w:tc>
          <w:tcPr>
            <w:tcW w:w="991" w:type="pct"/>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EFEDC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E82597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2024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9AFFAF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F3B6E1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5FAF6D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2026</w:t>
            </w:r>
          </w:p>
        </w:tc>
        <w:tc>
          <w:tcPr>
            <w:tcW w:w="24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DB8C0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C9731F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F65D47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w:t>
            </w:r>
          </w:p>
        </w:tc>
      </w:tr>
      <w:tr w:rsidR="00CF717E" w:rsidRPr="00CF717E" w14:paraId="36210BB6" w14:textId="77777777" w:rsidTr="00CF717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56E0C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FA46B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Výdavky celkom</w:t>
            </w:r>
            <w:r w:rsidRPr="00CF717E">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7820E5"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600 000,00</w:t>
            </w:r>
            <w:r w:rsidRPr="00CF717E">
              <w:rPr>
                <w:rFonts w:ascii="Calibri" w:eastAsia="Times New Roman" w:hAnsi="Calibri" w:cs="Calibr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92A412"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709 012,58</w:t>
            </w:r>
            <w:r w:rsidRPr="00CF717E">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AD06D4"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118,17</w:t>
            </w:r>
            <w:r w:rsidRPr="00CF717E">
              <w:rPr>
                <w:rFonts w:ascii="Calibri" w:eastAsia="Times New Roman" w:hAnsi="Calibri" w:cs="Calibr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EBC703"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697 274,83</w:t>
            </w:r>
            <w:r w:rsidRPr="00CF717E">
              <w:rPr>
                <w:rFonts w:ascii="Calibri" w:eastAsia="Times New Roman" w:hAnsi="Calibri" w:cs="Calibri"/>
                <w:sz w:val="24"/>
                <w:szCs w:val="24"/>
                <w:lang w:eastAsia="sk-SK"/>
              </w:rPr>
              <w:t xml:space="preserve"> </w:t>
            </w:r>
          </w:p>
        </w:tc>
        <w:tc>
          <w:tcPr>
            <w:tcW w:w="24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3E8951"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98,34</w:t>
            </w:r>
            <w:r w:rsidRPr="00CF717E">
              <w:rPr>
                <w:rFonts w:ascii="Calibri" w:eastAsia="Times New Roman" w:hAnsi="Calibri" w:cs="Calibr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26D05A"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768 242,78</w:t>
            </w:r>
            <w:r w:rsidRPr="00CF717E">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13E410"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110,18</w:t>
            </w:r>
            <w:r w:rsidRPr="00CF717E">
              <w:rPr>
                <w:rFonts w:ascii="Calibri" w:eastAsia="Times New Roman" w:hAnsi="Calibri" w:cs="Calibri"/>
                <w:sz w:val="24"/>
                <w:szCs w:val="24"/>
                <w:lang w:eastAsia="sk-SK"/>
              </w:rPr>
              <w:t xml:space="preserve"> </w:t>
            </w:r>
          </w:p>
        </w:tc>
      </w:tr>
      <w:tr w:rsidR="00CF717E" w:rsidRPr="00CF717E" w14:paraId="46C3E48D" w14:textId="77777777" w:rsidTr="00CF717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CB0D0D"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600</w:t>
            </w:r>
            <w:r w:rsidRPr="00CF717E">
              <w:rPr>
                <w:rFonts w:ascii="Calibri" w:eastAsia="Times New Roman" w:hAnsi="Calibri" w:cs="Calibr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C06D9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Bežné výdavky</w:t>
            </w:r>
            <w:r w:rsidRPr="00CF717E">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538E05E"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600 000,00</w:t>
            </w:r>
            <w:r w:rsidRPr="00CF717E">
              <w:rPr>
                <w:rFonts w:ascii="Calibri" w:eastAsia="Times New Roman" w:hAnsi="Calibri" w:cs="Calibr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2045DEC"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709 012,58</w:t>
            </w:r>
            <w:r w:rsidRPr="00CF717E">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C941688"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118,17</w:t>
            </w:r>
            <w:r w:rsidRPr="00CF717E">
              <w:rPr>
                <w:rFonts w:ascii="Calibri" w:eastAsia="Times New Roman" w:hAnsi="Calibri" w:cs="Calibr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831132F"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697 274,83</w:t>
            </w:r>
            <w:r w:rsidRPr="00CF717E">
              <w:rPr>
                <w:rFonts w:ascii="Calibri" w:eastAsia="Times New Roman" w:hAnsi="Calibri" w:cs="Calibri"/>
                <w:sz w:val="24"/>
                <w:szCs w:val="24"/>
                <w:lang w:eastAsia="sk-SK"/>
              </w:rPr>
              <w:t xml:space="preserve"> </w:t>
            </w:r>
          </w:p>
        </w:tc>
        <w:tc>
          <w:tcPr>
            <w:tcW w:w="24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B9B941"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98,34</w:t>
            </w:r>
            <w:r w:rsidRPr="00CF717E">
              <w:rPr>
                <w:rFonts w:ascii="Calibri" w:eastAsia="Times New Roman" w:hAnsi="Calibri" w:cs="Calibr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04E1E1"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768 242,78</w:t>
            </w:r>
            <w:r w:rsidRPr="00CF717E">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5A6AE7"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b/>
                <w:bCs/>
                <w:sz w:val="20"/>
                <w:szCs w:val="20"/>
                <w:lang w:eastAsia="sk-SK"/>
              </w:rPr>
              <w:t>110,18</w:t>
            </w:r>
            <w:r w:rsidRPr="00CF717E">
              <w:rPr>
                <w:rFonts w:ascii="Calibri" w:eastAsia="Times New Roman" w:hAnsi="Calibri" w:cs="Calibri"/>
                <w:sz w:val="24"/>
                <w:szCs w:val="24"/>
                <w:lang w:eastAsia="sk-SK"/>
              </w:rPr>
              <w:t xml:space="preserve"> </w:t>
            </w:r>
          </w:p>
        </w:tc>
      </w:tr>
      <w:tr w:rsidR="00CF717E" w:rsidRPr="00CF717E" w14:paraId="0C847CAC" w14:textId="77777777" w:rsidTr="00CF717E">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23DDB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0"/>
                <w:szCs w:val="20"/>
                <w:lang w:eastAsia="sk-SK"/>
              </w:rPr>
              <w:t>640</w:t>
            </w:r>
            <w:r w:rsidRPr="00CF717E">
              <w:rPr>
                <w:rFonts w:ascii="Calibri" w:eastAsia="Times New Roman" w:hAnsi="Calibri" w:cs="Calibr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4EFED123"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0"/>
                <w:szCs w:val="20"/>
                <w:lang w:eastAsia="sk-SK"/>
              </w:rPr>
              <w:t>Bežné transfery</w:t>
            </w:r>
            <w:r w:rsidRPr="00CF717E">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AA0302"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sz w:val="20"/>
                <w:szCs w:val="20"/>
                <w:lang w:eastAsia="sk-SK"/>
              </w:rPr>
              <w:t>600 000,00</w:t>
            </w:r>
            <w:r w:rsidRPr="00CF717E">
              <w:rPr>
                <w:rFonts w:ascii="Calibri" w:eastAsia="Times New Roman" w:hAnsi="Calibri" w:cs="Calibr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hideMark/>
          </w:tcPr>
          <w:p w14:paraId="35422EA8"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sz w:val="20"/>
                <w:szCs w:val="20"/>
                <w:lang w:eastAsia="sk-SK"/>
              </w:rPr>
              <w:t>709 012,58</w:t>
            </w:r>
            <w:r w:rsidRPr="00CF717E">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704AF15"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sz w:val="20"/>
                <w:szCs w:val="20"/>
                <w:lang w:eastAsia="sk-SK"/>
              </w:rPr>
              <w:t>118,17</w:t>
            </w:r>
            <w:r w:rsidRPr="00CF717E">
              <w:rPr>
                <w:rFonts w:ascii="Calibri" w:eastAsia="Times New Roman" w:hAnsi="Calibri" w:cs="Calibr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hideMark/>
          </w:tcPr>
          <w:p w14:paraId="19BDA07B"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sz w:val="20"/>
                <w:szCs w:val="20"/>
                <w:lang w:eastAsia="sk-SK"/>
              </w:rPr>
              <w:t>697 274,83</w:t>
            </w:r>
            <w:r w:rsidRPr="00CF717E">
              <w:rPr>
                <w:rFonts w:ascii="Calibri" w:eastAsia="Times New Roman" w:hAnsi="Calibri" w:cs="Calibri"/>
                <w:sz w:val="24"/>
                <w:szCs w:val="24"/>
                <w:lang w:eastAsia="sk-SK"/>
              </w:rPr>
              <w:t xml:space="preserve"> </w:t>
            </w:r>
          </w:p>
        </w:tc>
        <w:tc>
          <w:tcPr>
            <w:tcW w:w="248" w:type="pct"/>
            <w:tcBorders>
              <w:top w:val="outset" w:sz="6" w:space="0" w:color="000000"/>
              <w:left w:val="outset" w:sz="6" w:space="0" w:color="000000"/>
              <w:bottom w:val="outset" w:sz="6" w:space="0" w:color="000000"/>
              <w:right w:val="outset" w:sz="6" w:space="0" w:color="000000"/>
            </w:tcBorders>
            <w:noWrap/>
            <w:vAlign w:val="center"/>
            <w:hideMark/>
          </w:tcPr>
          <w:p w14:paraId="1AC25F16"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sz w:val="20"/>
                <w:szCs w:val="20"/>
                <w:lang w:eastAsia="sk-SK"/>
              </w:rPr>
              <w:t>98,34</w:t>
            </w:r>
            <w:r w:rsidRPr="00CF717E">
              <w:rPr>
                <w:rFonts w:ascii="Calibri" w:eastAsia="Times New Roman" w:hAnsi="Calibri" w:cs="Calibri"/>
                <w:sz w:val="24"/>
                <w:szCs w:val="24"/>
                <w:lang w:eastAsia="sk-SK"/>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hideMark/>
          </w:tcPr>
          <w:p w14:paraId="2DC67EA6"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sz w:val="20"/>
                <w:szCs w:val="20"/>
                <w:lang w:eastAsia="sk-SK"/>
              </w:rPr>
              <w:t>768 242,78</w:t>
            </w:r>
            <w:r w:rsidRPr="00CF717E">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2F56DDD" w14:textId="77777777" w:rsidR="00CF717E" w:rsidRPr="00CF717E" w:rsidRDefault="00CF717E" w:rsidP="00CF717E">
            <w:pPr>
              <w:spacing w:after="0" w:line="240" w:lineRule="auto"/>
              <w:jc w:val="right"/>
              <w:rPr>
                <w:rFonts w:ascii="Calibri" w:eastAsia="Times New Roman" w:hAnsi="Calibri" w:cs="Calibri"/>
                <w:sz w:val="24"/>
                <w:szCs w:val="24"/>
                <w:lang w:eastAsia="sk-SK"/>
              </w:rPr>
            </w:pPr>
            <w:r w:rsidRPr="00CF717E">
              <w:rPr>
                <w:rFonts w:ascii="Calibri" w:eastAsia="Times New Roman" w:hAnsi="Calibri" w:cs="Calibri"/>
                <w:sz w:val="20"/>
                <w:szCs w:val="20"/>
                <w:lang w:eastAsia="sk-SK"/>
              </w:rPr>
              <w:t>110,18</w:t>
            </w:r>
            <w:r w:rsidRPr="00CF717E">
              <w:rPr>
                <w:rFonts w:ascii="Calibri" w:eastAsia="Times New Roman" w:hAnsi="Calibri" w:cs="Calibri"/>
                <w:sz w:val="24"/>
                <w:szCs w:val="24"/>
                <w:lang w:eastAsia="sk-SK"/>
              </w:rPr>
              <w:t xml:space="preserve"> </w:t>
            </w:r>
          </w:p>
        </w:tc>
      </w:tr>
      <w:tr w:rsidR="00CF717E" w:rsidRPr="00CF717E" w14:paraId="516CFE16"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D832D9"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Zodpovednosť</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2389D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Riaditeľ zariadenia</w:t>
            </w:r>
          </w:p>
        </w:tc>
      </w:tr>
      <w:tr w:rsidR="00CF717E" w:rsidRPr="00CF717E" w14:paraId="6DE18D05"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5C762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Cieľ 1</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2E4A34"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Zabezpečiť  kultúrno-osvetovú a záujmovo-umeleckú činnosť vyplývajúcu z originálnych kompetencií v Bratislavskom v Bratislavskom samosprávnom kraji</w:t>
            </w:r>
          </w:p>
        </w:tc>
      </w:tr>
      <w:tr w:rsidR="00CF717E" w:rsidRPr="00CF717E" w14:paraId="12080608"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EBFAB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lastRenderedPageBreak/>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FF23A9"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zrealizovaných súťaží a prehliadok v oblasti ZUČ na úrovni regiónu a kraja s postupom na celoštátnu súťaž a prehliadku </w:t>
            </w:r>
          </w:p>
        </w:tc>
      </w:tr>
      <w:tr w:rsidR="00CF717E" w:rsidRPr="00CF717E" w14:paraId="1E47D76F"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DC14AE"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1244C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E48F6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5D725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F7BE2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1235F0F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20864E"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CD350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13</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782D7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13</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7481C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A453F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13</w:t>
            </w:r>
          </w:p>
        </w:tc>
      </w:tr>
      <w:tr w:rsidR="00CF717E" w:rsidRPr="00CF717E" w14:paraId="21094D54"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69089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7B8E2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výstupov odbornej metodickej a koordinačnej činnosti </w:t>
            </w:r>
          </w:p>
        </w:tc>
      </w:tr>
      <w:tr w:rsidR="00CF717E" w:rsidRPr="00CF717E" w14:paraId="024E654D"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E85D3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4CEEA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6D720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BCA19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90851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123F3D28"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90F951"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B950B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59BD5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26</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C0A18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02388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26</w:t>
            </w:r>
          </w:p>
        </w:tc>
      </w:tr>
      <w:tr w:rsidR="00CF717E" w:rsidRPr="00CF717E" w14:paraId="5FDD5ADA"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19DE2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6C67F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účastníkov  výstupov odbornej metodickej a koordinačnej činnosti </w:t>
            </w:r>
          </w:p>
        </w:tc>
      </w:tr>
      <w:tr w:rsidR="00CF717E" w:rsidRPr="00CF717E" w14:paraId="2F06E43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F33B2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313ED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4427E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BC91E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37215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57231B1A"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6D009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BD9EE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8657F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300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E97A3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300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0287D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300</w:t>
            </w:r>
          </w:p>
        </w:tc>
      </w:tr>
      <w:tr w:rsidR="00CF717E" w:rsidRPr="00CF717E" w14:paraId="17118C3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D38AE9"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84FE02"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podaných grantov </w:t>
            </w:r>
          </w:p>
        </w:tc>
      </w:tr>
      <w:tr w:rsidR="00CF717E" w:rsidRPr="00CF717E" w14:paraId="48D3075E"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3BD1C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EB659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A4D80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FF4DF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5DFD8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04F13A1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CE8254"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6AC0E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776FC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08FE6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25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14F46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25</w:t>
            </w:r>
          </w:p>
        </w:tc>
      </w:tr>
      <w:tr w:rsidR="00CF717E" w:rsidRPr="00CF717E" w14:paraId="02308DBB"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4D2A1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54899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koncepčných materiálov pôsobenia MOS v celom BSK </w:t>
            </w:r>
          </w:p>
        </w:tc>
      </w:tr>
      <w:tr w:rsidR="00CF717E" w:rsidRPr="00CF717E" w14:paraId="49F26239"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B9E0E1"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F4D61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C5B2E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6D288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B7959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01EBC692"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AF108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19F37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9F0AB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6A84B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732F5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w:t>
            </w:r>
          </w:p>
        </w:tc>
      </w:tr>
      <w:tr w:rsidR="00CF717E" w:rsidRPr="00CF717E" w14:paraId="74CC0142"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2D77B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56E64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účastníkov zrealizovaných súťaží a prehliadok v oblasti ZUČ na úrovni regiónu a kraja s postupom na celoštátnu súťaž a prehliadku </w:t>
            </w:r>
          </w:p>
        </w:tc>
      </w:tr>
      <w:tr w:rsidR="00CF717E" w:rsidRPr="00CF717E" w14:paraId="25EF3D58"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59434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76CFD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1024C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60A11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0FE5C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429006E4"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110CF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2B622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62619F" w14:textId="4EA2EBCE" w:rsidR="00CF717E" w:rsidRPr="00CF717E" w:rsidRDefault="00CF717E" w:rsidP="00CF717E">
            <w:pPr>
              <w:spacing w:after="0" w:line="240" w:lineRule="auto"/>
              <w:jc w:val="center"/>
              <w:rPr>
                <w:rFonts w:ascii="Calibri" w:eastAsia="Times New Roman" w:hAnsi="Calibri" w:cs="Calibri"/>
                <w:b/>
                <w:bCs/>
                <w:sz w:val="24"/>
                <w:szCs w:val="24"/>
                <w:lang w:eastAsia="sk-SK"/>
              </w:rPr>
            </w:pPr>
            <w:r w:rsidRPr="00CF717E">
              <w:rPr>
                <w:rFonts w:ascii="Calibri" w:eastAsia="Times New Roman" w:hAnsi="Calibri" w:cs="Calibri"/>
                <w:b/>
                <w:bCs/>
                <w:sz w:val="24"/>
                <w:szCs w:val="24"/>
                <w:lang w:eastAsia="sk-SK"/>
              </w:rPr>
              <w:t>1</w:t>
            </w:r>
            <w:r>
              <w:rPr>
                <w:rFonts w:ascii="Calibri" w:eastAsia="Times New Roman" w:hAnsi="Calibri" w:cs="Calibri"/>
                <w:b/>
                <w:bCs/>
                <w:sz w:val="24"/>
                <w:szCs w:val="24"/>
                <w:lang w:eastAsia="sk-SK"/>
              </w:rPr>
              <w:t xml:space="preserve"> </w:t>
            </w:r>
            <w:r w:rsidRPr="00CF717E">
              <w:rPr>
                <w:rFonts w:ascii="Calibri" w:eastAsia="Times New Roman" w:hAnsi="Calibri" w:cs="Calibri"/>
                <w:b/>
                <w:bCs/>
                <w:sz w:val="24"/>
                <w:szCs w:val="24"/>
                <w:lang w:eastAsia="sk-SK"/>
              </w:rPr>
              <w:t>000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47BB3F" w14:textId="5B3D1820"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E73959" w14:textId="51D358BE"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000</w:t>
            </w:r>
          </w:p>
        </w:tc>
      </w:tr>
      <w:tr w:rsidR="00CF717E" w:rsidRPr="00CF717E" w14:paraId="3BB67A98"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652089"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Cieľ 2</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tcPr>
          <w:p w14:paraId="049DFB1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xml:space="preserve">Zabezpečiť zlepšenie zručností a vzdelávania v rámci voľnočasových aktivít obyvateľov v Bratislavskom samosprávnom kraji </w:t>
            </w:r>
          </w:p>
        </w:tc>
      </w:tr>
      <w:tr w:rsidR="00CF717E" w:rsidRPr="00CF717E" w14:paraId="58D031F4"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89FFDE"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29E201"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samostatných (nie ako súčasť inej aktivity) tvorivých dielní, workshopov a iných podujatí na zlepšenie zručnosti a rozvoja vzdelávania </w:t>
            </w:r>
          </w:p>
        </w:tc>
      </w:tr>
      <w:tr w:rsidR="00CF717E" w:rsidRPr="00CF717E" w14:paraId="6325C849"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194591"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528EA30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4511AEE5" w14:textId="77777777" w:rsidR="00CF717E" w:rsidRPr="00CF717E" w:rsidRDefault="00CF717E" w:rsidP="00CF717E">
            <w:pPr>
              <w:spacing w:after="0" w:line="240" w:lineRule="auto"/>
              <w:jc w:val="center"/>
              <w:rPr>
                <w:rFonts w:ascii="Calibri" w:eastAsia="Times New Roman" w:hAnsi="Calibri" w:cs="Calibri"/>
                <w:b/>
                <w:bCs/>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526F4F1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tcPr>
          <w:p w14:paraId="133B407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23496AAB"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81804C"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7223AD0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5DB232C5" w14:textId="77777777" w:rsidR="00CF717E" w:rsidRPr="00CF717E" w:rsidRDefault="00CF717E" w:rsidP="00CF717E">
            <w:pPr>
              <w:spacing w:after="0" w:line="240" w:lineRule="auto"/>
              <w:jc w:val="center"/>
              <w:rPr>
                <w:rFonts w:ascii="Calibri" w:eastAsia="Times New Roman" w:hAnsi="Calibri" w:cs="Calibri"/>
                <w:b/>
                <w:bCs/>
                <w:sz w:val="24"/>
                <w:szCs w:val="24"/>
                <w:lang w:eastAsia="sk-SK"/>
              </w:rPr>
            </w:pPr>
            <w:r w:rsidRPr="00CF717E">
              <w:rPr>
                <w:rFonts w:ascii="Calibri" w:eastAsia="Times New Roman" w:hAnsi="Calibri" w:cs="Calibri"/>
                <w:b/>
                <w:bCs/>
                <w:sz w:val="24"/>
                <w:szCs w:val="24"/>
                <w:lang w:eastAsia="sk-SK"/>
              </w:rPr>
              <w:t>12</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18529D3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tcPr>
          <w:p w14:paraId="34650A5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12</w:t>
            </w:r>
          </w:p>
        </w:tc>
      </w:tr>
      <w:tr w:rsidR="00CF717E" w:rsidRPr="00CF717E" w14:paraId="74D28995"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8DE029"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tcPr>
          <w:p w14:paraId="27DD6E05"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Počet účastníkov samostatných (nie ako súčasť inej aktivity) tvorivých dielní, workshopov a iných podujatí na zlepšenie zručnosti a rozvoja vzdelávania</w:t>
            </w:r>
          </w:p>
        </w:tc>
      </w:tr>
      <w:tr w:rsidR="00CF717E" w:rsidRPr="00CF717E" w14:paraId="40739A83"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F51C2E"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1546DEB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5ADAC954" w14:textId="77777777" w:rsidR="00CF717E" w:rsidRPr="00CF717E" w:rsidRDefault="00CF717E" w:rsidP="00CF717E">
            <w:pPr>
              <w:spacing w:after="0" w:line="240" w:lineRule="auto"/>
              <w:jc w:val="center"/>
              <w:rPr>
                <w:rFonts w:ascii="Calibri" w:eastAsia="Times New Roman" w:hAnsi="Calibri" w:cs="Calibri"/>
                <w:b/>
                <w:bCs/>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166A73D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tcPr>
          <w:p w14:paraId="0CEB785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44647DB4"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FB5A53"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1EC4E79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02F63420" w14:textId="77777777" w:rsidR="00CF717E" w:rsidRPr="00CF717E" w:rsidRDefault="00CF717E" w:rsidP="00CF717E">
            <w:pPr>
              <w:spacing w:after="0" w:line="240" w:lineRule="auto"/>
              <w:jc w:val="center"/>
              <w:rPr>
                <w:rFonts w:ascii="Calibri" w:eastAsia="Times New Roman" w:hAnsi="Calibri" w:cs="Calibri"/>
                <w:b/>
                <w:bCs/>
                <w:sz w:val="24"/>
                <w:szCs w:val="24"/>
                <w:lang w:eastAsia="sk-SK"/>
              </w:rPr>
            </w:pPr>
            <w:r w:rsidRPr="00CF717E">
              <w:rPr>
                <w:rFonts w:ascii="Calibri" w:eastAsia="Times New Roman" w:hAnsi="Calibri" w:cs="Calibri"/>
                <w:b/>
                <w:bCs/>
                <w:sz w:val="24"/>
                <w:szCs w:val="24"/>
                <w:lang w:eastAsia="sk-SK"/>
              </w:rPr>
              <w:t>600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3A3A6B0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600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tcPr>
          <w:p w14:paraId="6E29606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600</w:t>
            </w:r>
          </w:p>
        </w:tc>
      </w:tr>
      <w:tr w:rsidR="00CF717E" w:rsidRPr="00CF717E" w14:paraId="6745823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37290C"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2E963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Počet platiacich účastníkov samostatných (nie ako súčasť inej aktivity) tvorivých dielní, workshopov a iných podujatí na zlepšenie zručnosti a rozvoja vzdelávania</w:t>
            </w:r>
          </w:p>
        </w:tc>
      </w:tr>
      <w:tr w:rsidR="00CF717E" w:rsidRPr="00CF717E" w14:paraId="0582F19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A04CD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B0D96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9123A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11925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27D0D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5F2D8D49"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7A030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D2AB4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00F804" w14:textId="77777777" w:rsidR="00CF717E" w:rsidRPr="00CF717E" w:rsidRDefault="00CF717E" w:rsidP="00CF717E">
            <w:pPr>
              <w:spacing w:after="0" w:line="240" w:lineRule="auto"/>
              <w:jc w:val="center"/>
              <w:rPr>
                <w:rFonts w:ascii="Calibri" w:eastAsia="Times New Roman" w:hAnsi="Calibri" w:cs="Calibri"/>
                <w:b/>
                <w:bCs/>
                <w:sz w:val="24"/>
                <w:szCs w:val="24"/>
                <w:lang w:eastAsia="sk-SK"/>
              </w:rPr>
            </w:pPr>
            <w:r w:rsidRPr="00CF717E">
              <w:rPr>
                <w:rFonts w:ascii="Calibri" w:eastAsia="Times New Roman" w:hAnsi="Calibri" w:cs="Calibri"/>
                <w:b/>
                <w:bCs/>
                <w:sz w:val="24"/>
                <w:szCs w:val="24"/>
                <w:lang w:eastAsia="sk-SK"/>
              </w:rPr>
              <w:t>350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3780A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350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4F604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350</w:t>
            </w:r>
          </w:p>
        </w:tc>
      </w:tr>
      <w:tr w:rsidR="00CF717E" w:rsidRPr="00CF717E" w14:paraId="079A4AC5"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920F5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639D6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výstav </w:t>
            </w:r>
          </w:p>
        </w:tc>
      </w:tr>
      <w:tr w:rsidR="00CF717E" w:rsidRPr="00CF717E" w14:paraId="0CE9A166"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330C95"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767FA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0B129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D5E3A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8C717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3F401F38"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E17E3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B53FE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626FD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6977E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29A8D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5</w:t>
            </w:r>
          </w:p>
        </w:tc>
      </w:tr>
      <w:tr w:rsidR="00CF717E" w:rsidRPr="00CF717E" w14:paraId="059C406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FA87A1"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31EEA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Počet festivalov</w:t>
            </w:r>
          </w:p>
        </w:tc>
      </w:tr>
      <w:tr w:rsidR="00CF717E" w:rsidRPr="00CF717E" w14:paraId="6B24BD77"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5E6AF4"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3A08C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708B7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A3631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1E5EB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13B44B1B"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856B6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761AE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F394BE" w14:textId="77777777" w:rsidR="00CF717E" w:rsidRPr="00CF717E" w:rsidRDefault="00CF717E" w:rsidP="00CF717E">
            <w:pPr>
              <w:spacing w:after="0" w:line="240" w:lineRule="auto"/>
              <w:jc w:val="center"/>
              <w:rPr>
                <w:rFonts w:ascii="Calibri" w:eastAsia="Times New Roman" w:hAnsi="Calibri" w:cs="Calibri"/>
                <w:b/>
                <w:bCs/>
                <w:sz w:val="24"/>
                <w:szCs w:val="24"/>
                <w:lang w:eastAsia="sk-SK"/>
              </w:rPr>
            </w:pPr>
            <w:r w:rsidRPr="00CF717E">
              <w:rPr>
                <w:rFonts w:ascii="Calibri" w:eastAsia="Times New Roman" w:hAnsi="Calibri" w:cs="Calibri"/>
                <w:b/>
                <w:bCs/>
                <w:sz w:val="24"/>
                <w:szCs w:val="24"/>
                <w:lang w:eastAsia="sk-SK"/>
              </w:rPr>
              <w:t>3</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9E220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8C3AA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3</w:t>
            </w:r>
          </w:p>
        </w:tc>
      </w:tr>
      <w:tr w:rsidR="00CF717E" w:rsidRPr="00CF717E" w14:paraId="1BC93072"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B2044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lastRenderedPageBreak/>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5AFDD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platiacich účastníkov festivalov  </w:t>
            </w:r>
          </w:p>
        </w:tc>
      </w:tr>
      <w:tr w:rsidR="00CF717E" w:rsidRPr="00CF717E" w14:paraId="76585B1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544B53"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DA74B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BB4CF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8589E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09719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026433BA"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AA7C82"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775F4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5 000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8E9DF4" w14:textId="3400580D"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1</w:t>
            </w:r>
            <w:r>
              <w:rPr>
                <w:rFonts w:ascii="Calibri" w:eastAsia="Times New Roman" w:hAnsi="Calibri" w:cs="Calibri"/>
                <w:b/>
                <w:bCs/>
                <w:sz w:val="24"/>
                <w:szCs w:val="24"/>
                <w:lang w:eastAsia="sk-SK"/>
              </w:rPr>
              <w:t xml:space="preserve"> </w:t>
            </w:r>
            <w:r w:rsidRPr="00CF717E">
              <w:rPr>
                <w:rFonts w:ascii="Calibri" w:eastAsia="Times New Roman" w:hAnsi="Calibri" w:cs="Calibri"/>
                <w:b/>
                <w:bCs/>
                <w:sz w:val="24"/>
                <w:szCs w:val="24"/>
                <w:lang w:eastAsia="sk-SK"/>
              </w:rPr>
              <w:t>500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4E62D8" w14:textId="0C3EBB33"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2</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32E410" w14:textId="5DA04A26"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000</w:t>
            </w:r>
          </w:p>
        </w:tc>
      </w:tr>
      <w:tr w:rsidR="00CF717E" w:rsidRPr="00CF717E" w14:paraId="09FDAD8B"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21081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3F2F12"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výstav tradičnej ľudovej výroby  </w:t>
            </w:r>
          </w:p>
        </w:tc>
      </w:tr>
      <w:tr w:rsidR="00CF717E" w:rsidRPr="00CF717E" w14:paraId="2ECD45FD"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F7657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FC7A5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EF56D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E274A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A1231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3A839188"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02B9B4"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9AEA1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14051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144A2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6D8B3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4</w:t>
            </w:r>
          </w:p>
        </w:tc>
      </w:tr>
      <w:tr w:rsidR="00CF717E" w:rsidRPr="00CF717E" w14:paraId="43148429"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72D73C"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B807E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účastníkov výstav tradičnej ľudovej výroby v okresoch BSK  </w:t>
            </w:r>
          </w:p>
        </w:tc>
      </w:tr>
      <w:tr w:rsidR="00CF717E" w:rsidRPr="00CF717E" w14:paraId="52CB37F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1EDECE"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564A5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6FE79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13835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A2560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4A4B1E2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2DD385"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186D4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3</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254670" w14:textId="69497D9A"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1</w:t>
            </w:r>
            <w:r>
              <w:rPr>
                <w:rFonts w:ascii="Calibri" w:eastAsia="Times New Roman" w:hAnsi="Calibri" w:cs="Calibri"/>
                <w:b/>
                <w:bCs/>
                <w:sz w:val="24"/>
                <w:szCs w:val="24"/>
                <w:lang w:eastAsia="sk-SK"/>
              </w:rPr>
              <w:t xml:space="preserve"> </w:t>
            </w:r>
            <w:r w:rsidRPr="00CF717E">
              <w:rPr>
                <w:rFonts w:ascii="Calibri" w:eastAsia="Times New Roman" w:hAnsi="Calibri" w:cs="Calibri"/>
                <w:b/>
                <w:bCs/>
                <w:sz w:val="24"/>
                <w:szCs w:val="24"/>
                <w:lang w:eastAsia="sk-SK"/>
              </w:rPr>
              <w:t>200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0C0404" w14:textId="43646911"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200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02D251" w14:textId="7E1F8F22"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200</w:t>
            </w:r>
          </w:p>
        </w:tc>
      </w:tr>
      <w:tr w:rsidR="00CF717E" w:rsidRPr="00CF717E" w14:paraId="73B6C09B"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CFB46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479F4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prehliadok tradičnej kultúry v okresoch BSK  </w:t>
            </w:r>
          </w:p>
        </w:tc>
      </w:tr>
      <w:tr w:rsidR="00CF717E" w:rsidRPr="00CF717E" w14:paraId="7500AE9D"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07FBA3"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4D637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EDE8D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09FEF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87C79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0113C135"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37B73E"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7DA94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D2F36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3</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CFEF7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225B4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3</w:t>
            </w:r>
          </w:p>
        </w:tc>
      </w:tr>
      <w:tr w:rsidR="00CF717E" w:rsidRPr="00CF717E" w14:paraId="70A1FFCA"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E7B3A4"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E38CE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účastníkov prehliadok tradičnej kultúry v okresoch BSK  </w:t>
            </w:r>
          </w:p>
        </w:tc>
      </w:tr>
      <w:tr w:rsidR="00CF717E" w:rsidRPr="00CF717E" w14:paraId="0C8E531A"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DEE24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9C1F1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6209B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1B0F6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2A305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5C37DD89"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16D4D3"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EF8E5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33E0A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1 500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3EC3C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1 500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E9AA5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1500</w:t>
            </w:r>
          </w:p>
        </w:tc>
      </w:tr>
      <w:tr w:rsidR="00CF717E" w:rsidRPr="00CF717E" w14:paraId="3A2BA9D9"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3AB12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AA091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samostatných tvorivých dielní tradičnej ľudovej výroby a folklóru na podporu zručností a vzdelávania detí a dospelého obyvateľstva </w:t>
            </w:r>
          </w:p>
        </w:tc>
      </w:tr>
      <w:tr w:rsidR="00CF717E" w:rsidRPr="00CF717E" w14:paraId="34B1C8F2"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1FB24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078D2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BF344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45BEE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BA148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68296D9A"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76C03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B8985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B9B28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3</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01B15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FE26F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3</w:t>
            </w:r>
          </w:p>
        </w:tc>
      </w:tr>
      <w:tr w:rsidR="00CF717E" w:rsidRPr="00CF717E" w14:paraId="06D68DC5"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5E9CA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ACF8E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Počet účastníkov samostatných tvorivých dielní tradičnej ľudovej výroby a folklóru na podporu zručností a vzdelávania detí a dospelého obyvateľstva</w:t>
            </w:r>
          </w:p>
        </w:tc>
      </w:tr>
      <w:tr w:rsidR="00CF717E" w:rsidRPr="00CF717E" w14:paraId="3E71D93F"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0960B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D0EB0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D5E60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E67D0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56366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25F9E0CF"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A818D5"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CD802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B9B9F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150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20579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150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CCA59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150</w:t>
            </w:r>
          </w:p>
        </w:tc>
      </w:tr>
      <w:tr w:rsidR="00CF717E" w:rsidRPr="00CF717E" w14:paraId="2ED3130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323332"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E308BC"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platiacich účastníkov výstav </w:t>
            </w:r>
          </w:p>
        </w:tc>
      </w:tr>
      <w:tr w:rsidR="00CF717E" w:rsidRPr="00CF717E" w14:paraId="4B4555DC"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8CC6C1"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B1DF9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DA5E1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5997B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1D1F4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3EE1CBAB"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FBB0F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C0B79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50F19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250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518C9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250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8C63E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250</w:t>
            </w:r>
          </w:p>
        </w:tc>
      </w:tr>
      <w:tr w:rsidR="00CF717E" w:rsidRPr="00CF717E" w14:paraId="0AA670E6"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4F39C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68A59E"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samostatných tvorivých dielní tradičnej ľudovej výroby a folklóru na podporu zručnosti a vzdelávania detí a dospelého obyvateľstva </w:t>
            </w:r>
          </w:p>
        </w:tc>
      </w:tr>
      <w:tr w:rsidR="00CF717E" w:rsidRPr="00CF717E" w14:paraId="6D85C71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45DA82"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DC747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6D88E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2A915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1674A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1E398858"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32AB05"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D7C28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8</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4F45A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3</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2F2A8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7E316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3</w:t>
            </w:r>
          </w:p>
        </w:tc>
      </w:tr>
      <w:tr w:rsidR="00CF717E" w:rsidRPr="00CF717E" w14:paraId="587FDAD9"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30689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tcPr>
          <w:p w14:paraId="7C2953C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Počet návštevníkov – celkový počet na všetkých aktivitách v cieli 1-3</w:t>
            </w:r>
          </w:p>
        </w:tc>
      </w:tr>
      <w:tr w:rsidR="00CF717E" w:rsidRPr="00CF717E" w14:paraId="0AAA1C4B"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FBA3D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C9C70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E603E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31A2D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41FD9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2B7E973F"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0C10BC"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EACB9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90809F" w14:textId="1BC30304"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7</w:t>
            </w:r>
            <w:r>
              <w:rPr>
                <w:rFonts w:ascii="Calibri" w:eastAsia="Times New Roman" w:hAnsi="Calibri" w:cs="Calibri"/>
                <w:b/>
                <w:bCs/>
                <w:sz w:val="24"/>
                <w:szCs w:val="24"/>
                <w:lang w:eastAsia="sk-SK"/>
              </w:rPr>
              <w:t xml:space="preserve"> </w:t>
            </w:r>
            <w:r w:rsidRPr="00CF717E">
              <w:rPr>
                <w:rFonts w:ascii="Calibri" w:eastAsia="Times New Roman" w:hAnsi="Calibri" w:cs="Calibri"/>
                <w:b/>
                <w:bCs/>
                <w:sz w:val="24"/>
                <w:szCs w:val="24"/>
                <w:lang w:eastAsia="sk-SK"/>
              </w:rPr>
              <w:t>000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A332C5" w14:textId="23576714"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7</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DF95B1" w14:textId="6B1A2DB3"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7</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000</w:t>
            </w:r>
          </w:p>
        </w:tc>
      </w:tr>
      <w:tr w:rsidR="00CF717E" w:rsidRPr="00CF717E" w14:paraId="72264D1E"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7D0D9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7F8BE4"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Počet platiacich návštevníkov – celkový počet na všetkých aktivitách v cieli 1-3</w:t>
            </w:r>
          </w:p>
        </w:tc>
      </w:tr>
      <w:tr w:rsidR="00CF717E" w:rsidRPr="00CF717E" w14:paraId="3EE8814D"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6966F2"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9F23C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2DAA7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F28BF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F1A8E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443F65DC"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B53E5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25618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2 500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1A59D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3 500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F688D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3 500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EC8F3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3 500</w:t>
            </w:r>
          </w:p>
        </w:tc>
      </w:tr>
      <w:tr w:rsidR="00CF717E" w:rsidRPr="00CF717E" w14:paraId="5623281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336ED4"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2FA6E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nových inovatívnych aktivít </w:t>
            </w:r>
          </w:p>
        </w:tc>
      </w:tr>
      <w:tr w:rsidR="00CF717E" w:rsidRPr="00CF717E" w14:paraId="68EB093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C4CB7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BED3C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CE2AB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4990A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3E951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752D13B5"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CC9B95"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79637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EAB3B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FE20C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3BE78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w:t>
            </w:r>
          </w:p>
        </w:tc>
      </w:tr>
      <w:tr w:rsidR="00CF717E" w:rsidRPr="00CF717E" w14:paraId="73AC0BA2"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59EA6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lastRenderedPageBreak/>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828819"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spoluprác s obcami  </w:t>
            </w:r>
          </w:p>
        </w:tc>
      </w:tr>
      <w:tr w:rsidR="00CF717E" w:rsidRPr="00CF717E" w14:paraId="0A330CC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473CE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F8A89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694D1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BEBB0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19CF5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20F235AD" w14:textId="77777777" w:rsidTr="00D97E48">
        <w:trPr>
          <w:trHeight w:val="439"/>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7CEFAC"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03961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A1CCD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12</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3B4D4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11B24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12</w:t>
            </w:r>
          </w:p>
        </w:tc>
      </w:tr>
      <w:tr w:rsidR="00CF717E" w:rsidRPr="00CF717E" w14:paraId="00FF166E"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01F183"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Cieľ 3</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9AE2E3"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xml:space="preserve">Zabezpečiť distribúciu podujatí v cieľoch 1 a 2 v celom území Bratislavského samosprávneho kraja </w:t>
            </w:r>
          </w:p>
        </w:tc>
      </w:tr>
      <w:tr w:rsidR="00CF717E" w:rsidRPr="00CF717E" w14:paraId="798B6BFD"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0C261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1E4009"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podujatí v okrese Pezinok </w:t>
            </w:r>
          </w:p>
        </w:tc>
      </w:tr>
      <w:tr w:rsidR="00CF717E" w:rsidRPr="00CF717E" w14:paraId="52BDDEE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BAB72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104E5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9977D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96EA4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A5FBE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7374219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1C3CB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53518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6AFE8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B38F7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8</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9446F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10</w:t>
            </w:r>
          </w:p>
        </w:tc>
      </w:tr>
      <w:tr w:rsidR="00CF717E" w:rsidRPr="00CF717E" w14:paraId="1732484C"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38805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A10465"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podujatí v okrese Malacky </w:t>
            </w:r>
          </w:p>
        </w:tc>
      </w:tr>
      <w:tr w:rsidR="00CF717E" w:rsidRPr="00CF717E" w14:paraId="134F7296"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0C488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47305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17715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65209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9FAA2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5756B98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EBA4D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20408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581BC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2ED65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8</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E0DBA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10</w:t>
            </w:r>
          </w:p>
        </w:tc>
      </w:tr>
      <w:tr w:rsidR="00CF717E" w:rsidRPr="00CF717E" w14:paraId="0F10FC9F"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177A0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B15B8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podujatí v okrese Senec </w:t>
            </w:r>
          </w:p>
        </w:tc>
      </w:tr>
      <w:tr w:rsidR="00CF717E" w:rsidRPr="00CF717E" w14:paraId="5F9AB84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B82A8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44D49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9D54C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C9B2D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DF325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3AC10E93"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9B534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D6B77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9</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482C0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CF3CA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8</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55A5A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10</w:t>
            </w:r>
          </w:p>
        </w:tc>
      </w:tr>
      <w:tr w:rsidR="00CF717E" w:rsidRPr="00CF717E" w14:paraId="65B83864"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58F08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0F22D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podujatí v Bratislave </w:t>
            </w:r>
          </w:p>
        </w:tc>
      </w:tr>
      <w:tr w:rsidR="00CF717E" w:rsidRPr="00CF717E" w14:paraId="177FC89D"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584D8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A4631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7ADBD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4FFF6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05CC6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3251B85F"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3FFB2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9342B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7332C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6F12D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33B91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5</w:t>
            </w:r>
          </w:p>
        </w:tc>
      </w:tr>
      <w:tr w:rsidR="00CF717E" w:rsidRPr="00CF717E" w14:paraId="0BE5EBAB"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1AF3C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05BB0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podujatí v Modre </w:t>
            </w:r>
          </w:p>
        </w:tc>
      </w:tr>
      <w:tr w:rsidR="00CF717E" w:rsidRPr="00CF717E" w14:paraId="59813C78"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8EC1F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B3AEB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43879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B57A2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1C234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4801CCA7"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F9A8D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CF843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0F333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10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2C1ED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A80CD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10</w:t>
            </w:r>
          </w:p>
        </w:tc>
      </w:tr>
      <w:tr w:rsidR="00CF717E" w:rsidRPr="00CF717E" w14:paraId="1B5B71A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150B1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Cieľ 4</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tcPr>
          <w:p w14:paraId="2A585FAE"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xml:space="preserve">Oživenie zverenej infraštruktúry kaštieľa a priľahlej záhrady  </w:t>
            </w:r>
          </w:p>
        </w:tc>
      </w:tr>
      <w:tr w:rsidR="00CF717E" w:rsidRPr="00CF717E" w14:paraId="0A7A281E"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22D1AE"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D2CFC9"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samostatných podujatí v areáli  </w:t>
            </w:r>
          </w:p>
        </w:tc>
      </w:tr>
      <w:tr w:rsidR="00CF717E" w:rsidRPr="00CF717E" w14:paraId="04A28903"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61AF1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3D85BA1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4E404CC2" w14:textId="77777777" w:rsidR="00CF717E" w:rsidRPr="00CF717E" w:rsidRDefault="00CF717E" w:rsidP="00CF717E">
            <w:pPr>
              <w:spacing w:after="0" w:line="240" w:lineRule="auto"/>
              <w:jc w:val="center"/>
              <w:rPr>
                <w:rFonts w:ascii="Calibri" w:eastAsia="Times New Roman" w:hAnsi="Calibri" w:cs="Calibri"/>
                <w:b/>
                <w:bCs/>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13CD90D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tcPr>
          <w:p w14:paraId="503B0E5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59D92C5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6EE44C"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3B3917E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18566F5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46F9B9C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tcPr>
          <w:p w14:paraId="75585C4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w:t>
            </w:r>
          </w:p>
        </w:tc>
      </w:tr>
      <w:tr w:rsidR="00CF717E" w:rsidRPr="00CF717E" w14:paraId="1C0B9A1F"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860A7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tcPr>
          <w:p w14:paraId="604D99A1"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Počet účastníkov</w:t>
            </w:r>
          </w:p>
        </w:tc>
      </w:tr>
      <w:tr w:rsidR="00CF717E" w:rsidRPr="00CF717E" w14:paraId="6FB85DB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244892"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7F00AA1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5789C570" w14:textId="77777777" w:rsidR="00CF717E" w:rsidRPr="00CF717E" w:rsidRDefault="00CF717E" w:rsidP="00CF717E">
            <w:pPr>
              <w:spacing w:after="0" w:line="240" w:lineRule="auto"/>
              <w:jc w:val="center"/>
              <w:rPr>
                <w:rFonts w:ascii="Calibri" w:eastAsia="Times New Roman" w:hAnsi="Calibri" w:cs="Calibri"/>
                <w:b/>
                <w:bCs/>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5B68436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tcPr>
          <w:p w14:paraId="49EEF84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45EA6177"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EF203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06B40B2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441C3527" w14:textId="66581826"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4</w:t>
            </w:r>
            <w:r>
              <w:rPr>
                <w:rFonts w:ascii="Calibri" w:eastAsia="Times New Roman" w:hAnsi="Calibri" w:cs="Calibri"/>
                <w:b/>
                <w:bCs/>
                <w:sz w:val="24"/>
                <w:szCs w:val="24"/>
                <w:lang w:eastAsia="sk-SK"/>
              </w:rPr>
              <w:t xml:space="preserve"> </w:t>
            </w:r>
            <w:r w:rsidRPr="00CF717E">
              <w:rPr>
                <w:rFonts w:ascii="Calibri" w:eastAsia="Times New Roman" w:hAnsi="Calibri" w:cs="Calibri"/>
                <w:b/>
                <w:bCs/>
                <w:sz w:val="24"/>
                <w:szCs w:val="24"/>
                <w:lang w:eastAsia="sk-SK"/>
              </w:rPr>
              <w:t>000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tcPr>
          <w:p w14:paraId="092FE12D" w14:textId="5CA347D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4</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tcPr>
          <w:p w14:paraId="0CDE442E" w14:textId="7F07DB5E"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4</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000</w:t>
            </w:r>
          </w:p>
        </w:tc>
      </w:tr>
      <w:tr w:rsidR="00CF717E" w:rsidRPr="00CF717E" w14:paraId="737F321F"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A9FA61"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F74782"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platiacich účastníkov  </w:t>
            </w:r>
          </w:p>
        </w:tc>
      </w:tr>
      <w:tr w:rsidR="00CF717E" w:rsidRPr="00CF717E" w14:paraId="48DC7098"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B2BEAD"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49F6F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9384B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585D5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01B72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530C18C3"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D842B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8576D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2C438A" w14:textId="6B77A44D"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2</w:t>
            </w:r>
            <w:r>
              <w:rPr>
                <w:rFonts w:ascii="Calibri" w:eastAsia="Times New Roman" w:hAnsi="Calibri" w:cs="Calibri"/>
                <w:b/>
                <w:bCs/>
                <w:sz w:val="24"/>
                <w:szCs w:val="24"/>
                <w:lang w:eastAsia="sk-SK"/>
              </w:rPr>
              <w:t xml:space="preserve"> </w:t>
            </w:r>
            <w:r w:rsidRPr="00CF717E">
              <w:rPr>
                <w:rFonts w:ascii="Calibri" w:eastAsia="Times New Roman" w:hAnsi="Calibri" w:cs="Calibri"/>
                <w:b/>
                <w:bCs/>
                <w:sz w:val="24"/>
                <w:szCs w:val="24"/>
                <w:lang w:eastAsia="sk-SK"/>
              </w:rPr>
              <w:t>500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27B22A" w14:textId="67E70140"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2</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500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EAD578" w14:textId="2427E804"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2</w:t>
            </w:r>
            <w:r>
              <w:rPr>
                <w:rFonts w:ascii="Calibri" w:eastAsia="Times New Roman" w:hAnsi="Calibri" w:cs="Calibri"/>
                <w:sz w:val="24"/>
                <w:szCs w:val="24"/>
                <w:lang w:eastAsia="sk-SK"/>
              </w:rPr>
              <w:t xml:space="preserve"> </w:t>
            </w:r>
            <w:r w:rsidRPr="00CF717E">
              <w:rPr>
                <w:rFonts w:ascii="Calibri" w:eastAsia="Times New Roman" w:hAnsi="Calibri" w:cs="Calibri"/>
                <w:sz w:val="24"/>
                <w:szCs w:val="24"/>
                <w:lang w:eastAsia="sk-SK"/>
              </w:rPr>
              <w:t>500</w:t>
            </w:r>
          </w:p>
        </w:tc>
      </w:tr>
      <w:tr w:rsidR="00CF717E" w:rsidRPr="00CF717E" w14:paraId="7761F378"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1EC53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807053"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podujatí týkajúcich sa vína a vinárstva   </w:t>
            </w:r>
          </w:p>
        </w:tc>
      </w:tr>
      <w:tr w:rsidR="00CF717E" w:rsidRPr="00CF717E" w14:paraId="6B0C5BFB"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C64233"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E65EE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D32BC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43D1D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D6807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654B5C0A"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318FD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67F51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31250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65680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55F95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5</w:t>
            </w:r>
          </w:p>
        </w:tc>
      </w:tr>
      <w:tr w:rsidR="00CF717E" w:rsidRPr="00CF717E" w14:paraId="0A040F90"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16D8E2"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8B0322"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Počet popularizačných podujatí v oblasti digitalizácie</w:t>
            </w:r>
          </w:p>
        </w:tc>
      </w:tr>
      <w:tr w:rsidR="00CF717E" w:rsidRPr="00CF717E" w14:paraId="1E088B3D"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D5C37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B91A0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2952C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5A091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1AAA6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437DC98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D257C2"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7D9AF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AE1E38" w14:textId="77777777" w:rsidR="00CF717E" w:rsidRPr="00CF717E" w:rsidRDefault="00CF717E" w:rsidP="00CF717E">
            <w:pPr>
              <w:spacing w:after="0" w:line="240" w:lineRule="auto"/>
              <w:jc w:val="center"/>
              <w:rPr>
                <w:rFonts w:ascii="Calibri" w:eastAsia="Times New Roman" w:hAnsi="Calibri" w:cs="Calibri"/>
                <w:b/>
                <w:bCs/>
                <w:sz w:val="24"/>
                <w:szCs w:val="24"/>
                <w:lang w:eastAsia="sk-SK"/>
              </w:rPr>
            </w:pPr>
            <w:r w:rsidRPr="00CF717E">
              <w:rPr>
                <w:rFonts w:ascii="Calibri" w:eastAsia="Times New Roman" w:hAnsi="Calibri" w:cs="Calibri"/>
                <w:b/>
                <w:bCs/>
                <w:sz w:val="24"/>
                <w:szCs w:val="24"/>
                <w:lang w:eastAsia="sk-SK"/>
              </w:rPr>
              <w:t> 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C9F7D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5</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353D5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5</w:t>
            </w:r>
          </w:p>
        </w:tc>
      </w:tr>
      <w:tr w:rsidR="00CF717E" w:rsidRPr="00CF717E" w14:paraId="7C893FE6"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A8307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58B7A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odborných podujatí v oblasti digitalizácie   </w:t>
            </w:r>
          </w:p>
        </w:tc>
      </w:tr>
      <w:tr w:rsidR="00CF717E" w:rsidRPr="00CF717E" w14:paraId="230D66B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65656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EFC3D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39A58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90781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5B3BA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672F2B72"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295E08"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lastRenderedPageBreak/>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09288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65ACA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3</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9D26B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E2D5C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3</w:t>
            </w:r>
          </w:p>
        </w:tc>
      </w:tr>
      <w:tr w:rsidR="00CF717E" w:rsidRPr="00CF717E" w14:paraId="01866A89"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A2A88E"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2917E4"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Počet zdigitalizovaných predmetov a zápis do online systému (z terénnych výskumov nehmotného kultúrneho dedičstva)</w:t>
            </w:r>
          </w:p>
        </w:tc>
      </w:tr>
      <w:tr w:rsidR="00CF717E" w:rsidRPr="00CF717E" w14:paraId="1FAA726A"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B1C20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6DE34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B52AD8"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396EF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63EDE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5C553686"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F4088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F7E97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C4BD4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600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9DD2B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600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A9775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600</w:t>
            </w:r>
          </w:p>
        </w:tc>
      </w:tr>
      <w:tr w:rsidR="00CF717E" w:rsidRPr="00CF717E" w14:paraId="73DBF9C4"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19A9AA"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8EC9AF"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Počet publikačných výstupov v oblasti digitalizácie</w:t>
            </w:r>
          </w:p>
        </w:tc>
      </w:tr>
      <w:tr w:rsidR="00CF717E" w:rsidRPr="00CF717E" w14:paraId="59B362CB"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09C113"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40CCE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01429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65373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03D29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2B9AA389"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E1E175"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932BE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092EE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599E9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263A6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w:t>
            </w:r>
          </w:p>
        </w:tc>
      </w:tr>
      <w:tr w:rsidR="00CF717E" w:rsidRPr="00CF717E" w14:paraId="47F762B5"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8081C1"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FEB1C9"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VOS a sprístupnenie kaviarne v záhrade kaštieľa</w:t>
            </w:r>
          </w:p>
        </w:tc>
      </w:tr>
      <w:tr w:rsidR="00CF717E" w:rsidRPr="00CF717E" w14:paraId="57D5369A"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9288CD"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97128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AE171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B9801D"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74A47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4D713579"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9C8A96"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7D71C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821470"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1</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56FB5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F5B6C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w:t>
            </w:r>
          </w:p>
        </w:tc>
      </w:tr>
      <w:tr w:rsidR="00CF717E" w:rsidRPr="00CF717E" w14:paraId="61E92BF9"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1D4C9C"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10B47D"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Letná škola/tábor v oblasti kultúrno-umeleckej činnosti pre deti a mládež  </w:t>
            </w:r>
          </w:p>
        </w:tc>
      </w:tr>
      <w:tr w:rsidR="00CF717E" w:rsidRPr="00CF717E" w14:paraId="02378811"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48E65E"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BA881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04331F"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2A18C3"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04A4EA"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64883CAF"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6BAC99"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C93AC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E1DDC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1</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061F8B"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F4E1D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1</w:t>
            </w:r>
          </w:p>
        </w:tc>
      </w:tr>
      <w:tr w:rsidR="00CF717E" w:rsidRPr="00CF717E" w14:paraId="7218CA86"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8CE80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AE485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xml:space="preserve">Počet účastníkov letnej školy  </w:t>
            </w:r>
          </w:p>
        </w:tc>
      </w:tr>
      <w:tr w:rsidR="00CF717E" w:rsidRPr="00CF717E" w14:paraId="72E7B2FD"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1E6FFD"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BB19BE"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D79041"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C5B56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CCF53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593ADA37"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CA91B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44F26C"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 </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14E40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50</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7C2B9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50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A049C6"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50</w:t>
            </w:r>
          </w:p>
        </w:tc>
      </w:tr>
      <w:tr w:rsidR="00CF717E" w:rsidRPr="00CF717E" w14:paraId="77F2560D"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D24D0B"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Merateľný ukazovateľ</w:t>
            </w:r>
          </w:p>
        </w:tc>
        <w:tc>
          <w:tcPr>
            <w:tcW w:w="0" w:type="auto"/>
            <w:gridSpan w:val="11"/>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E26967"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Prezentácia zariadenia a aktivít  mimo územia svojej pôsobnosti (nielen v zahraničí, či v iných krajoch, ale aj v partnerských zariadeniach BSK)</w:t>
            </w:r>
          </w:p>
        </w:tc>
      </w:tr>
      <w:tr w:rsidR="00CF717E" w:rsidRPr="00CF717E" w14:paraId="77D1D22B"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DC356C"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FA3E15"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2CA144"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2025</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338E4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E6658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2027</w:t>
            </w:r>
          </w:p>
        </w:tc>
      </w:tr>
      <w:tr w:rsidR="00CF717E" w:rsidRPr="00CF717E" w14:paraId="799A972A" w14:textId="77777777" w:rsidTr="00D97E48">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78AB90" w14:textId="77777777" w:rsidR="00CF717E" w:rsidRPr="00CF717E" w:rsidRDefault="00CF717E" w:rsidP="00CF717E">
            <w:pPr>
              <w:spacing w:after="0" w:line="240" w:lineRule="auto"/>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5A9B8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0DCA02"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2</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0B96A7"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9F5C09" w14:textId="77777777" w:rsidR="00CF717E" w:rsidRPr="00CF717E" w:rsidRDefault="00CF717E" w:rsidP="00CF717E">
            <w:pPr>
              <w:spacing w:after="0" w:line="240" w:lineRule="auto"/>
              <w:jc w:val="center"/>
              <w:rPr>
                <w:rFonts w:ascii="Calibri" w:eastAsia="Times New Roman" w:hAnsi="Calibri" w:cs="Calibri"/>
                <w:sz w:val="24"/>
                <w:szCs w:val="24"/>
                <w:lang w:eastAsia="sk-SK"/>
              </w:rPr>
            </w:pPr>
            <w:r w:rsidRPr="00CF717E">
              <w:rPr>
                <w:rFonts w:ascii="Calibri" w:eastAsia="Times New Roman" w:hAnsi="Calibri" w:cs="Calibri"/>
                <w:sz w:val="24"/>
                <w:szCs w:val="24"/>
                <w:lang w:eastAsia="sk-SK"/>
              </w:rPr>
              <w:t>2</w:t>
            </w:r>
          </w:p>
        </w:tc>
      </w:tr>
    </w:tbl>
    <w:p w14:paraId="3AA6148E" w14:textId="77777777" w:rsidR="00CF717E" w:rsidRDefault="00CF717E" w:rsidP="00CF717E">
      <w:pPr>
        <w:spacing w:after="0" w:line="240" w:lineRule="auto"/>
        <w:rPr>
          <w:rFonts w:ascii="Calibri" w:eastAsia="Times New Roman" w:hAnsi="Calibri" w:cs="Calibri"/>
          <w:sz w:val="24"/>
          <w:szCs w:val="24"/>
          <w:lang w:eastAsia="sk-SK"/>
        </w:rPr>
      </w:pPr>
    </w:p>
    <w:p w14:paraId="5D90761A" w14:textId="77777777" w:rsidR="00CF717E" w:rsidRPr="00CF717E" w:rsidRDefault="00CF717E" w:rsidP="00CF717E">
      <w:pPr>
        <w:spacing w:after="0" w:line="240" w:lineRule="auto"/>
        <w:rPr>
          <w:rFonts w:ascii="Calibri" w:eastAsia="Times New Roman" w:hAnsi="Calibri" w:cs="Calibri"/>
          <w:vanish/>
          <w:sz w:val="24"/>
          <w:szCs w:val="24"/>
          <w:lang w:eastAsia="sk-SK"/>
        </w:rPr>
      </w:pPr>
    </w:p>
    <w:p w14:paraId="707B4B71" w14:textId="1D845EF1" w:rsidR="00CF717E" w:rsidRPr="00CF717E" w:rsidRDefault="00CF717E" w:rsidP="00CF717E">
      <w:pPr>
        <w:spacing w:after="0" w:line="240" w:lineRule="auto"/>
        <w:jc w:val="both"/>
        <w:rPr>
          <w:rFonts w:ascii="Calibri" w:eastAsia="Times New Roman" w:hAnsi="Calibri" w:cs="Calibri"/>
          <w:sz w:val="24"/>
          <w:szCs w:val="24"/>
          <w:lang w:eastAsia="sk-SK"/>
        </w:rPr>
      </w:pPr>
      <w:r w:rsidRPr="00CF717E">
        <w:rPr>
          <w:rFonts w:ascii="Calibri" w:eastAsia="Times New Roman" w:hAnsi="Calibri" w:cs="Calibri"/>
          <w:b/>
          <w:bCs/>
          <w:sz w:val="24"/>
          <w:szCs w:val="24"/>
          <w:lang w:eastAsia="sk-SK"/>
        </w:rPr>
        <w:t xml:space="preserve">Komentár: </w:t>
      </w:r>
      <w:r w:rsidRPr="00CF717E">
        <w:rPr>
          <w:rFonts w:ascii="Calibri" w:eastAsia="Times New Roman" w:hAnsi="Calibri" w:cs="Calibri"/>
          <w:sz w:val="24"/>
          <w:szCs w:val="24"/>
          <w:lang w:eastAsia="sk-SK"/>
        </w:rPr>
        <w:t xml:space="preserve">Medzi hlavné úlohy MOS patrí realizácia tradičných kultúrnych a spoločenských podujatí s cieľom prispieť k rozvoju miestnej regionálnej kultúry a neprofesionálneho umenia v Bratislavskom kraji. MOS tiež poskytuje metodický servis a odbornú pomoc jednotlivcom a súborom v oblasti ZUČ a v oblasti záujmového vzdelávania. Realizácia projektu „Kultúrno-kreatívne oživenie tradícií“ implikuje zvýšené náklady počas realizácie aj v rámci udržateľnosti projektu, z ktorého vyplýva udržateľnosť, a najmä rozvoj organizácie smerom k vyvíjaniu nových druhov činností. MOS sa v období rokov 2025 – 2027 bude zaoberať najmä rozvojom zručností a vzdelávania detí, dospelých, a to v oblasti tradičnej kultúry, výtvarného umenia a kultúrno-osvetovej činnosti a práce s verejnosťou v oblasti odborných prednášok. V rámci digitalizácie preberie zodpovednosť za samotnú prácu výskumu (aj terénneho), odborného spracovania výsledkov a ich popularizáciu. Očakáva sa tiež zvýšená pozornosť na kooperáciu v rámci obcí a prácu so školami. Organizovanie letných škôl pre deti a mládež, s obsahovým zameraním vyplývajúcim z jej hlavnej činnosti. V roku 2025 sa sústredí na oživenie programov v záhrade kaštieľa a na aktivity mimo malokarpatského regiónu. </w:t>
      </w:r>
    </w:p>
    <w:p w14:paraId="59335483" w14:textId="77777777" w:rsidR="00CF717E" w:rsidRDefault="00CF717E" w:rsidP="00427052">
      <w:pPr>
        <w:spacing w:after="0" w:line="240" w:lineRule="auto"/>
        <w:jc w:val="both"/>
        <w:rPr>
          <w:rFonts w:eastAsiaTheme="minorEastAsia" w:cstheme="minorHAnsi"/>
          <w:sz w:val="24"/>
          <w:szCs w:val="24"/>
          <w:lang w:eastAsia="sk-SK"/>
        </w:rPr>
      </w:pPr>
    </w:p>
    <w:p w14:paraId="6B9899E3" w14:textId="4D6EE292" w:rsidR="00427052" w:rsidRPr="00427052" w:rsidRDefault="00427052" w:rsidP="005C26D1">
      <w:pPr>
        <w:spacing w:before="120" w:after="120" w:line="240" w:lineRule="auto"/>
        <w:jc w:val="both"/>
        <w:outlineLvl w:val="2"/>
        <w:rPr>
          <w:rFonts w:eastAsia="Times New Roman" w:cstheme="minorHAnsi"/>
          <w:b/>
          <w:bCs/>
          <w:sz w:val="27"/>
          <w:szCs w:val="27"/>
          <w:lang w:eastAsia="sk-SK"/>
        </w:rPr>
      </w:pPr>
      <w:r w:rsidRPr="00427052">
        <w:rPr>
          <w:rFonts w:eastAsia="Times New Roman" w:cstheme="minorHAnsi"/>
          <w:b/>
          <w:bCs/>
          <w:color w:val="0000FF"/>
          <w:sz w:val="27"/>
          <w:szCs w:val="27"/>
          <w:lang w:eastAsia="sk-SK"/>
        </w:rPr>
        <w:t>Podprogram 10.6: Malokarpatská knižnica v Pezinku - príspevková organizácia</w:t>
      </w:r>
      <w:r w:rsidRPr="00427052">
        <w:rPr>
          <w:rFonts w:eastAsia="Times New Roman" w:cstheme="minorHAnsi"/>
          <w:b/>
          <w:bCs/>
          <w:sz w:val="27"/>
          <w:szCs w:val="27"/>
          <w:lang w:eastAsia="sk-SK"/>
        </w:rPr>
        <w:t xml:space="preserve"> </w:t>
      </w:r>
    </w:p>
    <w:p w14:paraId="58549672" w14:textId="77777777" w:rsidR="00427052" w:rsidRDefault="00427052" w:rsidP="005C26D1">
      <w:pPr>
        <w:spacing w:before="120" w:after="120" w:line="240" w:lineRule="auto"/>
        <w:jc w:val="both"/>
        <w:rPr>
          <w:rFonts w:eastAsiaTheme="minorEastAsia" w:cstheme="minorHAnsi"/>
          <w:sz w:val="24"/>
          <w:szCs w:val="24"/>
          <w:lang w:eastAsia="sk-SK"/>
        </w:rPr>
      </w:pPr>
      <w:r w:rsidRPr="00427052">
        <w:rPr>
          <w:rFonts w:eastAsiaTheme="minorEastAsia" w:cstheme="minorHAnsi"/>
          <w:b/>
          <w:bCs/>
          <w:sz w:val="24"/>
          <w:szCs w:val="24"/>
          <w:lang w:eastAsia="sk-SK"/>
        </w:rPr>
        <w:t xml:space="preserve">Zámer: </w:t>
      </w:r>
      <w:r w:rsidRPr="00427052">
        <w:rPr>
          <w:rFonts w:eastAsiaTheme="minorEastAsia" w:cstheme="minorHAnsi"/>
          <w:sz w:val="24"/>
          <w:szCs w:val="24"/>
          <w:lang w:eastAsia="sk-SK"/>
        </w:rPr>
        <w:t>Kvalitné a dostupné knižnično-informačné služby.</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3"/>
        <w:gridCol w:w="2215"/>
        <w:gridCol w:w="1430"/>
        <w:gridCol w:w="1430"/>
        <w:gridCol w:w="649"/>
        <w:gridCol w:w="1430"/>
        <w:gridCol w:w="649"/>
        <w:gridCol w:w="1430"/>
        <w:gridCol w:w="664"/>
      </w:tblGrid>
      <w:tr w:rsidR="00580BB3" w:rsidRPr="00580BB3" w14:paraId="3EEE8500" w14:textId="77777777" w:rsidTr="00D97E48">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C68BD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i/>
                <w:iCs/>
                <w:sz w:val="24"/>
                <w:szCs w:val="24"/>
                <w:lang w:eastAsia="sk-SK"/>
              </w:rPr>
              <w:t>Rozpočet v EUR</w:t>
            </w:r>
          </w:p>
        </w:tc>
      </w:tr>
      <w:tr w:rsidR="00580BB3" w:rsidRPr="00580BB3" w14:paraId="544E690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F71340E"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4E6DBE0"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78DCB3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5BA92B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19C43B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2DD876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A0A422"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8C56FC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95E5E2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w:t>
            </w:r>
          </w:p>
        </w:tc>
      </w:tr>
      <w:tr w:rsidR="00580BB3" w:rsidRPr="00580BB3" w14:paraId="2A3A9FB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2075E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59085E"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Výdavky celkom</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A30758"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458 981,00</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5D84ED"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492 271,49</w:t>
            </w:r>
            <w:r w:rsidRPr="00580BB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C1364A"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107,25</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4C8595"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533 332,34</w:t>
            </w:r>
            <w:r w:rsidRPr="00580BB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AD70A8"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108,34</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5C7BA77"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569 877,67</w:t>
            </w:r>
            <w:r w:rsidRPr="00580BB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49547A"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106,85</w:t>
            </w:r>
            <w:r w:rsidRPr="00580BB3">
              <w:rPr>
                <w:rFonts w:ascii="Calibri" w:eastAsia="Times New Roman" w:hAnsi="Calibri" w:cs="Calibri"/>
                <w:sz w:val="24"/>
                <w:szCs w:val="24"/>
                <w:lang w:eastAsia="sk-SK"/>
              </w:rPr>
              <w:t xml:space="preserve"> </w:t>
            </w:r>
          </w:p>
        </w:tc>
      </w:tr>
      <w:tr w:rsidR="00580BB3" w:rsidRPr="00580BB3" w14:paraId="2682762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60E0FB1"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600</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7CB579"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Bežné výdavky</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4A90F7"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458 981,00</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A81B70"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492 271,49</w:t>
            </w:r>
            <w:r w:rsidRPr="00580BB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316B03"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107,25</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E304F8"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533 332,34</w:t>
            </w:r>
            <w:r w:rsidRPr="00580BB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425E62"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108,34</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2BA99A"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569 877,67</w:t>
            </w:r>
            <w:r w:rsidRPr="00580BB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161DCF"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b/>
                <w:bCs/>
                <w:sz w:val="20"/>
                <w:szCs w:val="20"/>
                <w:lang w:eastAsia="sk-SK"/>
              </w:rPr>
              <w:t>106,85</w:t>
            </w:r>
            <w:r w:rsidRPr="00580BB3">
              <w:rPr>
                <w:rFonts w:ascii="Calibri" w:eastAsia="Times New Roman" w:hAnsi="Calibri" w:cs="Calibri"/>
                <w:sz w:val="24"/>
                <w:szCs w:val="24"/>
                <w:lang w:eastAsia="sk-SK"/>
              </w:rPr>
              <w:t xml:space="preserve"> </w:t>
            </w:r>
          </w:p>
        </w:tc>
      </w:tr>
      <w:tr w:rsidR="00580BB3" w:rsidRPr="00580BB3" w14:paraId="6081F86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5FA8110"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0"/>
                <w:szCs w:val="20"/>
                <w:lang w:eastAsia="sk-SK"/>
              </w:rPr>
              <w:t>640</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36420B"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0"/>
                <w:szCs w:val="20"/>
                <w:lang w:eastAsia="sk-SK"/>
              </w:rPr>
              <w:t>Bežné transfery</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9063F6"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sz w:val="20"/>
                <w:szCs w:val="20"/>
                <w:lang w:eastAsia="sk-SK"/>
              </w:rPr>
              <w:t>458 981,00</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0577E2D"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sz w:val="20"/>
                <w:szCs w:val="20"/>
                <w:lang w:eastAsia="sk-SK"/>
              </w:rPr>
              <w:t>492 271,49</w:t>
            </w:r>
            <w:r w:rsidRPr="00580BB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7906BD4"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sz w:val="20"/>
                <w:szCs w:val="20"/>
                <w:lang w:eastAsia="sk-SK"/>
              </w:rPr>
              <w:t>107,25</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A855193"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sz w:val="20"/>
                <w:szCs w:val="20"/>
                <w:lang w:eastAsia="sk-SK"/>
              </w:rPr>
              <w:t>533 332,34</w:t>
            </w:r>
            <w:r w:rsidRPr="00580BB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79738AA"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sz w:val="20"/>
                <w:szCs w:val="20"/>
                <w:lang w:eastAsia="sk-SK"/>
              </w:rPr>
              <w:t>108,34</w:t>
            </w:r>
            <w:r w:rsidRPr="00580BB3">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659771"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sz w:val="20"/>
                <w:szCs w:val="20"/>
                <w:lang w:eastAsia="sk-SK"/>
              </w:rPr>
              <w:t>569 877,67</w:t>
            </w:r>
            <w:r w:rsidRPr="00580BB3">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76FA10C" w14:textId="77777777" w:rsidR="00580BB3" w:rsidRPr="00580BB3" w:rsidRDefault="00580BB3" w:rsidP="00580BB3">
            <w:pPr>
              <w:spacing w:after="0" w:line="240" w:lineRule="auto"/>
              <w:jc w:val="right"/>
              <w:rPr>
                <w:rFonts w:ascii="Calibri" w:eastAsia="Times New Roman" w:hAnsi="Calibri" w:cs="Calibri"/>
                <w:sz w:val="24"/>
                <w:szCs w:val="24"/>
                <w:lang w:eastAsia="sk-SK"/>
              </w:rPr>
            </w:pPr>
            <w:r w:rsidRPr="00580BB3">
              <w:rPr>
                <w:rFonts w:ascii="Calibri" w:eastAsia="Times New Roman" w:hAnsi="Calibri" w:cs="Calibri"/>
                <w:sz w:val="20"/>
                <w:szCs w:val="20"/>
                <w:lang w:eastAsia="sk-SK"/>
              </w:rPr>
              <w:t>106,85</w:t>
            </w:r>
            <w:r w:rsidRPr="00580BB3">
              <w:rPr>
                <w:rFonts w:ascii="Calibri" w:eastAsia="Times New Roman" w:hAnsi="Calibri" w:cs="Calibri"/>
                <w:sz w:val="24"/>
                <w:szCs w:val="24"/>
                <w:lang w:eastAsia="sk-SK"/>
              </w:rPr>
              <w:t xml:space="preserve"> </w:t>
            </w:r>
          </w:p>
        </w:tc>
      </w:tr>
    </w:tbl>
    <w:p w14:paraId="7523D70B" w14:textId="77777777" w:rsidR="00580BB3" w:rsidRPr="00580BB3" w:rsidRDefault="00580BB3" w:rsidP="00580BB3">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31"/>
        <w:gridCol w:w="2031"/>
        <w:gridCol w:w="2031"/>
        <w:gridCol w:w="2046"/>
      </w:tblGrid>
      <w:tr w:rsidR="00580BB3" w:rsidRPr="00580BB3" w14:paraId="45E1F07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FDA758"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lastRenderedPageBreak/>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09DFF7"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Riaditeľ zariadenia</w:t>
            </w:r>
          </w:p>
        </w:tc>
      </w:tr>
      <w:tr w:rsidR="00580BB3" w:rsidRPr="00580BB3" w14:paraId="44D7835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D2775F"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3A3A33"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Skvalitňovanie knižnično-informačných služieb a kultúrno-výchovnej činnosti</w:t>
            </w:r>
          </w:p>
        </w:tc>
      </w:tr>
      <w:tr w:rsidR="00580BB3" w:rsidRPr="00580BB3" w14:paraId="3EC7FA2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D60E53"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F053B5"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Počet všetkých výpožičiek</w:t>
            </w:r>
          </w:p>
        </w:tc>
      </w:tr>
      <w:tr w:rsidR="00580BB3" w:rsidRPr="00580BB3" w14:paraId="523CA7D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D49B3D"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542A4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E7E68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847E7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F5AEB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240E462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003C52"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1705B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145 000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43BF2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150 000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0954C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150 000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05F17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150 000</w:t>
            </w:r>
          </w:p>
        </w:tc>
      </w:tr>
      <w:tr w:rsidR="00580BB3" w:rsidRPr="00580BB3" w14:paraId="7BBFF7F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A5A4F9"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B6D2C1"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Počet výstav</w:t>
            </w:r>
          </w:p>
        </w:tc>
      </w:tr>
      <w:tr w:rsidR="00580BB3" w:rsidRPr="00580BB3" w14:paraId="3BA0546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98FEB3"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6FDA9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21AA3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8C1E9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7EE83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64E9FBE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D226D8"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28EDE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3AC08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F8FB8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D6F10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15</w:t>
            </w:r>
          </w:p>
        </w:tc>
      </w:tr>
      <w:tr w:rsidR="00580BB3" w:rsidRPr="00580BB3" w14:paraId="1A3ADA8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71B3A4"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059BE7"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Návštevnosť podujatí vo vekovej kategórii do 15 rokov</w:t>
            </w:r>
          </w:p>
        </w:tc>
      </w:tr>
      <w:tr w:rsidR="00580BB3" w:rsidRPr="00580BB3" w14:paraId="453E3A1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DEB001"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13085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3362E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66BA7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0D6DE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1154F0A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486CC2"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8142D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6 000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EE0F6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7 000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D14EA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7 000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C29ED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7 000</w:t>
            </w:r>
          </w:p>
        </w:tc>
      </w:tr>
      <w:tr w:rsidR="00580BB3" w:rsidRPr="00580BB3" w14:paraId="203B59F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A1203F"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5EC1BD"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Návštevnosť podujatí vo vekovej kategórii 15-65 rokov</w:t>
            </w:r>
          </w:p>
        </w:tc>
      </w:tr>
      <w:tr w:rsidR="00580BB3" w:rsidRPr="00580BB3" w14:paraId="455253B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F7FFBA"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1A3A9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47942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0B13A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FCC65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67A0454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639331"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12793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C2337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3 000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3C407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3 000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818A37"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3 000</w:t>
            </w:r>
          </w:p>
        </w:tc>
      </w:tr>
      <w:tr w:rsidR="00580BB3" w:rsidRPr="00580BB3" w14:paraId="022C5BB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8ECB2D"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154608"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Návštevnosť podujatí vo vekovej kategórii 65+</w:t>
            </w:r>
          </w:p>
        </w:tc>
      </w:tr>
      <w:tr w:rsidR="00580BB3" w:rsidRPr="00580BB3" w14:paraId="6816A33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C7B899"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01B11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F43C6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BD8B2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90A50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3AAD758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7FD031"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62BA8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9A6E8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8F5F0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3D608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2 000</w:t>
            </w:r>
          </w:p>
        </w:tc>
      </w:tr>
      <w:tr w:rsidR="00580BB3" w:rsidRPr="00580BB3" w14:paraId="666B7C9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82ECBA"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C05AE2"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Počet platiacich návštevníkov podujatí</w:t>
            </w:r>
          </w:p>
        </w:tc>
      </w:tr>
      <w:tr w:rsidR="00580BB3" w:rsidRPr="00580BB3" w14:paraId="3FC8173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97D405"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ADA6E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E797C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B73E5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DF18D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20EB308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306F06"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2040A7"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3 000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5D09B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1 500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4B1437"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534E3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1 500</w:t>
            </w:r>
          </w:p>
        </w:tc>
      </w:tr>
      <w:tr w:rsidR="00580BB3" w:rsidRPr="00580BB3" w14:paraId="7D3AA62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B066A7"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5F11CB"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Počet výpožičiek PALM spolu</w:t>
            </w:r>
          </w:p>
        </w:tc>
      </w:tr>
      <w:tr w:rsidR="00580BB3" w:rsidRPr="00580BB3" w14:paraId="0A5B9D7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045D43"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7AB75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D97DC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BBBD1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53291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653A95B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B39BDD"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6F66B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C571C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300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AB72B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300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5D3EB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300</w:t>
            </w:r>
          </w:p>
        </w:tc>
      </w:tr>
      <w:tr w:rsidR="00580BB3" w:rsidRPr="00580BB3" w14:paraId="60EFB0B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8F6F85"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B5FE76"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Počet žiadaných projektov</w:t>
            </w:r>
          </w:p>
        </w:tc>
      </w:tr>
      <w:tr w:rsidR="00580BB3" w:rsidRPr="00580BB3" w14:paraId="2F352B7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5BFB28"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BF112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03283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2BA93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0782E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4907EF6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D218E7"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121C2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CDD90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0BE6D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A3A54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w:t>
            </w:r>
          </w:p>
        </w:tc>
      </w:tr>
      <w:tr w:rsidR="00580BB3" w:rsidRPr="00580BB3" w14:paraId="411FFC7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782A1E"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F4A9B9"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xml:space="preserve">Počet koncepčných materiálov </w:t>
            </w:r>
          </w:p>
        </w:tc>
      </w:tr>
      <w:tr w:rsidR="00580BB3" w:rsidRPr="00580BB3" w14:paraId="0BF146F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254E68"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3D91D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10EFC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CC5E4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494BE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392BDDB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3C432D"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EA003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1658C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57AEB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D7859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w:t>
            </w:r>
          </w:p>
        </w:tc>
      </w:tr>
      <w:tr w:rsidR="00580BB3" w:rsidRPr="00580BB3" w14:paraId="3269ABF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E5D826"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A210C2"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Festival / podujatie opakujúce sa každý rok</w:t>
            </w:r>
          </w:p>
        </w:tc>
      </w:tr>
      <w:tr w:rsidR="00580BB3" w:rsidRPr="00580BB3" w14:paraId="13919A7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F79D4B"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5A094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23E4F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143D62"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83CE6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3025A3F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E05DD0"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7BDB7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9E409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209FB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9C3EE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w:t>
            </w:r>
          </w:p>
        </w:tc>
      </w:tr>
      <w:tr w:rsidR="00580BB3" w:rsidRPr="00580BB3" w14:paraId="44F16D7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112815"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3B7B2E"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xml:space="preserve">Počet návštevníkov výstav </w:t>
            </w:r>
          </w:p>
        </w:tc>
      </w:tr>
      <w:tr w:rsidR="00580BB3" w:rsidRPr="00580BB3" w14:paraId="5B958AD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01AC05"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313FB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653727"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01A27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C1A9A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4799B143"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FD000D"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F7BC4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FFBE0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800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2AB7A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D4BE6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800</w:t>
            </w:r>
          </w:p>
        </w:tc>
      </w:tr>
      <w:tr w:rsidR="00580BB3" w:rsidRPr="00580BB3" w14:paraId="4767212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323F7D"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BA8AAF"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Počet súťaží (literárnych, výtvarných, atď.)</w:t>
            </w:r>
          </w:p>
        </w:tc>
      </w:tr>
      <w:tr w:rsidR="00580BB3" w:rsidRPr="00580BB3" w14:paraId="687CB5E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70D819"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1F109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CD7FE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B16A9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53AF67"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2FC6BB7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5AE3DE"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E46EA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76B112"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73F1A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0A861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15</w:t>
            </w:r>
          </w:p>
        </w:tc>
      </w:tr>
      <w:tr w:rsidR="00580BB3" w:rsidRPr="00580BB3" w14:paraId="5BC7C8C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132E3B"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lastRenderedPageBreak/>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E17163"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Počet literárno-vzdelávacích podujatí pre deti a mládež - rodinné podujatia (workshopy, besedy atď.)</w:t>
            </w:r>
          </w:p>
        </w:tc>
      </w:tr>
      <w:tr w:rsidR="00580BB3" w:rsidRPr="00580BB3" w14:paraId="17BA081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6EE7D1"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C00F2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10FC12"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A2EFE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DAD8B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3FD5A60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D4C84C"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14EE1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FDCF9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112C97"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E8962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80</w:t>
            </w:r>
          </w:p>
        </w:tc>
      </w:tr>
      <w:tr w:rsidR="00580BB3" w:rsidRPr="00580BB3" w14:paraId="17002B0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4EE2B7"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5C323E"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xml:space="preserve">Počet návštevníkov literárno-vzdelávacích podujatí pre deti a mládež - rodinné podujatia (workshopy, besedy </w:t>
            </w:r>
            <w:proofErr w:type="spellStart"/>
            <w:r w:rsidRPr="00580BB3">
              <w:rPr>
                <w:rFonts w:ascii="Calibri" w:eastAsia="Times New Roman" w:hAnsi="Calibri" w:cs="Calibri"/>
                <w:sz w:val="24"/>
                <w:szCs w:val="24"/>
                <w:lang w:eastAsia="sk-SK"/>
              </w:rPr>
              <w:t>atď</w:t>
            </w:r>
            <w:proofErr w:type="spellEnd"/>
            <w:r w:rsidRPr="00580BB3">
              <w:rPr>
                <w:rFonts w:ascii="Calibri" w:eastAsia="Times New Roman" w:hAnsi="Calibri" w:cs="Calibri"/>
                <w:sz w:val="24"/>
                <w:szCs w:val="24"/>
                <w:lang w:eastAsia="sk-SK"/>
              </w:rPr>
              <w:t>)</w:t>
            </w:r>
          </w:p>
        </w:tc>
      </w:tr>
      <w:tr w:rsidR="00580BB3" w:rsidRPr="00580BB3" w14:paraId="613732C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7E6B80"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EEF8C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CB882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32CBB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BDB78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11B0851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A3C99F"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7A9D9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FDB3D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1 500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E8A867"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914FD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1 500</w:t>
            </w:r>
          </w:p>
        </w:tc>
      </w:tr>
      <w:tr w:rsidR="00580BB3" w:rsidRPr="00580BB3" w14:paraId="683FA17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EF37D9"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3E4DE8"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xml:space="preserve">Počet literárno-vzdelávacích podujatí pre dospelých </w:t>
            </w:r>
          </w:p>
        </w:tc>
      </w:tr>
      <w:tr w:rsidR="00580BB3" w:rsidRPr="00580BB3" w14:paraId="06AF49A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220016"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6A2C1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2BA34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2320E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B0FB8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239FE4F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AA82EA"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6CF14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71C37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651B7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DBF05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50</w:t>
            </w:r>
          </w:p>
        </w:tc>
      </w:tr>
      <w:tr w:rsidR="00580BB3" w:rsidRPr="00580BB3" w14:paraId="79A26F1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209E45"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64872C"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Prírastky knižničného fondu spolu</w:t>
            </w:r>
          </w:p>
        </w:tc>
      </w:tr>
      <w:tr w:rsidR="00580BB3" w:rsidRPr="00580BB3" w14:paraId="1A8723F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8D73FD"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A7A3A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3D0E7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61915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10F4A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630D248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7B2DC4"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97A82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4 000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1A7B8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4 000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015C4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4 000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3D19A2"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4 000</w:t>
            </w:r>
          </w:p>
        </w:tc>
      </w:tr>
      <w:tr w:rsidR="00580BB3" w:rsidRPr="00580BB3" w14:paraId="3100D1A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3F5698"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E9A8E3"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xml:space="preserve">Počet návštevníkov literárno-vzdelávacích podujatí pre dospelých </w:t>
            </w:r>
          </w:p>
        </w:tc>
      </w:tr>
      <w:tr w:rsidR="00580BB3" w:rsidRPr="00580BB3" w14:paraId="4C329B1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76B3B5"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D8CC4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22332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11848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16511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23898F8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751EEB"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2FFB7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CF7CE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F8180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BF1B5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2 000</w:t>
            </w:r>
          </w:p>
        </w:tc>
      </w:tr>
      <w:tr w:rsidR="00580BB3" w:rsidRPr="00580BB3" w14:paraId="43E84E3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553371"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A375BB"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Počet literárno-vzdelávacích podujatí pre školy a letné školy (workshopy, besedy atď.)</w:t>
            </w:r>
          </w:p>
        </w:tc>
      </w:tr>
      <w:tr w:rsidR="00580BB3" w:rsidRPr="00580BB3" w14:paraId="6EE93546"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0C7DAD"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3E217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961D2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EA56D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12238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19CCDAD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ADB2B9"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AE131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1F0F7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110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A0B48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3A5B4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110</w:t>
            </w:r>
          </w:p>
        </w:tc>
      </w:tr>
      <w:tr w:rsidR="00580BB3" w:rsidRPr="00580BB3" w14:paraId="19C79E7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F4ED81"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4867EB"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xml:space="preserve">Počet návštevníkov literárno-vzdelávacích </w:t>
            </w:r>
            <w:proofErr w:type="spellStart"/>
            <w:r w:rsidRPr="00580BB3">
              <w:rPr>
                <w:rFonts w:ascii="Calibri" w:eastAsia="Times New Roman" w:hAnsi="Calibri" w:cs="Calibri"/>
                <w:sz w:val="24"/>
                <w:szCs w:val="24"/>
                <w:lang w:eastAsia="sk-SK"/>
              </w:rPr>
              <w:t>podjatí</w:t>
            </w:r>
            <w:proofErr w:type="spellEnd"/>
            <w:r w:rsidRPr="00580BB3">
              <w:rPr>
                <w:rFonts w:ascii="Calibri" w:eastAsia="Times New Roman" w:hAnsi="Calibri" w:cs="Calibri"/>
                <w:sz w:val="24"/>
                <w:szCs w:val="24"/>
                <w:lang w:eastAsia="sk-SK"/>
              </w:rPr>
              <w:t xml:space="preserve"> pre školy a letné školy (workshopy, besedy atď.)</w:t>
            </w:r>
          </w:p>
        </w:tc>
      </w:tr>
      <w:tr w:rsidR="00580BB3" w:rsidRPr="00580BB3" w14:paraId="7B9C59F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169A31"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25F94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DA055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0AE87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85EB3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4FAA7782"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3353A9"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1D3D7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CB7AC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4 000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323D3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4 000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638322"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4 000</w:t>
            </w:r>
          </w:p>
        </w:tc>
      </w:tr>
      <w:tr w:rsidR="00580BB3" w:rsidRPr="00580BB3" w14:paraId="74B941B4"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B78CFE"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A8D326"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Počet literárno-vzdelávacích podujatí v okrese Senec</w:t>
            </w:r>
          </w:p>
        </w:tc>
      </w:tr>
      <w:tr w:rsidR="00580BB3" w:rsidRPr="00580BB3" w14:paraId="3F24BD3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1A7B9F"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05458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48F97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96A47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30547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29CCF20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7B76A3"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8349F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BA7C0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33E6F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3058D7"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r>
      <w:tr w:rsidR="00580BB3" w:rsidRPr="00580BB3" w14:paraId="45518CA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6E63D7"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F912C3"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Počet literárno-vzdelávacích podujatí v okrese Pezinok (mimo Pezinka)</w:t>
            </w:r>
          </w:p>
        </w:tc>
      </w:tr>
      <w:tr w:rsidR="00580BB3" w:rsidRPr="00580BB3" w14:paraId="6B28F40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8D6C8E"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8A82E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CC2F9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4B31C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C1DC3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51C46EE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279607"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B3556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DFEF2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E5FDB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4218F7"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r>
      <w:tr w:rsidR="00580BB3" w:rsidRPr="00580BB3" w14:paraId="7D628EE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DF9671"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9B56EC"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xml:space="preserve">Počet literárno-vzdelávacích podujatí v okrese Malacky </w:t>
            </w:r>
          </w:p>
        </w:tc>
      </w:tr>
      <w:tr w:rsidR="00580BB3" w:rsidRPr="00580BB3" w14:paraId="24BCA7C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10EE5D"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95335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DF440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40CB6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C9187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23A68EA9"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7E7F78"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ED258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C5FE3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B6711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1CD1B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r>
      <w:tr w:rsidR="00580BB3" w:rsidRPr="00580BB3" w14:paraId="397C336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BBA4D0"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AE9AFB"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xml:space="preserve">Počet literárno-vzdelávacích podujatí spolu v okresoch Bratislava I - V </w:t>
            </w:r>
          </w:p>
        </w:tc>
      </w:tr>
      <w:tr w:rsidR="00580BB3" w:rsidRPr="00580BB3" w14:paraId="7BAF0B7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CBB972"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9646D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29A79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0FFA4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00E07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1364010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56D754"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8F6CE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52E83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A436B7"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D3DA22"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w:t>
            </w:r>
          </w:p>
        </w:tc>
      </w:tr>
      <w:tr w:rsidR="00580BB3" w:rsidRPr="00580BB3" w14:paraId="08FC4977"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E891A1F"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BC25A0"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xml:space="preserve">Počet návštevníkov literárno-vzdelávacích podujatí spolu v okresoch SC, PK, MA,BA I. - V. </w:t>
            </w:r>
          </w:p>
        </w:tc>
      </w:tr>
      <w:tr w:rsidR="00580BB3" w:rsidRPr="00580BB3" w14:paraId="4E14C08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9B01B8"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lastRenderedPageBreak/>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9DBF1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B9C27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66C7B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07B76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376C1AC0"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2B5636"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97148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400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FC7B9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1EB1F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9F181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500</w:t>
            </w:r>
          </w:p>
        </w:tc>
      </w:tr>
      <w:tr w:rsidR="00580BB3" w:rsidRPr="00580BB3" w14:paraId="7C80AD9B"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4AFCE9"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D54338"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xml:space="preserve">Návštevnosť podujatí spolu </w:t>
            </w:r>
          </w:p>
        </w:tc>
      </w:tr>
      <w:tr w:rsidR="00580BB3" w:rsidRPr="00580BB3" w14:paraId="02BBCC6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911395"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A93A22"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27FFB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89253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6632E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0E4D0A8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9CF78F"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D223F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9BB4ED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8 500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CC753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B949B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8 500</w:t>
            </w:r>
          </w:p>
        </w:tc>
      </w:tr>
      <w:tr w:rsidR="00580BB3" w:rsidRPr="00580BB3" w14:paraId="07AAFE45"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99C75E"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823152"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Prírastky knižničného fondu – beletria pre dospelých</w:t>
            </w:r>
          </w:p>
        </w:tc>
      </w:tr>
      <w:tr w:rsidR="00580BB3" w:rsidRPr="00580BB3" w14:paraId="67D336F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5E94AB3"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E38042"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BC258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F8F67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155E65"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6D48D1B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F149C6"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A7FDC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C0AF9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1 000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1DE377"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AC265F"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1 000</w:t>
            </w:r>
          </w:p>
        </w:tc>
      </w:tr>
      <w:tr w:rsidR="00580BB3" w:rsidRPr="00580BB3" w14:paraId="23F6DEBE"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A16292"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4F4AD6"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xml:space="preserve">Prírastky knižničného fondu - odborná literatúra pre dospelých </w:t>
            </w:r>
          </w:p>
        </w:tc>
      </w:tr>
      <w:tr w:rsidR="00580BB3" w:rsidRPr="00580BB3" w14:paraId="59EF0F2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CBE12F"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8AB0D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AE65F2"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89BFD8"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918D8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070B020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25B505"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9E56D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76174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68AA5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5C468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500</w:t>
            </w:r>
          </w:p>
        </w:tc>
      </w:tr>
      <w:tr w:rsidR="00580BB3" w:rsidRPr="00580BB3" w14:paraId="04C8021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59EE4F"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181AC7"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Prírastky knižničného fondu - beletria pre deti a mládež</w:t>
            </w:r>
          </w:p>
        </w:tc>
      </w:tr>
      <w:tr w:rsidR="00580BB3" w:rsidRPr="00580BB3" w14:paraId="2B32DFC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05C065"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B29C7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29366E"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19F27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77137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64CEE7FD"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C082F4"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6CAF6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92817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1 500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7DE47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1 500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B3479B"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1 500</w:t>
            </w:r>
          </w:p>
        </w:tc>
      </w:tr>
      <w:tr w:rsidR="00580BB3" w:rsidRPr="00580BB3" w14:paraId="260C3F58"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A6B737"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CF9ECF"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Prírastky knižničného fondu - náučná literatúra pre deti a mládež</w:t>
            </w:r>
          </w:p>
        </w:tc>
      </w:tr>
      <w:tr w:rsidR="00580BB3" w:rsidRPr="00580BB3" w14:paraId="2726DA7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E6EC22"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FDB40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F09563"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9FC1D2"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DB5A6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29C55E6A"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989713"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E8671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C7466D"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1 000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E5AD7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3CC7B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1 000</w:t>
            </w:r>
          </w:p>
        </w:tc>
      </w:tr>
      <w:tr w:rsidR="00580BB3" w:rsidRPr="00580BB3" w14:paraId="2228E3AC"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C3DA2F"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95F019"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Počet všetkých podujatí</w:t>
            </w:r>
          </w:p>
        </w:tc>
      </w:tr>
      <w:tr w:rsidR="00580BB3" w:rsidRPr="00580BB3" w14:paraId="3B9A5E6F"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5B3093D"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76352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E16099"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43A21A"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AE9516"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2027</w:t>
            </w:r>
          </w:p>
        </w:tc>
      </w:tr>
      <w:tr w:rsidR="00580BB3" w:rsidRPr="00580BB3" w14:paraId="52A83371" w14:textId="77777777" w:rsidTr="00D97E48">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25A251" w14:textId="77777777" w:rsidR="00580BB3" w:rsidRPr="00580BB3" w:rsidRDefault="00580BB3" w:rsidP="00580BB3">
            <w:pPr>
              <w:spacing w:after="0" w:line="240" w:lineRule="auto"/>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D0B6AC"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FCB5A1"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280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D0D6D4"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280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CE47E0" w14:textId="77777777" w:rsidR="00580BB3" w:rsidRPr="00580BB3" w:rsidRDefault="00580BB3" w:rsidP="00580BB3">
            <w:pPr>
              <w:spacing w:after="0" w:line="240" w:lineRule="auto"/>
              <w:jc w:val="center"/>
              <w:rPr>
                <w:rFonts w:ascii="Calibri" w:eastAsia="Times New Roman" w:hAnsi="Calibri" w:cs="Calibri"/>
                <w:sz w:val="24"/>
                <w:szCs w:val="24"/>
                <w:lang w:eastAsia="sk-SK"/>
              </w:rPr>
            </w:pPr>
            <w:r w:rsidRPr="00580BB3">
              <w:rPr>
                <w:rFonts w:ascii="Calibri" w:eastAsia="Times New Roman" w:hAnsi="Calibri" w:cs="Calibri"/>
                <w:sz w:val="24"/>
                <w:szCs w:val="24"/>
                <w:lang w:eastAsia="sk-SK"/>
              </w:rPr>
              <w:t> 280</w:t>
            </w:r>
          </w:p>
        </w:tc>
      </w:tr>
    </w:tbl>
    <w:p w14:paraId="40CD41DB" w14:textId="77777777" w:rsidR="00580BB3" w:rsidRDefault="00580BB3" w:rsidP="00580BB3">
      <w:pPr>
        <w:spacing w:after="0" w:line="240" w:lineRule="auto"/>
        <w:jc w:val="both"/>
        <w:rPr>
          <w:rFonts w:ascii="Calibri" w:eastAsia="Times New Roman" w:hAnsi="Calibri" w:cs="Calibri"/>
          <w:b/>
          <w:bCs/>
          <w:sz w:val="24"/>
          <w:szCs w:val="24"/>
          <w:lang w:eastAsia="sk-SK"/>
        </w:rPr>
      </w:pPr>
    </w:p>
    <w:p w14:paraId="19CA5271" w14:textId="3E61963C" w:rsidR="00580BB3" w:rsidRPr="00580BB3" w:rsidRDefault="00580BB3" w:rsidP="00580BB3">
      <w:pPr>
        <w:spacing w:after="0" w:line="240" w:lineRule="auto"/>
        <w:jc w:val="both"/>
        <w:rPr>
          <w:rFonts w:ascii="Calibri" w:eastAsia="Times New Roman" w:hAnsi="Calibri" w:cs="Calibri"/>
          <w:sz w:val="24"/>
          <w:szCs w:val="24"/>
          <w:lang w:eastAsia="sk-SK"/>
        </w:rPr>
      </w:pPr>
      <w:r w:rsidRPr="00580BB3">
        <w:rPr>
          <w:rFonts w:ascii="Calibri" w:eastAsia="Times New Roman" w:hAnsi="Calibri" w:cs="Calibri"/>
          <w:b/>
          <w:bCs/>
          <w:sz w:val="24"/>
          <w:szCs w:val="24"/>
          <w:lang w:eastAsia="sk-SK"/>
        </w:rPr>
        <w:t xml:space="preserve">Komentár: </w:t>
      </w:r>
      <w:r w:rsidRPr="00580BB3">
        <w:rPr>
          <w:rFonts w:ascii="Calibri" w:eastAsia="Times New Roman" w:hAnsi="Calibri" w:cs="Calibri"/>
          <w:sz w:val="24"/>
          <w:szCs w:val="24"/>
          <w:lang w:eastAsia="sk-SK"/>
        </w:rPr>
        <w:t xml:space="preserve">Malokarpatská knižnica v Pezinku popri základných knižničných funkciách (spravovanie knižničného fondu, spravovanie výpožičiek) poskytuje aj odborné poradenské služby verejným knižniciam. Spracúva tiež regionálnu bibliografiu a databázy a funguje ako regionálne informačné centrum. Kultúrno-výchovná a literárno-vzdelávacia činnosť je zameraná na podujatia pre deti aj dospelých. Činnosť knižnice v roku 2025 – 2027 aj naďalej ovplyvní úspešná rekonštrukcia oddelenia pre deti a mládež, ktorá prispela k vzniku nových druhov vzdelávacích programov a komfortu pre mladších čitateľov knižnice. V roku 2025 sa plánuje príprava rekonštrukcie rekonštrukcia oddelenia pre dospelých, ktorí patria k stabilnej čitateľskej základni. Knižnica pripravuje pre všetky vekové kategórie množstvo interaktívnych, literárno-vzdelávacích a voľnočasových programov a kooperuje s mnohými verejnými kultúrnymi inštitúciami a školami. </w:t>
      </w:r>
    </w:p>
    <w:p w14:paraId="6E3A7715" w14:textId="77777777" w:rsidR="00427052" w:rsidRDefault="00427052" w:rsidP="00427052">
      <w:pPr>
        <w:spacing w:after="0" w:line="240" w:lineRule="auto"/>
        <w:rPr>
          <w:rFonts w:eastAsiaTheme="minorEastAsia" w:cstheme="minorHAnsi"/>
          <w:sz w:val="24"/>
          <w:szCs w:val="24"/>
          <w:lang w:eastAsia="sk-SK"/>
        </w:rPr>
      </w:pPr>
    </w:p>
    <w:p w14:paraId="4ABE5265" w14:textId="77777777" w:rsidR="00842062" w:rsidRDefault="00842062" w:rsidP="00427052">
      <w:pPr>
        <w:spacing w:after="0" w:line="240" w:lineRule="auto"/>
        <w:rPr>
          <w:rFonts w:eastAsiaTheme="minorEastAsia" w:cstheme="minorHAnsi"/>
          <w:sz w:val="24"/>
          <w:szCs w:val="24"/>
          <w:lang w:eastAsia="sk-SK"/>
        </w:rPr>
      </w:pPr>
    </w:p>
    <w:p w14:paraId="7ACBEB2A" w14:textId="77777777" w:rsidR="00842062" w:rsidRDefault="00842062" w:rsidP="00427052">
      <w:pPr>
        <w:spacing w:after="0" w:line="240" w:lineRule="auto"/>
        <w:rPr>
          <w:rFonts w:eastAsiaTheme="minorEastAsia" w:cstheme="minorHAnsi"/>
          <w:sz w:val="24"/>
          <w:szCs w:val="24"/>
          <w:lang w:eastAsia="sk-SK"/>
        </w:rPr>
      </w:pPr>
    </w:p>
    <w:p w14:paraId="58DFEBD1" w14:textId="77777777" w:rsidR="001B5DF0" w:rsidRDefault="001B5DF0" w:rsidP="00427052">
      <w:pPr>
        <w:spacing w:after="0" w:line="240" w:lineRule="auto"/>
        <w:rPr>
          <w:rFonts w:eastAsiaTheme="minorEastAsia" w:cstheme="minorHAnsi"/>
          <w:sz w:val="24"/>
          <w:szCs w:val="24"/>
          <w:lang w:eastAsia="sk-SK"/>
        </w:rPr>
      </w:pPr>
    </w:p>
    <w:p w14:paraId="762E2FA4" w14:textId="77777777" w:rsidR="001B5DF0" w:rsidRDefault="001B5DF0" w:rsidP="00427052">
      <w:pPr>
        <w:spacing w:after="0" w:line="240" w:lineRule="auto"/>
        <w:rPr>
          <w:rFonts w:eastAsiaTheme="minorEastAsia" w:cstheme="minorHAnsi"/>
          <w:sz w:val="24"/>
          <w:szCs w:val="24"/>
          <w:lang w:eastAsia="sk-SK"/>
        </w:rPr>
      </w:pPr>
    </w:p>
    <w:p w14:paraId="7B96E6A5" w14:textId="77777777" w:rsidR="001B5DF0" w:rsidRDefault="001B5DF0" w:rsidP="00427052">
      <w:pPr>
        <w:spacing w:after="0" w:line="240" w:lineRule="auto"/>
        <w:rPr>
          <w:rFonts w:eastAsiaTheme="minorEastAsia" w:cstheme="minorHAnsi"/>
          <w:sz w:val="24"/>
          <w:szCs w:val="24"/>
          <w:lang w:eastAsia="sk-SK"/>
        </w:rPr>
      </w:pPr>
    </w:p>
    <w:p w14:paraId="1AF3B90D" w14:textId="77777777" w:rsidR="001B5DF0" w:rsidRDefault="001B5DF0" w:rsidP="00427052">
      <w:pPr>
        <w:spacing w:after="0" w:line="240" w:lineRule="auto"/>
        <w:rPr>
          <w:rFonts w:eastAsiaTheme="minorEastAsia" w:cstheme="minorHAnsi"/>
          <w:sz w:val="24"/>
          <w:szCs w:val="24"/>
          <w:lang w:eastAsia="sk-SK"/>
        </w:rPr>
      </w:pPr>
    </w:p>
    <w:p w14:paraId="40827115" w14:textId="77777777" w:rsidR="001B5DF0" w:rsidRDefault="001B5DF0" w:rsidP="00427052">
      <w:pPr>
        <w:spacing w:after="0" w:line="240" w:lineRule="auto"/>
        <w:rPr>
          <w:rFonts w:eastAsiaTheme="minorEastAsia" w:cstheme="minorHAnsi"/>
          <w:sz w:val="24"/>
          <w:szCs w:val="24"/>
          <w:lang w:eastAsia="sk-SK"/>
        </w:rPr>
      </w:pPr>
    </w:p>
    <w:p w14:paraId="10E29D50" w14:textId="77777777" w:rsidR="001B5DF0" w:rsidRDefault="001B5DF0" w:rsidP="00427052">
      <w:pPr>
        <w:spacing w:after="0" w:line="240" w:lineRule="auto"/>
        <w:rPr>
          <w:rFonts w:eastAsiaTheme="minorEastAsia" w:cstheme="minorHAnsi"/>
          <w:sz w:val="24"/>
          <w:szCs w:val="24"/>
          <w:lang w:eastAsia="sk-SK"/>
        </w:rPr>
      </w:pPr>
    </w:p>
    <w:p w14:paraId="53BBAA84" w14:textId="77777777" w:rsidR="001B5DF0" w:rsidRDefault="001B5DF0" w:rsidP="00427052">
      <w:pPr>
        <w:spacing w:after="0" w:line="240" w:lineRule="auto"/>
        <w:rPr>
          <w:rFonts w:eastAsiaTheme="minorEastAsia" w:cstheme="minorHAnsi"/>
          <w:sz w:val="24"/>
          <w:szCs w:val="24"/>
          <w:lang w:eastAsia="sk-SK"/>
        </w:rPr>
      </w:pPr>
    </w:p>
    <w:p w14:paraId="6DFA1D99" w14:textId="77777777" w:rsidR="001B5DF0" w:rsidRDefault="001B5DF0" w:rsidP="00427052">
      <w:pPr>
        <w:spacing w:after="0" w:line="240" w:lineRule="auto"/>
        <w:rPr>
          <w:rFonts w:eastAsiaTheme="minorEastAsia" w:cstheme="minorHAnsi"/>
          <w:sz w:val="24"/>
          <w:szCs w:val="24"/>
          <w:lang w:eastAsia="sk-SK"/>
        </w:rPr>
      </w:pPr>
    </w:p>
    <w:p w14:paraId="6DF98851" w14:textId="77777777" w:rsidR="001B5DF0" w:rsidRDefault="001B5DF0" w:rsidP="00427052">
      <w:pPr>
        <w:spacing w:after="0" w:line="240" w:lineRule="auto"/>
        <w:rPr>
          <w:rFonts w:eastAsiaTheme="minorEastAsia" w:cstheme="minorHAnsi"/>
          <w:sz w:val="24"/>
          <w:szCs w:val="24"/>
          <w:lang w:eastAsia="sk-SK"/>
        </w:rPr>
      </w:pPr>
    </w:p>
    <w:p w14:paraId="163A0372" w14:textId="77777777" w:rsidR="00842062" w:rsidRPr="00427052" w:rsidRDefault="00842062" w:rsidP="00427052">
      <w:pPr>
        <w:spacing w:after="0" w:line="240" w:lineRule="auto"/>
        <w:rPr>
          <w:rFonts w:eastAsiaTheme="minorEastAsia" w:cstheme="minorHAnsi"/>
          <w:vanish/>
          <w:sz w:val="24"/>
          <w:szCs w:val="24"/>
          <w:lang w:eastAsia="sk-SK"/>
        </w:rPr>
      </w:pPr>
    </w:p>
    <w:p w14:paraId="70344C6A" w14:textId="77777777" w:rsidR="005C26D1" w:rsidRDefault="005C26D1" w:rsidP="00427052">
      <w:pPr>
        <w:spacing w:after="0" w:line="240" w:lineRule="auto"/>
        <w:jc w:val="both"/>
        <w:rPr>
          <w:rFonts w:eastAsiaTheme="minorEastAsia" w:cstheme="minorHAnsi"/>
          <w:b/>
          <w:bCs/>
          <w:sz w:val="24"/>
          <w:szCs w:val="24"/>
          <w:lang w:eastAsia="sk-SK"/>
        </w:rPr>
      </w:pPr>
    </w:p>
    <w:p w14:paraId="2890F192" w14:textId="77777777" w:rsidR="001E7E1B" w:rsidRPr="00CD1518" w:rsidRDefault="001E7E1B" w:rsidP="001E7E1B">
      <w:pPr>
        <w:spacing w:before="100" w:beforeAutospacing="1" w:after="100" w:afterAutospacing="1" w:line="240" w:lineRule="auto"/>
        <w:outlineLvl w:val="1"/>
        <w:rPr>
          <w:rFonts w:eastAsia="Times New Roman" w:cstheme="minorHAnsi"/>
          <w:b/>
          <w:bCs/>
          <w:sz w:val="36"/>
          <w:szCs w:val="36"/>
          <w:lang w:eastAsia="sk-SK"/>
        </w:rPr>
      </w:pPr>
      <w:r w:rsidRPr="00CD1518">
        <w:rPr>
          <w:rFonts w:eastAsia="Times New Roman" w:cstheme="minorHAnsi"/>
          <w:b/>
          <w:bCs/>
          <w:color w:val="000080"/>
          <w:sz w:val="36"/>
          <w:szCs w:val="36"/>
          <w:lang w:eastAsia="sk-SK"/>
        </w:rPr>
        <w:lastRenderedPageBreak/>
        <w:t>Program 11: Sociálne zabezpečenie</w:t>
      </w:r>
      <w:r w:rsidRPr="00CD1518">
        <w:rPr>
          <w:rFonts w:eastAsia="Times New Roman" w:cstheme="minorHAnsi"/>
          <w:b/>
          <w:bCs/>
          <w:sz w:val="36"/>
          <w:szCs w:val="36"/>
          <w:lang w:eastAsia="sk-SK"/>
        </w:rPr>
        <w:t xml:space="preserve"> </w:t>
      </w:r>
    </w:p>
    <w:p w14:paraId="24E0CE3F" w14:textId="3666E1FD" w:rsidR="008909ED" w:rsidRPr="009218E5" w:rsidRDefault="008909ED" w:rsidP="009218E5">
      <w:pPr>
        <w:spacing w:before="100" w:beforeAutospacing="1" w:after="100" w:afterAutospacing="1" w:line="240" w:lineRule="auto"/>
        <w:outlineLvl w:val="1"/>
        <w:rPr>
          <w:rFonts w:ascii="Calibri" w:eastAsia="Times New Roman" w:hAnsi="Calibri" w:cs="Calibri"/>
          <w:b/>
          <w:bCs/>
          <w:sz w:val="36"/>
          <w:szCs w:val="36"/>
          <w:lang w:eastAsia="sk-SK"/>
        </w:rPr>
      </w:pPr>
      <w:r w:rsidRPr="006940B5">
        <w:rPr>
          <w:rFonts w:ascii="Calibri" w:eastAsia="Times New Roman" w:hAnsi="Calibri" w:cs="Calibri"/>
          <w:b/>
          <w:bCs/>
          <w:sz w:val="36"/>
          <w:szCs w:val="36"/>
          <w:lang w:eastAsia="sk-SK"/>
        </w:rPr>
        <w:t xml:space="preserve"> </w:t>
      </w:r>
      <w:r w:rsidRPr="006940B5">
        <w:rPr>
          <w:rFonts w:ascii="Calibri" w:eastAsia="Times New Roman" w:hAnsi="Calibri" w:cs="Calibri"/>
          <w:b/>
          <w:bCs/>
          <w:sz w:val="24"/>
          <w:szCs w:val="24"/>
          <w:lang w:eastAsia="sk-SK"/>
        </w:rPr>
        <w:t xml:space="preserve">Zámer: </w:t>
      </w:r>
      <w:r w:rsidRPr="006940B5">
        <w:rPr>
          <w:rFonts w:ascii="Calibri" w:eastAsia="Times New Roman" w:hAnsi="Calibri" w:cs="Calibri"/>
          <w:sz w:val="24"/>
          <w:szCs w:val="24"/>
          <w:lang w:eastAsia="sk-SK"/>
        </w:rPr>
        <w:t>Plnenie kompetencií v oblasti sociálnej politiky</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50"/>
        <w:gridCol w:w="2214"/>
        <w:gridCol w:w="1456"/>
        <w:gridCol w:w="1456"/>
        <w:gridCol w:w="649"/>
        <w:gridCol w:w="1456"/>
        <w:gridCol w:w="649"/>
        <w:gridCol w:w="1456"/>
        <w:gridCol w:w="664"/>
      </w:tblGrid>
      <w:tr w:rsidR="008909ED" w:rsidRPr="006940B5" w14:paraId="5CC4948C"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F550C4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6646718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C83A4C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154A7E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7B930E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6955F9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B81DA2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F9A2AD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86B11F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E9CF49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6611A9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754DC5B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7EB50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F42EC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B3629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43 803 831,46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D9C33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48 684 826,22</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5242EE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111,14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28977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48 990 361,12</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4826A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100,63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0057E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49 921 723,89</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F39BE7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101,90</w:t>
            </w:r>
            <w:r w:rsidRPr="006940B5">
              <w:rPr>
                <w:rFonts w:ascii="Calibri" w:eastAsia="Times New Roman" w:hAnsi="Calibri" w:cs="Calibri"/>
                <w:sz w:val="24"/>
                <w:szCs w:val="24"/>
                <w:lang w:eastAsia="sk-SK"/>
              </w:rPr>
              <w:t xml:space="preserve"> </w:t>
            </w:r>
          </w:p>
        </w:tc>
      </w:tr>
      <w:tr w:rsidR="008909ED" w:rsidRPr="006940B5" w14:paraId="7CECC05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A78E9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163A3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C3C6B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43 691 331,46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AA3A0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48 543 666,22</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7822F6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111,11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61A07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48 960 361,12</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54EBF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100,86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ED1F3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49 891 723,89</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D2B16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101,90</w:t>
            </w:r>
            <w:r w:rsidRPr="006940B5">
              <w:rPr>
                <w:rFonts w:ascii="Calibri" w:eastAsia="Times New Roman" w:hAnsi="Calibri" w:cs="Calibri"/>
                <w:sz w:val="24"/>
                <w:szCs w:val="24"/>
                <w:lang w:eastAsia="sk-SK"/>
              </w:rPr>
              <w:t xml:space="preserve"> </w:t>
            </w:r>
          </w:p>
        </w:tc>
      </w:tr>
      <w:tr w:rsidR="008909ED" w:rsidRPr="006940B5" w14:paraId="7CC3CB2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9CAAF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257B74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1DCCD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17 195 838,82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4855F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18 197 751,84</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616698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105,83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DB2B7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18 523 328,74</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7207D9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101,79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7F6E7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18 637 443,39</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7BD85D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100,62</w:t>
            </w:r>
            <w:r w:rsidRPr="006940B5">
              <w:rPr>
                <w:rFonts w:ascii="Calibri" w:eastAsia="Times New Roman" w:hAnsi="Calibri" w:cs="Calibri"/>
                <w:sz w:val="24"/>
                <w:szCs w:val="24"/>
                <w:lang w:eastAsia="sk-SK"/>
              </w:rPr>
              <w:t xml:space="preserve"> </w:t>
            </w:r>
          </w:p>
        </w:tc>
      </w:tr>
      <w:tr w:rsidR="008909ED" w:rsidRPr="006940B5" w14:paraId="5049626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54F59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5EE06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D37F9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6 250 584,19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2D2E28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6 742 782,81</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F4A30A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107,87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38A8E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6 732 506,87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4B41E3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99,85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F76F8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6 732 116,95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B7E888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99,99</w:t>
            </w:r>
            <w:r w:rsidRPr="006940B5">
              <w:rPr>
                <w:rFonts w:ascii="Calibri" w:eastAsia="Times New Roman" w:hAnsi="Calibri" w:cs="Calibri"/>
                <w:sz w:val="24"/>
                <w:szCs w:val="24"/>
                <w:lang w:eastAsia="sk-SK"/>
              </w:rPr>
              <w:t xml:space="preserve"> </w:t>
            </w:r>
          </w:p>
        </w:tc>
      </w:tr>
      <w:tr w:rsidR="008909ED" w:rsidRPr="006940B5" w14:paraId="5476FB5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504FA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0C6B6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81D91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7 842 815,02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720C7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7 684 324,64</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F5410A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97,98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70FF36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7 785 022,58</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9FA296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101,31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137D4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7 796 564,62</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FBB033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100,15</w:t>
            </w:r>
            <w:r w:rsidRPr="006940B5">
              <w:rPr>
                <w:rFonts w:ascii="Calibri" w:eastAsia="Times New Roman" w:hAnsi="Calibri" w:cs="Calibri"/>
                <w:sz w:val="24"/>
                <w:szCs w:val="24"/>
                <w:lang w:eastAsia="sk-SK"/>
              </w:rPr>
              <w:t xml:space="preserve"> </w:t>
            </w:r>
          </w:p>
        </w:tc>
      </w:tr>
      <w:tr w:rsidR="008909ED" w:rsidRPr="006940B5" w14:paraId="70FA539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9538C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EB12ED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5FFA8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12 402 093,43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1BCF6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15 918 806,93</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CEFCC7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128,36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84310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15 919 502,93</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85A733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1023D3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16 725 598,93</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DF2A6E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105,06</w:t>
            </w:r>
            <w:r w:rsidRPr="006940B5">
              <w:rPr>
                <w:rFonts w:ascii="Calibri" w:eastAsia="Times New Roman" w:hAnsi="Calibri" w:cs="Calibri"/>
                <w:sz w:val="24"/>
                <w:szCs w:val="24"/>
                <w:lang w:eastAsia="sk-SK"/>
              </w:rPr>
              <w:t xml:space="preserve"> </w:t>
            </w:r>
          </w:p>
        </w:tc>
      </w:tr>
      <w:tr w:rsidR="008909ED" w:rsidRPr="006940B5" w14:paraId="300AEAC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65EBC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700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13DB6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Kapitálové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D6018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112 500,00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044C9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141 160,00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FBF6F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125,48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3DD94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C4CB6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21,25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BBB6BF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296B6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1DEE222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DD6DE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CEAEDC" w14:textId="77777777" w:rsidR="008909ED" w:rsidRPr="006940B5" w:rsidRDefault="008909ED" w:rsidP="007468A0">
            <w:pPr>
              <w:spacing w:after="0" w:line="240" w:lineRule="auto"/>
              <w:rPr>
                <w:rFonts w:ascii="Calibri" w:eastAsia="Times New Roman" w:hAnsi="Calibri" w:cs="Calibri"/>
                <w:sz w:val="24"/>
                <w:szCs w:val="24"/>
                <w:lang w:eastAsia="sk-SK"/>
              </w:rPr>
            </w:pPr>
            <w:proofErr w:type="spellStart"/>
            <w:r w:rsidRPr="006940B5">
              <w:rPr>
                <w:rFonts w:ascii="Calibri" w:eastAsia="Times New Roman" w:hAnsi="Calibri" w:cs="Calibri"/>
                <w:sz w:val="20"/>
                <w:szCs w:val="20"/>
                <w:lang w:eastAsia="sk-SK"/>
              </w:rPr>
              <w:t>Obst</w:t>
            </w:r>
            <w:proofErr w:type="spellEnd"/>
            <w:r w:rsidRPr="006940B5">
              <w:rPr>
                <w:rFonts w:ascii="Calibri" w:eastAsia="Times New Roman" w:hAnsi="Calibri" w:cs="Calibri"/>
                <w:sz w:val="20"/>
                <w:szCs w:val="20"/>
                <w:lang w:eastAsia="sk-SK"/>
              </w:rPr>
              <w:t xml:space="preserve">. </w:t>
            </w:r>
            <w:proofErr w:type="spellStart"/>
            <w:r w:rsidRPr="006940B5">
              <w:rPr>
                <w:rFonts w:ascii="Calibri" w:eastAsia="Times New Roman" w:hAnsi="Calibri" w:cs="Calibri"/>
                <w:sz w:val="20"/>
                <w:szCs w:val="20"/>
                <w:lang w:eastAsia="sk-SK"/>
              </w:rPr>
              <w:t>kapit</w:t>
            </w:r>
            <w:proofErr w:type="spellEnd"/>
            <w:r w:rsidRPr="006940B5">
              <w:rPr>
                <w:rFonts w:ascii="Calibri" w:eastAsia="Times New Roman" w:hAnsi="Calibri" w:cs="Calibri"/>
                <w:sz w:val="20"/>
                <w:szCs w:val="20"/>
                <w:lang w:eastAsia="sk-SK"/>
              </w:rPr>
              <w:t>. aktív</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16E34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112 500,00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19B47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141 160,00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82E2B4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125,48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40079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970AEF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21,25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F4CB3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423D6A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53A009A7" w14:textId="77777777" w:rsidR="008909ED" w:rsidRDefault="008909ED" w:rsidP="008909ED">
      <w:pPr>
        <w:spacing w:before="100" w:beforeAutospacing="1"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xml:space="preserve">Komentár: </w:t>
      </w:r>
      <w:r w:rsidRPr="00B20E33">
        <w:rPr>
          <w:rFonts w:ascii="Calibri" w:eastAsia="Times New Roman" w:hAnsi="Calibri" w:cs="Calibri"/>
          <w:sz w:val="24"/>
          <w:szCs w:val="24"/>
          <w:lang w:eastAsia="sk-SK"/>
        </w:rPr>
        <w:t>BSK zabezpečuje alebo poskytuje prostredníctvom zariadení vo svojej zriaďovateľskej pôsobnosti a v spolupráci s neverejnými poskytovateľmi sociálnych služieb, so zariadeniami sociálnych služieb v zriaďovateľskej pôsobnosti iného VÚC a neštátnymi subjektmi:</w:t>
      </w:r>
    </w:p>
    <w:p w14:paraId="3D9F3851" w14:textId="77777777" w:rsidR="008909ED" w:rsidRPr="00B20E33" w:rsidRDefault="008909ED" w:rsidP="008909ED">
      <w:pPr>
        <w:spacing w:after="0" w:line="240" w:lineRule="auto"/>
        <w:rPr>
          <w:rFonts w:ascii="Calibri" w:eastAsia="Times New Roman" w:hAnsi="Calibri" w:cs="Calibri"/>
          <w:sz w:val="24"/>
          <w:szCs w:val="24"/>
          <w:lang w:eastAsia="sk-SK"/>
        </w:rPr>
      </w:pPr>
      <w:r w:rsidRPr="00B20E33">
        <w:rPr>
          <w:rFonts w:ascii="Calibri" w:eastAsia="Times New Roman" w:hAnsi="Calibri" w:cs="Calibri"/>
          <w:sz w:val="24"/>
          <w:szCs w:val="24"/>
          <w:lang w:eastAsia="sk-SK"/>
        </w:rPr>
        <w:t>•</w:t>
      </w:r>
      <w:r w:rsidRPr="00B20E33">
        <w:rPr>
          <w:rFonts w:ascii="Calibri" w:eastAsia="Times New Roman" w:hAnsi="Calibri" w:cs="Calibri"/>
          <w:sz w:val="24"/>
          <w:szCs w:val="24"/>
          <w:lang w:eastAsia="sk-SK"/>
        </w:rPr>
        <w:tab/>
        <w:t>sociálne služby,</w:t>
      </w:r>
    </w:p>
    <w:p w14:paraId="20403D71" w14:textId="77777777" w:rsidR="008909ED" w:rsidRDefault="008909ED" w:rsidP="008909ED">
      <w:pPr>
        <w:spacing w:after="0" w:line="240" w:lineRule="auto"/>
        <w:rPr>
          <w:rFonts w:ascii="Calibri" w:eastAsia="Times New Roman" w:hAnsi="Calibri" w:cs="Calibri"/>
          <w:sz w:val="24"/>
          <w:szCs w:val="24"/>
          <w:lang w:eastAsia="sk-SK"/>
        </w:rPr>
      </w:pPr>
      <w:r w:rsidRPr="00B20E33">
        <w:rPr>
          <w:rFonts w:ascii="Calibri" w:eastAsia="Times New Roman" w:hAnsi="Calibri" w:cs="Calibri"/>
          <w:sz w:val="24"/>
          <w:szCs w:val="24"/>
          <w:lang w:eastAsia="sk-SK"/>
        </w:rPr>
        <w:t>•</w:t>
      </w:r>
      <w:r w:rsidRPr="00B20E33">
        <w:rPr>
          <w:rFonts w:ascii="Calibri" w:eastAsia="Times New Roman" w:hAnsi="Calibri" w:cs="Calibri"/>
          <w:sz w:val="24"/>
          <w:szCs w:val="24"/>
          <w:lang w:eastAsia="sk-SK"/>
        </w:rPr>
        <w:tab/>
        <w:t>sociálnoprávnu ochranu detí a sociálnu kuratelu.</w:t>
      </w:r>
    </w:p>
    <w:p w14:paraId="5B81CC80" w14:textId="77777777" w:rsidR="008909ED" w:rsidRPr="006940B5" w:rsidRDefault="008909ED" w:rsidP="008909ED">
      <w:pPr>
        <w:spacing w:before="100" w:beforeAutospacing="1" w:after="100" w:afterAutospacing="1" w:line="240" w:lineRule="auto"/>
        <w:rPr>
          <w:rFonts w:ascii="Calibri" w:eastAsia="Times New Roman" w:hAnsi="Calibri" w:cs="Calibri"/>
          <w:b/>
          <w:bCs/>
          <w:sz w:val="27"/>
          <w:szCs w:val="27"/>
          <w:lang w:eastAsia="sk-SK"/>
        </w:rPr>
      </w:pPr>
      <w:r w:rsidRPr="006940B5">
        <w:rPr>
          <w:rFonts w:ascii="Calibri" w:eastAsia="Times New Roman" w:hAnsi="Calibri" w:cs="Calibri"/>
          <w:b/>
          <w:bCs/>
          <w:color w:val="0000FF"/>
          <w:sz w:val="27"/>
          <w:szCs w:val="27"/>
          <w:lang w:eastAsia="sk-SK"/>
        </w:rPr>
        <w:t>Podprogram 11.1: Zariadenia sociálnych služieb</w:t>
      </w:r>
      <w:r w:rsidRPr="006940B5">
        <w:rPr>
          <w:rFonts w:ascii="Calibri" w:eastAsia="Times New Roman" w:hAnsi="Calibri" w:cs="Calibri"/>
          <w:b/>
          <w:bCs/>
          <w:sz w:val="27"/>
          <w:szCs w:val="27"/>
          <w:lang w:eastAsia="sk-SK"/>
        </w:rPr>
        <w:t xml:space="preserve"> </w:t>
      </w:r>
    </w:p>
    <w:p w14:paraId="1D8F2A09" w14:textId="77777777" w:rsidR="008909ED" w:rsidRPr="006940B5" w:rsidRDefault="008909ED" w:rsidP="008909ED">
      <w:pPr>
        <w:spacing w:before="100" w:beforeAutospacing="1" w:after="100" w:afterAutospacing="1"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xml:space="preserve">Zámer: </w:t>
      </w:r>
      <w:r w:rsidRPr="006940B5">
        <w:rPr>
          <w:rFonts w:ascii="Calibri" w:eastAsia="Times New Roman" w:hAnsi="Calibri" w:cs="Calibri"/>
          <w:sz w:val="24"/>
          <w:szCs w:val="24"/>
          <w:lang w:eastAsia="sk-SK"/>
        </w:rPr>
        <w:t>Odborné, kvalitné a dostupné sociálne služby v regióne BSK</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70"/>
        <w:gridCol w:w="2142"/>
        <w:gridCol w:w="1469"/>
        <w:gridCol w:w="1469"/>
        <w:gridCol w:w="649"/>
        <w:gridCol w:w="1469"/>
        <w:gridCol w:w="649"/>
        <w:gridCol w:w="1469"/>
        <w:gridCol w:w="664"/>
      </w:tblGrid>
      <w:tr w:rsidR="008909ED" w:rsidRPr="006940B5" w14:paraId="45DCBFDF"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4C657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2C7E50F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0B9B8B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4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FEFEAC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20E5A7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B0507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60C57B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28D3FC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FD46F4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3BE33F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2DD3D1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2551915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F4B58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E4AC7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B8784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31 158 931,46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EB97C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32 566 563,30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2AB8E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104,52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039F2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33 012 598,20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FD67F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101,37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8A75E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33 143 960,97</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AD9EC7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100,40</w:t>
            </w:r>
            <w:r w:rsidRPr="006940B5">
              <w:rPr>
                <w:rFonts w:ascii="Calibri" w:eastAsia="Times New Roman" w:hAnsi="Calibri" w:cs="Calibri"/>
                <w:sz w:val="24"/>
                <w:szCs w:val="24"/>
                <w:lang w:eastAsia="sk-SK"/>
              </w:rPr>
              <w:t xml:space="preserve"> </w:t>
            </w:r>
          </w:p>
        </w:tc>
      </w:tr>
      <w:tr w:rsidR="008909ED" w:rsidRPr="006940B5" w14:paraId="23D8F55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42412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C9462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947A9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31 158 931,46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2EDBF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32 566 563,30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B8D9D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104,52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8AABE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33 012 598,20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F2AF9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101,37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46FD7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33 143 960,97</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75736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100,40</w:t>
            </w:r>
            <w:r w:rsidRPr="006940B5">
              <w:rPr>
                <w:rFonts w:ascii="Calibri" w:eastAsia="Times New Roman" w:hAnsi="Calibri" w:cs="Calibri"/>
                <w:sz w:val="24"/>
                <w:szCs w:val="24"/>
                <w:lang w:eastAsia="sk-SK"/>
              </w:rPr>
              <w:t xml:space="preserve"> </w:t>
            </w:r>
          </w:p>
        </w:tc>
      </w:tr>
      <w:tr w:rsidR="008909ED" w:rsidRPr="006940B5" w14:paraId="0096B3C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549941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C28BF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7FA41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17 195 838,82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C71D1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18 197 751,84</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CB4BDC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105,83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E11F6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18 523 328,74</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37EC7C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101,79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C1EB0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18 637 443,39</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762B3C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100,62</w:t>
            </w:r>
            <w:r w:rsidRPr="006940B5">
              <w:rPr>
                <w:rFonts w:ascii="Calibri" w:eastAsia="Times New Roman" w:hAnsi="Calibri" w:cs="Calibri"/>
                <w:sz w:val="24"/>
                <w:szCs w:val="24"/>
                <w:lang w:eastAsia="sk-SK"/>
              </w:rPr>
              <w:t xml:space="preserve"> </w:t>
            </w:r>
          </w:p>
        </w:tc>
      </w:tr>
      <w:tr w:rsidR="008909ED" w:rsidRPr="006940B5" w14:paraId="31BAFBE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7BA9C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32CA13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30A3B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6 250 584,19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065E1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6 742 782,81</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0253908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107,87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DD2F4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6 732 506,87</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26C766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99,85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0722E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6 732 116,95</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AD3283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99,99</w:t>
            </w:r>
            <w:r w:rsidRPr="006940B5">
              <w:rPr>
                <w:rFonts w:ascii="Calibri" w:eastAsia="Times New Roman" w:hAnsi="Calibri" w:cs="Calibri"/>
                <w:sz w:val="24"/>
                <w:szCs w:val="24"/>
                <w:lang w:eastAsia="sk-SK"/>
              </w:rPr>
              <w:t xml:space="preserve"> </w:t>
            </w:r>
          </w:p>
        </w:tc>
      </w:tr>
      <w:tr w:rsidR="008909ED" w:rsidRPr="006940B5" w14:paraId="01A6CE6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D5ECE0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126E6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21740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7 481 915,02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6DF76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7 396 570,72</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6B82A3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98,86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3878F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7 526 608,66</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B86692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101,76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7D2F6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7 538 150,70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39120D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100,15</w:t>
            </w:r>
            <w:r w:rsidRPr="006940B5">
              <w:rPr>
                <w:rFonts w:ascii="Calibri" w:eastAsia="Times New Roman" w:hAnsi="Calibri" w:cs="Calibri"/>
                <w:sz w:val="24"/>
                <w:szCs w:val="24"/>
                <w:lang w:eastAsia="sk-SK"/>
              </w:rPr>
              <w:t xml:space="preserve"> </w:t>
            </w:r>
          </w:p>
        </w:tc>
      </w:tr>
      <w:tr w:rsidR="008909ED" w:rsidRPr="006940B5" w14:paraId="2F137B7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47F7A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F516D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7A12A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230 593,43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52A03E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229 457,93</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7E59FF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99,51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F35E2A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230 153,93</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143FA8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7EFD8A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236 249,93</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7583C7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102,65</w:t>
            </w:r>
            <w:r w:rsidRPr="006940B5">
              <w:rPr>
                <w:rFonts w:ascii="Calibri" w:eastAsia="Times New Roman" w:hAnsi="Calibri" w:cs="Calibri"/>
                <w:sz w:val="24"/>
                <w:szCs w:val="24"/>
                <w:lang w:eastAsia="sk-SK"/>
              </w:rPr>
              <w:t xml:space="preserve"> </w:t>
            </w:r>
          </w:p>
        </w:tc>
      </w:tr>
    </w:tbl>
    <w:p w14:paraId="19754C58"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31"/>
        <w:gridCol w:w="2031"/>
        <w:gridCol w:w="2031"/>
        <w:gridCol w:w="2046"/>
      </w:tblGrid>
      <w:tr w:rsidR="008909ED" w:rsidRPr="006940B5" w14:paraId="17BB66C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FE8EF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BF0F5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51BBC32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61A2C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AF5E2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počet zariadení sociálnych služieb v zriaďovateľskej pôsobnosti BSK, v ktorých prebieha pravidelné vzdelávanie zamestnancov a realizuje sa program supervízie</w:t>
            </w:r>
          </w:p>
        </w:tc>
      </w:tr>
      <w:tr w:rsidR="008909ED" w:rsidRPr="006940B5" w14:paraId="6F2E158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3B7A5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D1A2D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60EB4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2E95B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33BED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7AF6B84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FBBAF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3FC20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03B13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B2F5B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89E3D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14</w:t>
            </w:r>
          </w:p>
        </w:tc>
      </w:tr>
    </w:tbl>
    <w:p w14:paraId="66092BDA" w14:textId="77777777" w:rsidR="008909ED" w:rsidRDefault="008909ED" w:rsidP="008909ED">
      <w:pPr>
        <w:spacing w:before="100" w:beforeAutospacing="1" w:after="100" w:afterAutospacing="1" w:line="240" w:lineRule="auto"/>
        <w:jc w:val="both"/>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xml:space="preserve">Komentár: </w:t>
      </w:r>
      <w:r w:rsidRPr="006940B5">
        <w:rPr>
          <w:rFonts w:ascii="Calibri" w:eastAsia="Times New Roman" w:hAnsi="Calibri" w:cs="Calibri"/>
          <w:sz w:val="24"/>
          <w:szCs w:val="24"/>
          <w:lang w:eastAsia="sk-SK"/>
        </w:rPr>
        <w:t>K 30.06.2024 má BSK v zriaďovateľskej pôsobnosti 14 zariadení sociálnych služieb s právnou subjektivitou. Sú to rozpočtové organizácie, ktoré sú svojimi príjmami a výdavkami napojené na rozpočet BSK, ktorý sa zostavuje na obdobie jedného kalendárneho roka, s víziou na ďalšie 2 nasledujúce roky. V týchto 14 zariadeniach sa kumuluje celkovo 8 druhov sociálnych služieb poskytovaných ambulantnou, terénnou, týždennou pobytovou a celoročnou pobytovou formou s celkovou kapacitou 1</w:t>
      </w:r>
      <w:r>
        <w:rPr>
          <w:rFonts w:ascii="Calibri" w:eastAsia="Times New Roman" w:hAnsi="Calibri" w:cs="Calibri"/>
          <w:sz w:val="24"/>
          <w:szCs w:val="24"/>
          <w:lang w:eastAsia="sk-SK"/>
        </w:rPr>
        <w:t xml:space="preserve"> </w:t>
      </w:r>
      <w:r w:rsidRPr="006940B5">
        <w:rPr>
          <w:rFonts w:ascii="Calibri" w:eastAsia="Times New Roman" w:hAnsi="Calibri" w:cs="Calibri"/>
          <w:sz w:val="24"/>
          <w:szCs w:val="24"/>
          <w:lang w:eastAsia="sk-SK"/>
        </w:rPr>
        <w:t>331 miest.</w:t>
      </w:r>
    </w:p>
    <w:tbl>
      <w:tblPr>
        <w:tblW w:w="5033" w:type="pct"/>
        <w:tblCellMar>
          <w:left w:w="70" w:type="dxa"/>
          <w:right w:w="70" w:type="dxa"/>
        </w:tblCellMar>
        <w:tblLook w:val="04A0" w:firstRow="1" w:lastRow="0" w:firstColumn="1" w:lastColumn="0" w:noHBand="0" w:noVBand="1"/>
      </w:tblPr>
      <w:tblGrid>
        <w:gridCol w:w="2964"/>
        <w:gridCol w:w="4593"/>
        <w:gridCol w:w="2968"/>
      </w:tblGrid>
      <w:tr w:rsidR="008909ED" w:rsidRPr="0080033A" w14:paraId="09B44253" w14:textId="77777777" w:rsidTr="004F41CE">
        <w:trPr>
          <w:trHeight w:val="255"/>
        </w:trPr>
        <w:tc>
          <w:tcPr>
            <w:tcW w:w="1408" w:type="pct"/>
            <w:tcBorders>
              <w:top w:val="single" w:sz="4" w:space="0" w:color="auto"/>
              <w:left w:val="single" w:sz="4" w:space="0" w:color="auto"/>
              <w:bottom w:val="single" w:sz="4" w:space="0" w:color="auto"/>
              <w:right w:val="single" w:sz="4" w:space="0" w:color="auto"/>
            </w:tcBorders>
            <w:shd w:val="clear" w:color="auto" w:fill="AABBEE"/>
            <w:vAlign w:val="center"/>
            <w:hideMark/>
          </w:tcPr>
          <w:p w14:paraId="08E427EF" w14:textId="77777777" w:rsidR="008909ED" w:rsidRPr="00BB26BA" w:rsidRDefault="008909ED" w:rsidP="007468A0">
            <w:pPr>
              <w:spacing w:after="0" w:line="240" w:lineRule="auto"/>
              <w:jc w:val="center"/>
              <w:rPr>
                <w:rFonts w:ascii="Calibri" w:eastAsia="Times New Roman" w:hAnsi="Calibri" w:cs="Calibri"/>
                <w:b/>
                <w:bCs/>
                <w:lang w:eastAsia="sk-SK"/>
              </w:rPr>
            </w:pPr>
            <w:r w:rsidRPr="00BB26BA">
              <w:rPr>
                <w:rFonts w:ascii="Calibri" w:eastAsia="Times New Roman" w:hAnsi="Calibri" w:cs="Calibri"/>
                <w:b/>
                <w:bCs/>
                <w:lang w:eastAsia="sk-SK"/>
              </w:rPr>
              <w:lastRenderedPageBreak/>
              <w:t>P</w:t>
            </w:r>
            <w:r w:rsidRPr="006940B5">
              <w:rPr>
                <w:rFonts w:ascii="Calibri" w:eastAsia="Times New Roman" w:hAnsi="Calibri" w:cs="Calibri"/>
                <w:b/>
                <w:bCs/>
                <w:lang w:eastAsia="sk-SK"/>
              </w:rPr>
              <w:t>očet poskytovateľov</w:t>
            </w:r>
          </w:p>
        </w:tc>
        <w:tc>
          <w:tcPr>
            <w:tcW w:w="2182" w:type="pct"/>
            <w:tcBorders>
              <w:top w:val="single" w:sz="4" w:space="0" w:color="auto"/>
              <w:left w:val="nil"/>
              <w:bottom w:val="single" w:sz="4" w:space="0" w:color="auto"/>
              <w:right w:val="single" w:sz="4" w:space="0" w:color="auto"/>
            </w:tcBorders>
            <w:shd w:val="clear" w:color="auto" w:fill="AABBEE"/>
            <w:noWrap/>
            <w:vAlign w:val="bottom"/>
            <w:hideMark/>
          </w:tcPr>
          <w:p w14:paraId="33DCB838" w14:textId="77777777" w:rsidR="008909ED" w:rsidRPr="00BB26BA" w:rsidRDefault="008909ED" w:rsidP="007468A0">
            <w:pPr>
              <w:spacing w:after="0" w:line="240" w:lineRule="auto"/>
              <w:jc w:val="center"/>
              <w:rPr>
                <w:rFonts w:ascii="Calibri" w:eastAsia="Times New Roman" w:hAnsi="Calibri" w:cs="Calibri"/>
                <w:b/>
                <w:bCs/>
                <w:lang w:eastAsia="sk-SK"/>
              </w:rPr>
            </w:pPr>
            <w:r w:rsidRPr="00BB26BA">
              <w:rPr>
                <w:rFonts w:ascii="Calibri" w:eastAsia="Times New Roman" w:hAnsi="Calibri" w:cs="Calibri"/>
                <w:b/>
                <w:bCs/>
                <w:lang w:eastAsia="sk-SK"/>
              </w:rPr>
              <w:t>D</w:t>
            </w:r>
            <w:r w:rsidRPr="006940B5">
              <w:rPr>
                <w:rFonts w:ascii="Calibri" w:eastAsia="Times New Roman" w:hAnsi="Calibri" w:cs="Calibri"/>
                <w:b/>
                <w:bCs/>
                <w:lang w:eastAsia="sk-SK"/>
              </w:rPr>
              <w:t>ruh sociálnych služieb</w:t>
            </w:r>
          </w:p>
        </w:tc>
        <w:tc>
          <w:tcPr>
            <w:tcW w:w="1410" w:type="pct"/>
            <w:tcBorders>
              <w:top w:val="single" w:sz="4" w:space="0" w:color="auto"/>
              <w:left w:val="single" w:sz="4" w:space="0" w:color="auto"/>
              <w:bottom w:val="single" w:sz="4" w:space="0" w:color="auto"/>
              <w:right w:val="single" w:sz="4" w:space="0" w:color="auto"/>
            </w:tcBorders>
            <w:shd w:val="clear" w:color="auto" w:fill="AABBEE"/>
            <w:noWrap/>
            <w:vAlign w:val="bottom"/>
            <w:hideMark/>
          </w:tcPr>
          <w:p w14:paraId="3593FF41" w14:textId="77777777" w:rsidR="008909ED" w:rsidRPr="00BB26BA" w:rsidRDefault="008909ED" w:rsidP="007468A0">
            <w:pPr>
              <w:spacing w:after="0" w:line="240" w:lineRule="auto"/>
              <w:jc w:val="center"/>
              <w:rPr>
                <w:rFonts w:ascii="Calibri" w:eastAsia="Times New Roman" w:hAnsi="Calibri" w:cs="Calibri"/>
                <w:b/>
                <w:bCs/>
                <w:lang w:eastAsia="sk-SK"/>
              </w:rPr>
            </w:pPr>
            <w:r w:rsidRPr="00BB26BA">
              <w:rPr>
                <w:rFonts w:ascii="Calibri" w:eastAsia="Times New Roman" w:hAnsi="Calibri" w:cs="Calibri"/>
                <w:b/>
                <w:bCs/>
                <w:lang w:eastAsia="sk-SK"/>
              </w:rPr>
              <w:t>Kapacita</w:t>
            </w:r>
          </w:p>
        </w:tc>
      </w:tr>
      <w:tr w:rsidR="008909ED" w:rsidRPr="00104319" w14:paraId="30750926" w14:textId="77777777" w:rsidTr="004F41CE">
        <w:trPr>
          <w:trHeight w:val="255"/>
        </w:trPr>
        <w:tc>
          <w:tcPr>
            <w:tcW w:w="14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61183B"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3</w:t>
            </w:r>
          </w:p>
        </w:tc>
        <w:tc>
          <w:tcPr>
            <w:tcW w:w="2182" w:type="pct"/>
            <w:tcBorders>
              <w:top w:val="single" w:sz="4" w:space="0" w:color="auto"/>
              <w:left w:val="nil"/>
              <w:bottom w:val="single" w:sz="4" w:space="0" w:color="auto"/>
              <w:right w:val="single" w:sz="4" w:space="0" w:color="auto"/>
            </w:tcBorders>
            <w:shd w:val="clear" w:color="auto" w:fill="auto"/>
            <w:noWrap/>
            <w:vAlign w:val="bottom"/>
          </w:tcPr>
          <w:p w14:paraId="1EEB8479"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zariadenie pre seniorov</w:t>
            </w:r>
          </w:p>
        </w:tc>
        <w:tc>
          <w:tcPr>
            <w:tcW w:w="1410" w:type="pct"/>
            <w:tcBorders>
              <w:top w:val="single" w:sz="4" w:space="0" w:color="auto"/>
              <w:left w:val="nil"/>
              <w:bottom w:val="single" w:sz="4" w:space="0" w:color="auto"/>
              <w:right w:val="single" w:sz="4" w:space="0" w:color="auto"/>
            </w:tcBorders>
            <w:shd w:val="clear" w:color="auto" w:fill="auto"/>
            <w:noWrap/>
            <w:vAlign w:val="bottom"/>
          </w:tcPr>
          <w:p w14:paraId="4C45E528"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46</w:t>
            </w:r>
          </w:p>
        </w:tc>
      </w:tr>
      <w:tr w:rsidR="008909ED" w:rsidRPr="00104319" w14:paraId="7623A825" w14:textId="77777777" w:rsidTr="004F41CE">
        <w:trPr>
          <w:trHeight w:val="255"/>
        </w:trPr>
        <w:tc>
          <w:tcPr>
            <w:tcW w:w="14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ECB393"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14</w:t>
            </w:r>
          </w:p>
        </w:tc>
        <w:tc>
          <w:tcPr>
            <w:tcW w:w="2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1CDCA"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domov sociálnych služieb</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0B1D9"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854</w:t>
            </w:r>
          </w:p>
        </w:tc>
      </w:tr>
      <w:tr w:rsidR="008909ED" w:rsidRPr="00104319" w14:paraId="0FC489AC" w14:textId="77777777" w:rsidTr="004F41CE">
        <w:trPr>
          <w:trHeight w:val="255"/>
        </w:trPr>
        <w:tc>
          <w:tcPr>
            <w:tcW w:w="14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69D3C"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2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FAE223"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zariadenie podporovaného bývania</w:t>
            </w: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C21C4C"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62</w:t>
            </w:r>
          </w:p>
        </w:tc>
      </w:tr>
      <w:tr w:rsidR="008909ED" w:rsidRPr="00104319" w14:paraId="5B71D275" w14:textId="77777777" w:rsidTr="004F41CE">
        <w:trPr>
          <w:trHeight w:val="255"/>
        </w:trPr>
        <w:tc>
          <w:tcPr>
            <w:tcW w:w="14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E23AEB"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6</w:t>
            </w:r>
          </w:p>
        </w:tc>
        <w:tc>
          <w:tcPr>
            <w:tcW w:w="2182" w:type="pct"/>
            <w:tcBorders>
              <w:top w:val="single" w:sz="4" w:space="0" w:color="auto"/>
              <w:left w:val="nil"/>
              <w:bottom w:val="single" w:sz="4" w:space="0" w:color="auto"/>
              <w:right w:val="single" w:sz="4" w:space="0" w:color="auto"/>
            </w:tcBorders>
            <w:shd w:val="clear" w:color="auto" w:fill="auto"/>
            <w:noWrap/>
            <w:vAlign w:val="bottom"/>
          </w:tcPr>
          <w:p w14:paraId="5EFAFC05"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špecializované zariadenie</w:t>
            </w:r>
          </w:p>
        </w:tc>
        <w:tc>
          <w:tcPr>
            <w:tcW w:w="1410" w:type="pct"/>
            <w:tcBorders>
              <w:top w:val="single" w:sz="4" w:space="0" w:color="auto"/>
              <w:left w:val="nil"/>
              <w:bottom w:val="single" w:sz="4" w:space="0" w:color="auto"/>
              <w:right w:val="single" w:sz="4" w:space="0" w:color="auto"/>
            </w:tcBorders>
            <w:shd w:val="clear" w:color="auto" w:fill="auto"/>
            <w:noWrap/>
            <w:vAlign w:val="bottom"/>
          </w:tcPr>
          <w:p w14:paraId="5DA343ED"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288</w:t>
            </w:r>
          </w:p>
        </w:tc>
      </w:tr>
      <w:tr w:rsidR="008909ED" w:rsidRPr="00104319" w14:paraId="51810E2B" w14:textId="77777777" w:rsidTr="004F41CE">
        <w:trPr>
          <w:trHeight w:val="255"/>
        </w:trPr>
        <w:tc>
          <w:tcPr>
            <w:tcW w:w="1408" w:type="pct"/>
            <w:tcBorders>
              <w:top w:val="nil"/>
              <w:left w:val="single" w:sz="4" w:space="0" w:color="auto"/>
              <w:bottom w:val="single" w:sz="4" w:space="0" w:color="auto"/>
              <w:right w:val="single" w:sz="4" w:space="0" w:color="auto"/>
            </w:tcBorders>
            <w:shd w:val="clear" w:color="auto" w:fill="auto"/>
            <w:noWrap/>
            <w:vAlign w:val="bottom"/>
          </w:tcPr>
          <w:p w14:paraId="38A3B9E8"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2182" w:type="pct"/>
            <w:tcBorders>
              <w:top w:val="nil"/>
              <w:left w:val="nil"/>
              <w:bottom w:val="single" w:sz="4" w:space="0" w:color="auto"/>
              <w:right w:val="single" w:sz="4" w:space="0" w:color="auto"/>
            </w:tcBorders>
            <w:shd w:val="clear" w:color="auto" w:fill="auto"/>
            <w:noWrap/>
            <w:vAlign w:val="bottom"/>
          </w:tcPr>
          <w:p w14:paraId="7C1FC63B"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rehabilitačné stredisko</w:t>
            </w:r>
          </w:p>
        </w:tc>
        <w:tc>
          <w:tcPr>
            <w:tcW w:w="1410" w:type="pct"/>
            <w:tcBorders>
              <w:top w:val="nil"/>
              <w:left w:val="nil"/>
              <w:bottom w:val="single" w:sz="4" w:space="0" w:color="auto"/>
              <w:right w:val="single" w:sz="4" w:space="0" w:color="auto"/>
            </w:tcBorders>
            <w:shd w:val="clear" w:color="auto" w:fill="auto"/>
            <w:noWrap/>
            <w:vAlign w:val="bottom"/>
          </w:tcPr>
          <w:p w14:paraId="6A04B42D"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66</w:t>
            </w:r>
          </w:p>
        </w:tc>
      </w:tr>
      <w:tr w:rsidR="008909ED" w:rsidRPr="00AA514F" w14:paraId="64E36A71" w14:textId="77777777" w:rsidTr="004F41CE">
        <w:trPr>
          <w:trHeight w:val="255"/>
        </w:trPr>
        <w:tc>
          <w:tcPr>
            <w:tcW w:w="1408" w:type="pct"/>
            <w:tcBorders>
              <w:top w:val="nil"/>
              <w:left w:val="single" w:sz="4" w:space="0" w:color="auto"/>
              <w:bottom w:val="single" w:sz="4" w:space="0" w:color="auto"/>
              <w:right w:val="single" w:sz="4" w:space="0" w:color="auto"/>
            </w:tcBorders>
            <w:shd w:val="clear" w:color="auto" w:fill="auto"/>
            <w:noWrap/>
            <w:vAlign w:val="bottom"/>
          </w:tcPr>
          <w:p w14:paraId="5F097012"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2182" w:type="pct"/>
            <w:tcBorders>
              <w:top w:val="nil"/>
              <w:left w:val="nil"/>
              <w:bottom w:val="single" w:sz="4" w:space="0" w:color="auto"/>
              <w:right w:val="single" w:sz="4" w:space="0" w:color="auto"/>
            </w:tcBorders>
            <w:shd w:val="clear" w:color="auto" w:fill="auto"/>
            <w:noWrap/>
            <w:vAlign w:val="bottom"/>
          </w:tcPr>
          <w:p w14:paraId="081D4453"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služba včasnej intervencie</w:t>
            </w:r>
          </w:p>
        </w:tc>
        <w:tc>
          <w:tcPr>
            <w:tcW w:w="1410" w:type="pct"/>
            <w:tcBorders>
              <w:top w:val="nil"/>
              <w:left w:val="nil"/>
              <w:bottom w:val="single" w:sz="4" w:space="0" w:color="auto"/>
              <w:right w:val="single" w:sz="4" w:space="0" w:color="auto"/>
            </w:tcBorders>
            <w:shd w:val="clear" w:color="auto" w:fill="auto"/>
            <w:noWrap/>
            <w:vAlign w:val="bottom"/>
          </w:tcPr>
          <w:p w14:paraId="65D2D933" w14:textId="77777777" w:rsidR="008909ED" w:rsidRPr="00104319" w:rsidRDefault="008909ED" w:rsidP="007468A0">
            <w:pPr>
              <w:spacing w:after="0" w:line="240" w:lineRule="auto"/>
              <w:jc w:val="center"/>
              <w:rPr>
                <w:rFonts w:ascii="Calibri" w:eastAsia="Times New Roman" w:hAnsi="Calibri" w:cs="Calibri"/>
                <w:color w:val="000000"/>
                <w:lang w:eastAsia="sk-SK"/>
              </w:rPr>
            </w:pPr>
            <w:r w:rsidRPr="006940B5">
              <w:rPr>
                <w:rFonts w:ascii="Calibri" w:eastAsia="Times New Roman" w:hAnsi="Calibri" w:cs="Calibri"/>
                <w:color w:val="000000"/>
                <w:lang w:eastAsia="sk-SK"/>
              </w:rPr>
              <w:t>bez obmedzenia kapacity</w:t>
            </w:r>
          </w:p>
        </w:tc>
      </w:tr>
      <w:tr w:rsidR="008909ED" w:rsidRPr="00104319" w14:paraId="58B94E17" w14:textId="77777777" w:rsidTr="004F41CE">
        <w:trPr>
          <w:trHeight w:val="255"/>
        </w:trPr>
        <w:tc>
          <w:tcPr>
            <w:tcW w:w="1408" w:type="pct"/>
            <w:tcBorders>
              <w:top w:val="nil"/>
              <w:left w:val="single" w:sz="4" w:space="0" w:color="auto"/>
              <w:bottom w:val="single" w:sz="4" w:space="0" w:color="auto"/>
              <w:right w:val="single" w:sz="4" w:space="0" w:color="auto"/>
            </w:tcBorders>
            <w:shd w:val="clear" w:color="auto" w:fill="auto"/>
            <w:noWrap/>
            <w:vAlign w:val="bottom"/>
          </w:tcPr>
          <w:p w14:paraId="037766FE" w14:textId="77777777" w:rsidR="008909ED"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2182" w:type="pct"/>
            <w:tcBorders>
              <w:top w:val="nil"/>
              <w:left w:val="nil"/>
              <w:bottom w:val="single" w:sz="4" w:space="0" w:color="auto"/>
              <w:right w:val="single" w:sz="4" w:space="0" w:color="auto"/>
            </w:tcBorders>
            <w:shd w:val="clear" w:color="auto" w:fill="auto"/>
            <w:noWrap/>
            <w:vAlign w:val="bottom"/>
          </w:tcPr>
          <w:p w14:paraId="16B6CE01" w14:textId="77777777" w:rsidR="008909ED"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podpora samostatného bývania</w:t>
            </w:r>
          </w:p>
        </w:tc>
        <w:tc>
          <w:tcPr>
            <w:tcW w:w="1410" w:type="pct"/>
            <w:tcBorders>
              <w:top w:val="nil"/>
              <w:left w:val="nil"/>
              <w:bottom w:val="single" w:sz="4" w:space="0" w:color="auto"/>
              <w:right w:val="single" w:sz="4" w:space="0" w:color="auto"/>
            </w:tcBorders>
            <w:shd w:val="clear" w:color="auto" w:fill="auto"/>
            <w:noWrap/>
            <w:vAlign w:val="bottom"/>
          </w:tcPr>
          <w:p w14:paraId="7E09CAE2" w14:textId="77777777" w:rsidR="008909ED" w:rsidRDefault="008909ED" w:rsidP="007468A0">
            <w:pPr>
              <w:spacing w:after="0" w:line="240" w:lineRule="auto"/>
              <w:jc w:val="center"/>
              <w:rPr>
                <w:rFonts w:ascii="Calibri" w:hAnsi="Calibri" w:cs="Calibri"/>
                <w:color w:val="000000"/>
              </w:rPr>
            </w:pPr>
            <w:r w:rsidRPr="006940B5">
              <w:rPr>
                <w:rFonts w:ascii="Calibri" w:eastAsia="Times New Roman" w:hAnsi="Calibri" w:cs="Calibri"/>
                <w:color w:val="000000"/>
                <w:lang w:eastAsia="sk-SK"/>
              </w:rPr>
              <w:t>bez obmedzenia kapacity</w:t>
            </w:r>
          </w:p>
        </w:tc>
      </w:tr>
      <w:tr w:rsidR="008909ED" w:rsidRPr="00104319" w14:paraId="60184C79" w14:textId="77777777" w:rsidTr="004F41CE">
        <w:trPr>
          <w:trHeight w:val="255"/>
        </w:trPr>
        <w:tc>
          <w:tcPr>
            <w:tcW w:w="1408" w:type="pct"/>
            <w:tcBorders>
              <w:top w:val="nil"/>
              <w:left w:val="single" w:sz="4" w:space="0" w:color="auto"/>
              <w:bottom w:val="single" w:sz="4" w:space="0" w:color="auto"/>
              <w:right w:val="single" w:sz="4" w:space="0" w:color="auto"/>
            </w:tcBorders>
            <w:shd w:val="clear" w:color="auto" w:fill="auto"/>
            <w:noWrap/>
            <w:vAlign w:val="bottom"/>
          </w:tcPr>
          <w:p w14:paraId="57F5AA49" w14:textId="77777777" w:rsidR="008909ED"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2182" w:type="pct"/>
            <w:tcBorders>
              <w:top w:val="nil"/>
              <w:left w:val="nil"/>
              <w:bottom w:val="single" w:sz="4" w:space="0" w:color="auto"/>
              <w:right w:val="single" w:sz="4" w:space="0" w:color="auto"/>
            </w:tcBorders>
            <w:shd w:val="clear" w:color="auto" w:fill="auto"/>
            <w:noWrap/>
            <w:vAlign w:val="bottom"/>
          </w:tcPr>
          <w:p w14:paraId="06929BDF" w14:textId="77777777" w:rsidR="008909ED"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integračné centrum</w:t>
            </w:r>
          </w:p>
        </w:tc>
        <w:tc>
          <w:tcPr>
            <w:tcW w:w="1410" w:type="pct"/>
            <w:tcBorders>
              <w:top w:val="nil"/>
              <w:left w:val="nil"/>
              <w:bottom w:val="single" w:sz="4" w:space="0" w:color="auto"/>
              <w:right w:val="single" w:sz="4" w:space="0" w:color="auto"/>
            </w:tcBorders>
            <w:shd w:val="clear" w:color="auto" w:fill="auto"/>
            <w:noWrap/>
            <w:vAlign w:val="bottom"/>
          </w:tcPr>
          <w:p w14:paraId="41727C53" w14:textId="77777777" w:rsidR="008909ED" w:rsidRDefault="008909ED" w:rsidP="007468A0">
            <w:pPr>
              <w:spacing w:after="0" w:line="240" w:lineRule="auto"/>
              <w:jc w:val="center"/>
              <w:rPr>
                <w:rFonts w:ascii="Calibri" w:hAnsi="Calibri" w:cs="Calibri"/>
                <w:color w:val="000000"/>
              </w:rPr>
            </w:pPr>
            <w:r>
              <w:rPr>
                <w:rFonts w:ascii="Calibri" w:hAnsi="Calibri" w:cs="Calibri"/>
                <w:color w:val="000000"/>
              </w:rPr>
              <w:t>15</w:t>
            </w:r>
          </w:p>
        </w:tc>
      </w:tr>
      <w:tr w:rsidR="008909ED" w:rsidRPr="00104319" w14:paraId="23C0DD34" w14:textId="77777777" w:rsidTr="004F41CE">
        <w:trPr>
          <w:trHeight w:val="255"/>
        </w:trPr>
        <w:tc>
          <w:tcPr>
            <w:tcW w:w="1408" w:type="pct"/>
            <w:tcBorders>
              <w:top w:val="single" w:sz="4" w:space="0" w:color="auto"/>
              <w:left w:val="single" w:sz="4" w:space="0" w:color="auto"/>
              <w:bottom w:val="single" w:sz="4" w:space="0" w:color="auto"/>
            </w:tcBorders>
            <w:shd w:val="clear" w:color="auto" w:fill="auto"/>
            <w:noWrap/>
            <w:vAlign w:val="bottom"/>
          </w:tcPr>
          <w:p w14:paraId="1F3AB35F" w14:textId="77777777" w:rsidR="008909ED" w:rsidRPr="00104319" w:rsidRDefault="008909ED" w:rsidP="007468A0">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Spolu miest</w:t>
            </w:r>
          </w:p>
        </w:tc>
        <w:tc>
          <w:tcPr>
            <w:tcW w:w="2182" w:type="pct"/>
            <w:tcBorders>
              <w:top w:val="single" w:sz="4" w:space="0" w:color="auto"/>
              <w:bottom w:val="single" w:sz="4" w:space="0" w:color="auto"/>
              <w:right w:val="single" w:sz="4" w:space="0" w:color="auto"/>
            </w:tcBorders>
            <w:shd w:val="clear" w:color="auto" w:fill="auto"/>
            <w:noWrap/>
            <w:vAlign w:val="bottom"/>
          </w:tcPr>
          <w:p w14:paraId="2A000F31" w14:textId="77777777" w:rsidR="008909ED" w:rsidRPr="00104319" w:rsidRDefault="008909ED" w:rsidP="007468A0">
            <w:pPr>
              <w:spacing w:after="0" w:line="240" w:lineRule="auto"/>
              <w:jc w:val="center"/>
              <w:rPr>
                <w:rFonts w:ascii="Calibri" w:eastAsia="Times New Roman" w:hAnsi="Calibri" w:cs="Calibri"/>
                <w:color w:val="000000"/>
                <w:lang w:eastAsia="sk-SK"/>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38FCF" w14:textId="77777777" w:rsidR="008909ED" w:rsidRPr="00104319" w:rsidRDefault="008909ED" w:rsidP="007468A0">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1 331</w:t>
            </w:r>
          </w:p>
        </w:tc>
      </w:tr>
    </w:tbl>
    <w:p w14:paraId="38F2E809"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11.1.1: DSS pre deti a dospelých KAMPINO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8909ED" w:rsidRPr="006940B5" w14:paraId="2EB1D402"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9BC7A6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20DEC9B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71F28D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16EB15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E95825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8B503A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35981F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DC62B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C5127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362AB0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B48548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0494A36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ECED8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607C6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905B2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1 325 413,00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05865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1 333 464,17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FF80A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100,61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4F7BC8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1 334 085,67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097DF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3303B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1 341 335,17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215A5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100,54</w:t>
            </w:r>
            <w:r w:rsidRPr="006940B5">
              <w:rPr>
                <w:rFonts w:ascii="Calibri" w:eastAsia="Times New Roman" w:hAnsi="Calibri" w:cs="Calibri"/>
                <w:sz w:val="24"/>
                <w:szCs w:val="24"/>
                <w:lang w:eastAsia="sk-SK"/>
              </w:rPr>
              <w:t xml:space="preserve"> </w:t>
            </w:r>
          </w:p>
        </w:tc>
      </w:tr>
      <w:tr w:rsidR="008909ED" w:rsidRPr="006940B5" w14:paraId="0D1C16A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4DD64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22212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5FD52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1 325 413,00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81F5A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1 333 464,17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BA5E3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100,61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BC32B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1 334 085,67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F1E00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2B848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1 341 335,17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889DD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100,54</w:t>
            </w:r>
            <w:r w:rsidRPr="006940B5">
              <w:rPr>
                <w:rFonts w:ascii="Calibri" w:eastAsia="Times New Roman" w:hAnsi="Calibri" w:cs="Calibri"/>
                <w:sz w:val="24"/>
                <w:szCs w:val="24"/>
                <w:lang w:eastAsia="sk-SK"/>
              </w:rPr>
              <w:t xml:space="preserve"> </w:t>
            </w:r>
          </w:p>
        </w:tc>
      </w:tr>
      <w:tr w:rsidR="008909ED" w:rsidRPr="006940B5" w14:paraId="2DFF3CB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9EAEF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AACB1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3EF6C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769 615,00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8DB83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767 566,00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7E1B96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99,73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991811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769 977,50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E1190A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100,31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2E6BC2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766 768,00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8CCA5B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99,58</w:t>
            </w:r>
            <w:r w:rsidRPr="006940B5">
              <w:rPr>
                <w:rFonts w:ascii="Calibri" w:eastAsia="Times New Roman" w:hAnsi="Calibri" w:cs="Calibri"/>
                <w:sz w:val="24"/>
                <w:szCs w:val="24"/>
                <w:lang w:eastAsia="sk-SK"/>
              </w:rPr>
              <w:t xml:space="preserve"> </w:t>
            </w:r>
          </w:p>
        </w:tc>
      </w:tr>
      <w:tr w:rsidR="008909ED" w:rsidRPr="006940B5" w14:paraId="3CFFA00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CA333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1CB2C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0373A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280 470,00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E78B52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281 439,97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7CA205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100,35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48540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281 439,97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1CD160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D37AF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281 439,97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322115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0218BA6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ABF91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7F2C6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D6ADA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264 982,00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D1AC4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275 729,70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ACADEE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104,06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D55BB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272 933,70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B2B7C1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98,99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44D36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272 733,70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16DF33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99,93</w:t>
            </w:r>
            <w:r w:rsidRPr="006940B5">
              <w:rPr>
                <w:rFonts w:ascii="Calibri" w:eastAsia="Times New Roman" w:hAnsi="Calibri" w:cs="Calibri"/>
                <w:sz w:val="24"/>
                <w:szCs w:val="24"/>
                <w:lang w:eastAsia="sk-SK"/>
              </w:rPr>
              <w:t xml:space="preserve"> </w:t>
            </w:r>
          </w:p>
        </w:tc>
      </w:tr>
      <w:tr w:rsidR="008909ED" w:rsidRPr="006940B5" w14:paraId="00B1043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B311E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C3802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818147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10 346,00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D65F5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8 728,50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114705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84,37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26640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9 734,50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3D7BFF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111,53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EBA69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20 393,50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962DC7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209,50</w:t>
            </w:r>
            <w:r w:rsidRPr="006940B5">
              <w:rPr>
                <w:rFonts w:ascii="Calibri" w:eastAsia="Times New Roman" w:hAnsi="Calibri" w:cs="Calibri"/>
                <w:sz w:val="24"/>
                <w:szCs w:val="24"/>
                <w:lang w:eastAsia="sk-SK"/>
              </w:rPr>
              <w:t xml:space="preserve"> </w:t>
            </w:r>
          </w:p>
        </w:tc>
      </w:tr>
    </w:tbl>
    <w:p w14:paraId="21FABDC5"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2F5CB53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4EEC9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D7EAF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2BA14A2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A1E8A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65FCD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08672B7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A5FF4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3F031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27EEBF4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FBCD2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F9FED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B3A9B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82E9A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4ACED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7E328AC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2D4CE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EC1DA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3A3A1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D2E3C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78892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74034E42"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11.1.2: DSS pre dospelých Báhoň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8"/>
        <w:gridCol w:w="1448"/>
        <w:gridCol w:w="649"/>
        <w:gridCol w:w="1448"/>
        <w:gridCol w:w="647"/>
        <w:gridCol w:w="1448"/>
        <w:gridCol w:w="662"/>
      </w:tblGrid>
      <w:tr w:rsidR="008909ED" w:rsidRPr="006940B5" w14:paraId="0DEFB08D"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DDE22F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062C068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54D6C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BF998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571D41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AE16BF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4F7A9C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C387F2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E7392F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D9578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00D65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3A0BBDF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20315A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6177E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41145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2 867 196,42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B6DF8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3 158 138,35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AAB45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110,15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D4FCB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3 107 173,57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F0D30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98,39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DC6A6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3 105 490,60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EA56A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99,95</w:t>
            </w:r>
            <w:r w:rsidRPr="006940B5">
              <w:rPr>
                <w:rFonts w:ascii="Calibri" w:eastAsia="Times New Roman" w:hAnsi="Calibri" w:cs="Calibri"/>
                <w:sz w:val="24"/>
                <w:szCs w:val="24"/>
                <w:lang w:eastAsia="sk-SK"/>
              </w:rPr>
              <w:t xml:space="preserve"> </w:t>
            </w:r>
          </w:p>
        </w:tc>
      </w:tr>
      <w:tr w:rsidR="008909ED" w:rsidRPr="006940B5" w14:paraId="5927378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831FC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66922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017DA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2 867 196,42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3ED5F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3 158 138,35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A47F6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110,15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B8CEF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3 107 173,57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E7A75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98,39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0B08B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3 105 490,60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5983E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99,95</w:t>
            </w:r>
            <w:r w:rsidRPr="006940B5">
              <w:rPr>
                <w:rFonts w:ascii="Calibri" w:eastAsia="Times New Roman" w:hAnsi="Calibri" w:cs="Calibri"/>
                <w:sz w:val="24"/>
                <w:szCs w:val="24"/>
                <w:lang w:eastAsia="sk-SK"/>
              </w:rPr>
              <w:t xml:space="preserve"> </w:t>
            </w:r>
          </w:p>
        </w:tc>
      </w:tr>
      <w:tr w:rsidR="008909ED" w:rsidRPr="006940B5" w14:paraId="030267E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8AD9E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D5C61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91E088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1 547 396,00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3ABDC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1 694 056,75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88E2EE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109,48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A9A6E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1 692 768,50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47425E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99,92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E0290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1 695 390,00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091C36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100,15</w:t>
            </w:r>
            <w:r w:rsidRPr="006940B5">
              <w:rPr>
                <w:rFonts w:ascii="Calibri" w:eastAsia="Times New Roman" w:hAnsi="Calibri" w:cs="Calibri"/>
                <w:sz w:val="24"/>
                <w:szCs w:val="24"/>
                <w:lang w:eastAsia="sk-SK"/>
              </w:rPr>
              <w:t xml:space="preserve"> </w:t>
            </w:r>
          </w:p>
        </w:tc>
      </w:tr>
      <w:tr w:rsidR="008909ED" w:rsidRPr="006940B5" w14:paraId="742C9B7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E585A0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820A2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CD05B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566 767,00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61EFB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635 697,00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13600F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112,16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CFFA7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635 229,00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8C989C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99,93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B803C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636 183,00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C76C9E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100,15</w:t>
            </w:r>
            <w:r w:rsidRPr="006940B5">
              <w:rPr>
                <w:rFonts w:ascii="Calibri" w:eastAsia="Times New Roman" w:hAnsi="Calibri" w:cs="Calibri"/>
                <w:sz w:val="24"/>
                <w:szCs w:val="24"/>
                <w:lang w:eastAsia="sk-SK"/>
              </w:rPr>
              <w:t xml:space="preserve"> </w:t>
            </w:r>
          </w:p>
        </w:tc>
      </w:tr>
      <w:tr w:rsidR="008909ED" w:rsidRPr="006940B5" w14:paraId="4E03883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557B3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64324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EEAF85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730 533,42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746BE5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804 884,60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000A5B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110,18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E2010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755 676,07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04D143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93,89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0DA38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750 417,60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E473D3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99,30</w:t>
            </w:r>
            <w:r w:rsidRPr="006940B5">
              <w:rPr>
                <w:rFonts w:ascii="Calibri" w:eastAsia="Times New Roman" w:hAnsi="Calibri" w:cs="Calibri"/>
                <w:sz w:val="24"/>
                <w:szCs w:val="24"/>
                <w:lang w:eastAsia="sk-SK"/>
              </w:rPr>
              <w:t xml:space="preserve"> </w:t>
            </w:r>
          </w:p>
        </w:tc>
      </w:tr>
      <w:tr w:rsidR="008909ED" w:rsidRPr="006940B5" w14:paraId="04110C2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8CC89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BF9492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789C2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22 500,00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F0BAAC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23 500,00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DA49FD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104,44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94D07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23 500,00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B0DA15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F3977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23 500,00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005A82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1D0B22A9"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7EAD04B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3D6A9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2FCBE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0A47B97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9C125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47792C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1497A83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A2A86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243F2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6E7C5CF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1C1E4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C2E97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82E88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2021C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BD47E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4862FD8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07F0F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B3D6E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470A1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5C0A5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04DB6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55E14F36" w14:textId="77777777" w:rsidR="004F41CE" w:rsidRDefault="004F41CE" w:rsidP="008909ED">
      <w:pPr>
        <w:spacing w:before="100" w:beforeAutospacing="1" w:after="100" w:afterAutospacing="1" w:line="240" w:lineRule="auto"/>
        <w:outlineLvl w:val="3"/>
        <w:rPr>
          <w:rFonts w:ascii="Calibri" w:eastAsia="Times New Roman" w:hAnsi="Calibri" w:cs="Calibri"/>
          <w:b/>
          <w:bCs/>
          <w:color w:val="0000FF"/>
          <w:sz w:val="24"/>
          <w:szCs w:val="24"/>
          <w:lang w:eastAsia="sk-SK"/>
        </w:rPr>
      </w:pPr>
    </w:p>
    <w:p w14:paraId="18A4F378" w14:textId="2C2656EB" w:rsidR="008909ED" w:rsidRPr="009E6E53" w:rsidRDefault="008909ED" w:rsidP="001B5DF0">
      <w:pPr>
        <w:spacing w:before="120" w:after="120" w:line="240" w:lineRule="auto"/>
        <w:outlineLvl w:val="3"/>
        <w:rPr>
          <w:rFonts w:ascii="Calibri" w:eastAsia="Times New Roman" w:hAnsi="Calibri" w:cs="Calibri"/>
          <w:b/>
          <w:bCs/>
          <w:color w:val="0000FF"/>
          <w:sz w:val="24"/>
          <w:szCs w:val="24"/>
          <w:lang w:eastAsia="sk-SK"/>
        </w:rPr>
      </w:pPr>
      <w:r w:rsidRPr="009E6E53">
        <w:rPr>
          <w:rFonts w:ascii="Calibri" w:eastAsia="Times New Roman" w:hAnsi="Calibri" w:cs="Calibri"/>
          <w:b/>
          <w:bCs/>
          <w:color w:val="0000FF"/>
          <w:sz w:val="24"/>
          <w:szCs w:val="24"/>
          <w:lang w:eastAsia="sk-SK"/>
        </w:rPr>
        <w:lastRenderedPageBreak/>
        <w:t xml:space="preserve">Prvok 11.1.3: DSS HESTIA </w:t>
      </w:r>
    </w:p>
    <w:p w14:paraId="0B1D0AC1" w14:textId="77777777" w:rsidR="008909ED" w:rsidRPr="009E6E53" w:rsidRDefault="008909ED" w:rsidP="001B5DF0">
      <w:pPr>
        <w:spacing w:before="120" w:after="120" w:line="240" w:lineRule="auto"/>
        <w:rPr>
          <w:rFonts w:ascii="Calibri" w:eastAsia="Times New Roman" w:hAnsi="Calibri" w:cs="Calibri"/>
          <w:sz w:val="24"/>
          <w:szCs w:val="24"/>
          <w:lang w:eastAsia="sk-SK"/>
        </w:rPr>
      </w:pPr>
      <w:r w:rsidRPr="009E6E53">
        <w:rPr>
          <w:rFonts w:ascii="Calibri" w:eastAsia="Times New Roman" w:hAnsi="Calibri" w:cs="Calibri"/>
          <w:b/>
          <w:bCs/>
          <w:sz w:val="24"/>
          <w:szCs w:val="24"/>
          <w:lang w:eastAsia="sk-SK"/>
        </w:rPr>
        <w:t>Komentár:</w:t>
      </w:r>
      <w:r w:rsidRPr="00A8332D">
        <w:rPr>
          <w:rFonts w:eastAsia="Times New Roman" w:cstheme="minorHAnsi"/>
          <w:b/>
          <w:bCs/>
          <w:sz w:val="24"/>
          <w:szCs w:val="24"/>
          <w:lang w:eastAsia="sk-SK"/>
        </w:rPr>
        <w:t xml:space="preserve"> </w:t>
      </w:r>
      <w:r w:rsidRPr="009E6E53">
        <w:rPr>
          <w:rFonts w:ascii="Calibri" w:eastAsia="Times New Roman" w:hAnsi="Calibri" w:cs="Calibri"/>
          <w:sz w:val="24"/>
          <w:szCs w:val="24"/>
          <w:lang w:eastAsia="sk-SK"/>
        </w:rPr>
        <w:t>S účinnosťou od 1.1.2017 bol Domov sociálnych služieb HESTIA zlúčený s Domovom sociálnych služieb a zariadením pre seniorov, Hrnčiarska 37, Pezinok. Právnym nástupcom sa stal DSS a zariadenie pre seniorov, Hrnčiarska 37, Pezinok.</w:t>
      </w:r>
    </w:p>
    <w:p w14:paraId="74323E84" w14:textId="77777777" w:rsidR="008909ED" w:rsidRPr="006940B5" w:rsidRDefault="008909ED" w:rsidP="001B5DF0">
      <w:pPr>
        <w:spacing w:before="120" w:after="120"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 xml:space="preserve">Prvok 11.1.4: DSS </w:t>
      </w:r>
      <w:proofErr w:type="spellStart"/>
      <w:r w:rsidRPr="006940B5">
        <w:rPr>
          <w:rFonts w:ascii="Calibri" w:eastAsia="Times New Roman" w:hAnsi="Calibri" w:cs="Calibri"/>
          <w:b/>
          <w:bCs/>
          <w:color w:val="0000FF"/>
          <w:sz w:val="24"/>
          <w:szCs w:val="24"/>
          <w:lang w:eastAsia="sk-SK"/>
        </w:rPr>
        <w:t>Rozsutec</w:t>
      </w:r>
      <w:proofErr w:type="spellEnd"/>
      <w:r w:rsidRPr="006940B5">
        <w:rPr>
          <w:rFonts w:ascii="Calibri" w:eastAsia="Times New Roman" w:hAnsi="Calibri" w:cs="Calibri"/>
          <w:b/>
          <w:bCs/>
          <w:color w:val="0000FF"/>
          <w:sz w:val="24"/>
          <w:szCs w:val="24"/>
          <w:lang w:eastAsia="sk-SK"/>
        </w:rPr>
        <w:t xml:space="preserve">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3"/>
        <w:gridCol w:w="2215"/>
        <w:gridCol w:w="1430"/>
        <w:gridCol w:w="1430"/>
        <w:gridCol w:w="649"/>
        <w:gridCol w:w="1430"/>
        <w:gridCol w:w="649"/>
        <w:gridCol w:w="1430"/>
        <w:gridCol w:w="664"/>
      </w:tblGrid>
      <w:tr w:rsidR="008909ED" w:rsidRPr="006940B5" w14:paraId="651891FD"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69534D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10887F9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AA5831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A387B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E9B2AE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1CA10E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FF722B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6FCAF0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6D3C83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5B46E3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5F559F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726C031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92B1A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B6DEB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78AD40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902 516,00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F5815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956 120,00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709EA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105,94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784678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956 120,00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83A81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D4473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956 120,00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BD8A3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24B1B7B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4C09D5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62089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EFB8A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902 516,00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8CDDC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956 120,00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24EAB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105,94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4D5D0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956 120,00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F5B6C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771816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956 120,00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7D299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54638CD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E2896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BD1F2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61485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497 468,00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208F9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524 736,00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2315C0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105,48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A3B5D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524 736,00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584796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33803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524 736,00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0CAEFF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2261C7D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203A2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64B12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ED191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180 868,00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E8146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196 138,00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A63316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108,44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A6ACD3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196 138,00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E4F11B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68754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196 138,00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468C53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1593D3D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C3B365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9FFE1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E3C6C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208 714,00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4E3F0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227 747,00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FD59F6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109,12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5014E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227 747,00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83F5CB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D43D6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227 747,00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6458F3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6217DE7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320AE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1D87A0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8CD8CD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15 466,00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A2214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7 499,00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6E45C1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48,49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ADC56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7 499,00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27A111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FEDE2E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7 499,00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426084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48BE32D4"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06F5C84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B0C05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CE99F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2C1D5A4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1188D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BB5E4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71DCCC2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1E543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92128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17BE450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92017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4E01E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ACAB9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C3F156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23CEB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024A758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6A213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89EDE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77F74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573D1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CF2EF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7D8C93A9"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11.1.5: Centrum sociálnych služieb Javorinská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8909ED" w:rsidRPr="006940B5" w14:paraId="314E2800"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509BAC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17C655D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E61501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64A056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0BF119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12DCB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AB4DC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1D37C3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95161A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1B764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294F6A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531C87E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D8847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5E446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743E8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1 056 743,22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90741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1 064 609,15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C2CAD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100,74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ED235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1 064 609,15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720DD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8991E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1 064 609,15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AFFA2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578318B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968BA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792EC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03AA2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1 056 743,22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DA4A18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1 064 609,15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D539F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100,74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1E94A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1 064 609,15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387F5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478FAF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1 064 609,15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4022C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0C214E4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57F7F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D00C7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7A9C8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611 624,00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D4A1F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634 469,00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A566B4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103,74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5E67D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634 469,00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0C3B12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6EEDA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634 469,00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0A0992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72607CF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C5E2F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A04B3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73173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224 123,00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4F3BD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237 025,00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AB7F8F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105,76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ED7866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237 025,00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D4C19B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83B52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237 025,00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6C9AF8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48A4F28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A76AF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BF988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84AD37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210 851,22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9A09D4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187 115,15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1BEAD7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88,74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10C38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187 115,15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D2A1F6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04B5C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187 115,15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3BF301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1D125CA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F89E1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D51CD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C11BB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10 145,00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51BFC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A37363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59,14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328D98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12D737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B4A11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7957E1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6478F331"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5C21D87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16830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AE8B4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48C068D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7942F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C0BB8E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686BC97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8265B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85932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3887C53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1CA2D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9FC5F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7A162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B0C15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F5108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3D3080F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A49A7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C7249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D2BE3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D93C1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E444C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08D0F77A"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11.1.6: DSS pre deti a dospelých INTEGRA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8909ED" w:rsidRPr="006940B5" w14:paraId="096669EF"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3B2B21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78AD860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8FA9FE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1D670D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AB29F0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8A88C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AD6F7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A990A4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C2C49E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A1B92A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ED6274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5559F98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3FB1C5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7B548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66A2D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1 565 134,85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582369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1 648 077,50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7473D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105,30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8D52D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1 806 836,97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B05B2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109,63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A6891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1 810 542,98</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4E5221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100,21</w:t>
            </w:r>
            <w:r w:rsidRPr="006940B5">
              <w:rPr>
                <w:rFonts w:ascii="Calibri" w:eastAsia="Times New Roman" w:hAnsi="Calibri" w:cs="Calibri"/>
                <w:sz w:val="24"/>
                <w:szCs w:val="24"/>
                <w:lang w:eastAsia="sk-SK"/>
              </w:rPr>
              <w:t xml:space="preserve"> </w:t>
            </w:r>
          </w:p>
        </w:tc>
      </w:tr>
      <w:tr w:rsidR="008909ED" w:rsidRPr="006940B5" w14:paraId="74F4371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C60E0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14EA8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176EC2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1 565 134,85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A4D7DB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1 648 077,50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DC932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105,30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05DF1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1 806 836,97</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4C375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109,63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F4EBF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1 810 542,98</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0D1BE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100,21</w:t>
            </w:r>
            <w:r w:rsidRPr="006940B5">
              <w:rPr>
                <w:rFonts w:ascii="Calibri" w:eastAsia="Times New Roman" w:hAnsi="Calibri" w:cs="Calibri"/>
                <w:sz w:val="24"/>
                <w:szCs w:val="24"/>
                <w:lang w:eastAsia="sk-SK"/>
              </w:rPr>
              <w:t xml:space="preserve"> </w:t>
            </w:r>
          </w:p>
        </w:tc>
      </w:tr>
      <w:tr w:rsidR="008909ED" w:rsidRPr="006940B5" w14:paraId="7C9FB1E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F28D2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1EE22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D592E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916 181,88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70B6D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986 734,50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9239F5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107,70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A5884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984 246,50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769EF4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99,75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0E18D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982 367,50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5DBCEF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99,81</w:t>
            </w:r>
            <w:r w:rsidRPr="006940B5">
              <w:rPr>
                <w:rFonts w:ascii="Calibri" w:eastAsia="Times New Roman" w:hAnsi="Calibri" w:cs="Calibri"/>
                <w:sz w:val="24"/>
                <w:szCs w:val="24"/>
                <w:lang w:eastAsia="sk-SK"/>
              </w:rPr>
              <w:t xml:space="preserve"> </w:t>
            </w:r>
          </w:p>
        </w:tc>
      </w:tr>
      <w:tr w:rsidR="008909ED" w:rsidRPr="006940B5" w14:paraId="369560E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797C8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lastRenderedPageBreak/>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AC3AE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A5CE8F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329 940,12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96324E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361 831,06</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B8C6AF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109,67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F0820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360 936,63</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9B97A4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99,75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95861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360 261,13</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245B09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99,81</w:t>
            </w:r>
            <w:r w:rsidRPr="006940B5">
              <w:rPr>
                <w:rFonts w:ascii="Calibri" w:eastAsia="Times New Roman" w:hAnsi="Calibri" w:cs="Calibri"/>
                <w:sz w:val="24"/>
                <w:szCs w:val="24"/>
                <w:lang w:eastAsia="sk-SK"/>
              </w:rPr>
              <w:t xml:space="preserve"> </w:t>
            </w:r>
          </w:p>
        </w:tc>
      </w:tr>
      <w:tr w:rsidR="008909ED" w:rsidRPr="006940B5" w14:paraId="2DF8C0E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B3976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C2F15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8B1DB5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306 197,85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A397E8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281 546,94</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AB8426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91,95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9D96F0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450 101,84</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585E73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159,87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040A3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455 948,35</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F09972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101,30</w:t>
            </w:r>
            <w:r w:rsidRPr="006940B5">
              <w:rPr>
                <w:rFonts w:ascii="Calibri" w:eastAsia="Times New Roman" w:hAnsi="Calibri" w:cs="Calibri"/>
                <w:sz w:val="24"/>
                <w:szCs w:val="24"/>
                <w:lang w:eastAsia="sk-SK"/>
              </w:rPr>
              <w:t xml:space="preserve"> </w:t>
            </w:r>
          </w:p>
        </w:tc>
      </w:tr>
      <w:tr w:rsidR="008909ED" w:rsidRPr="006940B5" w14:paraId="713ECF4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0E5DC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3063A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86CA92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12 815,00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A23E0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17 965,00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A33160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140,19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E0988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11 552,00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749582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C79E7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11 966,00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C17345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103,58</w:t>
            </w:r>
            <w:r w:rsidRPr="006940B5">
              <w:rPr>
                <w:rFonts w:ascii="Calibri" w:eastAsia="Times New Roman" w:hAnsi="Calibri" w:cs="Calibri"/>
                <w:sz w:val="24"/>
                <w:szCs w:val="24"/>
                <w:lang w:eastAsia="sk-SK"/>
              </w:rPr>
              <w:t xml:space="preserve"> </w:t>
            </w:r>
          </w:p>
        </w:tc>
      </w:tr>
    </w:tbl>
    <w:p w14:paraId="11A2DE6B"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318F7E7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03B59A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FEB510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31FD762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8F257E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22B16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149DD8C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AA313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2F320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71777F6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914B2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FC748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10223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FD350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E91FD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50D242B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60704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BF70F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5D772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B1726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7DD14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2D557F75"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 xml:space="preserve">Prvok 11.1.7: Centrum sociálnych služieb </w:t>
      </w:r>
      <w:proofErr w:type="spellStart"/>
      <w:r w:rsidRPr="006940B5">
        <w:rPr>
          <w:rFonts w:ascii="Calibri" w:eastAsia="Times New Roman" w:hAnsi="Calibri" w:cs="Calibri"/>
          <w:b/>
          <w:bCs/>
          <w:color w:val="0000FF"/>
          <w:sz w:val="24"/>
          <w:szCs w:val="24"/>
          <w:lang w:eastAsia="sk-SK"/>
        </w:rPr>
        <w:t>Sibírka</w:t>
      </w:r>
      <w:proofErr w:type="spellEnd"/>
      <w:r w:rsidRPr="006940B5">
        <w:rPr>
          <w:rFonts w:ascii="Calibri" w:eastAsia="Times New Roman" w:hAnsi="Calibri" w:cs="Calibri"/>
          <w:b/>
          <w:bCs/>
          <w:color w:val="0000FF"/>
          <w:sz w:val="24"/>
          <w:szCs w:val="24"/>
          <w:lang w:eastAsia="sk-SK"/>
        </w:rPr>
        <w:t xml:space="preserve">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9"/>
        <w:gridCol w:w="1448"/>
        <w:gridCol w:w="647"/>
        <w:gridCol w:w="1448"/>
        <w:gridCol w:w="664"/>
      </w:tblGrid>
      <w:tr w:rsidR="008909ED" w:rsidRPr="006940B5" w14:paraId="6B3AE4B0"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07685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00183EE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64234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5AA580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FEBF7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04B67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9D8B27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9438B2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3D02D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2A214F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0B506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6F7A692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31382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44C22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DA502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1 511 794,00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41C22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1 533 045,00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C2583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101,41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BF0E1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1 528 285,00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8C9FF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99,69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E07F4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1 531 085,00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7F660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100,18</w:t>
            </w:r>
            <w:r w:rsidRPr="006940B5">
              <w:rPr>
                <w:rFonts w:ascii="Calibri" w:eastAsia="Times New Roman" w:hAnsi="Calibri" w:cs="Calibri"/>
                <w:sz w:val="24"/>
                <w:szCs w:val="24"/>
                <w:lang w:eastAsia="sk-SK"/>
              </w:rPr>
              <w:t xml:space="preserve"> </w:t>
            </w:r>
          </w:p>
        </w:tc>
      </w:tr>
      <w:tr w:rsidR="008909ED" w:rsidRPr="006940B5" w14:paraId="444691A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210BA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C9FEA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3A605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1 511 794,00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68E111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1 533 045,00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3371F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101,41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7A7977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1 528 285,00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6AE42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99,69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BECAC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1 531 085,00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0756F9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100,18</w:t>
            </w:r>
            <w:r w:rsidRPr="006940B5">
              <w:rPr>
                <w:rFonts w:ascii="Calibri" w:eastAsia="Times New Roman" w:hAnsi="Calibri" w:cs="Calibri"/>
                <w:sz w:val="24"/>
                <w:szCs w:val="24"/>
                <w:lang w:eastAsia="sk-SK"/>
              </w:rPr>
              <w:t xml:space="preserve"> </w:t>
            </w:r>
          </w:p>
        </w:tc>
      </w:tr>
      <w:tr w:rsidR="008909ED" w:rsidRPr="006940B5" w14:paraId="393A8AF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4F7EE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C5253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C315DA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886 585,00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E2FC7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892 955,00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AFBC2B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100,72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6A82E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892 955,00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C2CEB9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574D6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892 955,00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A408BA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76E0816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F204E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0B26C8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FA5EB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315 214,00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1187D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325 961,00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A95798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103,41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36521B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325 961,00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9CC31B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99D16F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326 961,00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A86225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100,31</w:t>
            </w:r>
            <w:r w:rsidRPr="006940B5">
              <w:rPr>
                <w:rFonts w:ascii="Calibri" w:eastAsia="Times New Roman" w:hAnsi="Calibri" w:cs="Calibri"/>
                <w:sz w:val="24"/>
                <w:szCs w:val="24"/>
                <w:lang w:eastAsia="sk-SK"/>
              </w:rPr>
              <w:t xml:space="preserve"> </w:t>
            </w:r>
          </w:p>
        </w:tc>
      </w:tr>
      <w:tr w:rsidR="008909ED" w:rsidRPr="006940B5" w14:paraId="6DE8FE6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D13AC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C9204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E8869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297 495,00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780CC5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300 629,00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32BEBE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101,05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054BD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295 869,00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13B51E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98,42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C283E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297 669,00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04B257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100,61</w:t>
            </w:r>
            <w:r w:rsidRPr="006940B5">
              <w:rPr>
                <w:rFonts w:ascii="Calibri" w:eastAsia="Times New Roman" w:hAnsi="Calibri" w:cs="Calibri"/>
                <w:sz w:val="24"/>
                <w:szCs w:val="24"/>
                <w:lang w:eastAsia="sk-SK"/>
              </w:rPr>
              <w:t xml:space="preserve"> </w:t>
            </w:r>
          </w:p>
        </w:tc>
      </w:tr>
      <w:tr w:rsidR="008909ED" w:rsidRPr="006940B5" w14:paraId="7AB0524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757E4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7A4C2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AC920C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12 500,00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FB689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13 500,00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7E8D4E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108,00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3B9C0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13 500,00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BDD555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51ED4A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13 500,00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AD1B8E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595098F9"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2F61E91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0970F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4035E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767568E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38EEE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31E6F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32D9A93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46D02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ABEE1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2122159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3E94E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E3328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16C30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45D1B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8B4D5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1971157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A2EA5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04029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E31FB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43607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D820D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2250B6D8"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11.1.8: Zariadenie sociálnych služieb ROSA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9"/>
        <w:gridCol w:w="1448"/>
        <w:gridCol w:w="649"/>
        <w:gridCol w:w="1448"/>
        <w:gridCol w:w="662"/>
      </w:tblGrid>
      <w:tr w:rsidR="008909ED" w:rsidRPr="006940B5" w14:paraId="7EBBD299"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D833CB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4B2FFFB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68B2D4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4557DE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ECAB5D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AFE80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465416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B8B566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B7F620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E1470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D6E4A9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61DF847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71AAD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B36C5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4F4F7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3 080 471,00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A7911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3 140 588,00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87626E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101,95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BF360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3 141 218,00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88504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7DAF2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3 140 588,00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B55DE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99,98</w:t>
            </w:r>
            <w:r w:rsidRPr="006940B5">
              <w:rPr>
                <w:rFonts w:ascii="Calibri" w:eastAsia="Times New Roman" w:hAnsi="Calibri" w:cs="Calibri"/>
                <w:sz w:val="24"/>
                <w:szCs w:val="24"/>
                <w:lang w:eastAsia="sk-SK"/>
              </w:rPr>
              <w:t xml:space="preserve"> </w:t>
            </w:r>
          </w:p>
        </w:tc>
      </w:tr>
      <w:tr w:rsidR="008909ED" w:rsidRPr="006940B5" w14:paraId="78F0E0E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E9894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44E7B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679959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3 080 471,00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6DB53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3 140 588,00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CD477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101,95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3B3CD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3 141 218,00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9A5FD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25CBE5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3 140 588,00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FEB84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99,98</w:t>
            </w:r>
            <w:r w:rsidRPr="006940B5">
              <w:rPr>
                <w:rFonts w:ascii="Calibri" w:eastAsia="Times New Roman" w:hAnsi="Calibri" w:cs="Calibri"/>
                <w:sz w:val="24"/>
                <w:szCs w:val="24"/>
                <w:lang w:eastAsia="sk-SK"/>
              </w:rPr>
              <w:t xml:space="preserve"> </w:t>
            </w:r>
          </w:p>
        </w:tc>
      </w:tr>
      <w:tr w:rsidR="008909ED" w:rsidRPr="006940B5" w14:paraId="00EB6C8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F1A91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F155E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78C09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1 696 097,00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80C2C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1 762 756,00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ABE5F4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103,93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593B9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1 762 756,00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E4F2CA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E70C9A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1 762 756,00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7F3D97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7D6F669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AE270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1CA1D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79C06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607 290,00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D6D63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648 210,00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4E572B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106,74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6EDC2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648 210,00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5009FC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FF814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648 210,00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C1003D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3088267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BF2D0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30648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8C6A5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752 084,00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D8CF1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694 922,00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68DB8B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92,40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F50F8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695 552,00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561012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76634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694 922,00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9CC5FE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99,91</w:t>
            </w:r>
            <w:r w:rsidRPr="006940B5">
              <w:rPr>
                <w:rFonts w:ascii="Calibri" w:eastAsia="Times New Roman" w:hAnsi="Calibri" w:cs="Calibri"/>
                <w:sz w:val="24"/>
                <w:szCs w:val="24"/>
                <w:lang w:eastAsia="sk-SK"/>
              </w:rPr>
              <w:t xml:space="preserve"> </w:t>
            </w:r>
          </w:p>
        </w:tc>
      </w:tr>
      <w:tr w:rsidR="008909ED" w:rsidRPr="006940B5" w14:paraId="1306C74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2378AE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D88F3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9FA2B8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25 000,00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64ED5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34 700,00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3F2739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138,80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48E58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34 700,00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29A7A6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56C61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34 700,00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AFB3AA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0618C7B1"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59A3290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B1884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C6B1E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068A9E0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6AE4E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DBBA6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3B091E3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DDCE5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407D0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395F466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D9892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70C26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DF3D6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42F9D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77CF7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6EA8E1D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1C910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F5329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2A3357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46987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546B6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66AECE2A" w14:textId="77777777" w:rsidR="001B5DF0" w:rsidRDefault="001B5DF0" w:rsidP="008909ED">
      <w:pPr>
        <w:spacing w:before="100" w:beforeAutospacing="1" w:after="100" w:afterAutospacing="1" w:line="240" w:lineRule="auto"/>
        <w:outlineLvl w:val="3"/>
        <w:rPr>
          <w:rFonts w:ascii="Calibri" w:eastAsia="Times New Roman" w:hAnsi="Calibri" w:cs="Calibri"/>
          <w:b/>
          <w:bCs/>
          <w:color w:val="0000FF"/>
          <w:sz w:val="24"/>
          <w:szCs w:val="24"/>
          <w:lang w:eastAsia="sk-SK"/>
        </w:rPr>
      </w:pPr>
    </w:p>
    <w:p w14:paraId="5FEC3737" w14:textId="27C5B49E"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lastRenderedPageBreak/>
        <w:t xml:space="preserve">Prvok 11.1.9: CSS prof. K. </w:t>
      </w:r>
      <w:proofErr w:type="spellStart"/>
      <w:r w:rsidRPr="006940B5">
        <w:rPr>
          <w:rFonts w:ascii="Calibri" w:eastAsia="Times New Roman" w:hAnsi="Calibri" w:cs="Calibri"/>
          <w:b/>
          <w:bCs/>
          <w:color w:val="0000FF"/>
          <w:sz w:val="24"/>
          <w:szCs w:val="24"/>
          <w:lang w:eastAsia="sk-SK"/>
        </w:rPr>
        <w:t>Matulaya</w:t>
      </w:r>
      <w:proofErr w:type="spellEnd"/>
      <w:r w:rsidRPr="006940B5">
        <w:rPr>
          <w:rFonts w:ascii="Calibri" w:eastAsia="Times New Roman" w:hAnsi="Calibri" w:cs="Calibri"/>
          <w:b/>
          <w:bCs/>
          <w:color w:val="0000FF"/>
          <w:sz w:val="24"/>
          <w:szCs w:val="24"/>
          <w:lang w:eastAsia="sk-SK"/>
        </w:rPr>
        <w:t xml:space="preserve"> pre deti a dospelých - rozpočtová organizácia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8909ED" w:rsidRPr="006940B5" w14:paraId="5123D608"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40F11A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370BECA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6D6BF8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7DA67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A67B43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77A6AE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647C4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000B7D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9A6DB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D706D9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29C8D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44306A3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81994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E1385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3C3B4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2 668 118,00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B9DC9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2 761 141,00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4F8A1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103,49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72091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2 782 119,00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D2DA8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100,76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15F82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2 795 637,00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DD05B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100,49</w:t>
            </w:r>
            <w:r w:rsidRPr="006940B5">
              <w:rPr>
                <w:rFonts w:ascii="Calibri" w:eastAsia="Times New Roman" w:hAnsi="Calibri" w:cs="Calibri"/>
                <w:sz w:val="24"/>
                <w:szCs w:val="24"/>
                <w:lang w:eastAsia="sk-SK"/>
              </w:rPr>
              <w:t xml:space="preserve"> </w:t>
            </w:r>
          </w:p>
        </w:tc>
      </w:tr>
      <w:tr w:rsidR="008909ED" w:rsidRPr="006940B5" w14:paraId="2A781CC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68613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65E6D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550BC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2 668 118,00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B2F84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2 761 141,00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EB0A0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103,49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ED0A7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2 782 119,00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B7146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100,76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9599F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2 795 637,00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40729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100,49</w:t>
            </w:r>
            <w:r w:rsidRPr="006940B5">
              <w:rPr>
                <w:rFonts w:ascii="Calibri" w:eastAsia="Times New Roman" w:hAnsi="Calibri" w:cs="Calibri"/>
                <w:sz w:val="24"/>
                <w:szCs w:val="24"/>
                <w:lang w:eastAsia="sk-SK"/>
              </w:rPr>
              <w:t xml:space="preserve"> </w:t>
            </w:r>
          </w:p>
        </w:tc>
      </w:tr>
      <w:tr w:rsidR="008909ED" w:rsidRPr="006940B5" w14:paraId="6FA8F3F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F52B6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48DF25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96E61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1 647 825,00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06158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1 674 236,00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0751B6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101,60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A961A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1 687 899,00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8156EE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100,82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94CAFB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1 704 721,00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DFD0B5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101,00</w:t>
            </w:r>
            <w:r w:rsidRPr="006940B5">
              <w:rPr>
                <w:rFonts w:ascii="Calibri" w:eastAsia="Times New Roman" w:hAnsi="Calibri" w:cs="Calibri"/>
                <w:sz w:val="24"/>
                <w:szCs w:val="24"/>
                <w:lang w:eastAsia="sk-SK"/>
              </w:rPr>
              <w:t xml:space="preserve"> </w:t>
            </w:r>
          </w:p>
        </w:tc>
      </w:tr>
      <w:tr w:rsidR="008909ED" w:rsidRPr="006940B5" w14:paraId="07F6FDE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FA4A2E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A0A2CB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63510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598 565,00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28A23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624 920,00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5E3A03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104,40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88683F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631 393,00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B80C19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101,04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8EABA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635 026,00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D5CB0C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100,58</w:t>
            </w:r>
            <w:r w:rsidRPr="006940B5">
              <w:rPr>
                <w:rFonts w:ascii="Calibri" w:eastAsia="Times New Roman" w:hAnsi="Calibri" w:cs="Calibri"/>
                <w:sz w:val="24"/>
                <w:szCs w:val="24"/>
                <w:lang w:eastAsia="sk-SK"/>
              </w:rPr>
              <w:t xml:space="preserve"> </w:t>
            </w:r>
          </w:p>
        </w:tc>
      </w:tr>
      <w:tr w:rsidR="008909ED" w:rsidRPr="006940B5" w14:paraId="090313F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977CD4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0A08E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03B0E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396 727,00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8A5551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437 747,00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9BD694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110,34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7BDB0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437 827,00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48E4B0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E1EB5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433 190,00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30E5C9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98,94</w:t>
            </w:r>
            <w:r w:rsidRPr="006940B5">
              <w:rPr>
                <w:rFonts w:ascii="Calibri" w:eastAsia="Times New Roman" w:hAnsi="Calibri" w:cs="Calibri"/>
                <w:sz w:val="24"/>
                <w:szCs w:val="24"/>
                <w:lang w:eastAsia="sk-SK"/>
              </w:rPr>
              <w:t xml:space="preserve"> </w:t>
            </w:r>
          </w:p>
        </w:tc>
      </w:tr>
      <w:tr w:rsidR="008909ED" w:rsidRPr="006940B5" w14:paraId="2880AC0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213E4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5FCE7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80716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25 001,00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8CB71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24 238,00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D58F2A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96,95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861CFD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25 000,00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B6EC5B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103,14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A3E52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22 700,00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19BFE8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90,80</w:t>
            </w:r>
            <w:r w:rsidRPr="006940B5">
              <w:rPr>
                <w:rFonts w:ascii="Calibri" w:eastAsia="Times New Roman" w:hAnsi="Calibri" w:cs="Calibri"/>
                <w:sz w:val="24"/>
                <w:szCs w:val="24"/>
                <w:lang w:eastAsia="sk-SK"/>
              </w:rPr>
              <w:t xml:space="preserve"> </w:t>
            </w:r>
          </w:p>
        </w:tc>
      </w:tr>
    </w:tbl>
    <w:p w14:paraId="6B5475B6"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5D5E8BD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234B9E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BCCDD9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76D3EBA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271BE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666F9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29FC60E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B04C39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D0EC0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51660C5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1F326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DD45C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CAAB2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14B21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FFE0F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39AD842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F450D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CDAC1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4F7E0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A237D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463D6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50B2FAB8"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11.1.10: Centrum sociálnych služieb MEREMA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6"/>
        <w:gridCol w:w="2140"/>
        <w:gridCol w:w="1461"/>
        <w:gridCol w:w="1461"/>
        <w:gridCol w:w="649"/>
        <w:gridCol w:w="1461"/>
        <w:gridCol w:w="647"/>
        <w:gridCol w:w="1461"/>
        <w:gridCol w:w="664"/>
      </w:tblGrid>
      <w:tr w:rsidR="008909ED" w:rsidRPr="006940B5" w14:paraId="0129CC64"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49540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05ECB0B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B92DA3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4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BC956A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60F1E1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0219C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4A363F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B4007C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277247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FBF255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309B18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3718FBE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43E4B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AA664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234A5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1 673 271,12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BE72E6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1 976 197,27</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EB7CE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118,10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22B9A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1 975 777,07</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39F7F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99,98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E9A71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1 975 777,07</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EBB6B8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5F19CC7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8488E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86259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5E14B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1 673 271,12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4D5CC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1 976 197,27</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EC8C1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118,10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FC733B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1 975 777,07</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1883E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99,98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F89B94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1 975 777,07</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9653C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6D46550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C6E2A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7F100B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B48E2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1 019 503,86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BE075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1 245 771,50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52C960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122,19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8398C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1 245 771,50</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2589D4A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AFDEF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1 245 771,50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D096A7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0C31167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39133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A2C97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17EC0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370 029,21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EC7279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452 339,85</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947355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122,24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D5D76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452 339,65</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65B6000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22C1CC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452 339,65</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158F16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78F944B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36BEB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93F989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CDF3C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277 238,05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0F17F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270 085,92</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2516B79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97,42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8F096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269 665,92</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5169A36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99,84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AF0D6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269 665,92</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2A2C20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2F9F87C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CD8AE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568DC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898DD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6 500,00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1351B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8 000,00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831ABF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123,08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9E490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8 000,00</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5764F49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07937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8 000,00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8B1949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1628CC57"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426E08A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33E06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357FA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2579602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4E94F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B54DD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5159A79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6B2AB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5260D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1B80930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8022F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C9BA3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AF9A63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6AB52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B5120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0CA59C7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95EF6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0D22A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F7F07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CFA4E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1F5C57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487004C0"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11.1.11: GAUDEAMUS - zariadenie komunitnej rehabilitácie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6"/>
        <w:gridCol w:w="2140"/>
        <w:gridCol w:w="1461"/>
        <w:gridCol w:w="1461"/>
        <w:gridCol w:w="647"/>
        <w:gridCol w:w="1461"/>
        <w:gridCol w:w="649"/>
        <w:gridCol w:w="1461"/>
        <w:gridCol w:w="664"/>
      </w:tblGrid>
      <w:tr w:rsidR="008909ED" w:rsidRPr="006940B5" w14:paraId="38D9D5F7"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C73283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0CE55B3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F2295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4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029BD4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C50687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3C3DB1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B80C7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EC323A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F3B58C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CA344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45053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5488015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5E8C66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0F9E6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3CB87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2 574 214,37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7DD8B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2 567 881,88</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F0C23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99,75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58C0D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2 629 590,99</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CEA6BF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102,40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3CD29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2 637 547,58</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6818B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100,30</w:t>
            </w:r>
            <w:r w:rsidRPr="006940B5">
              <w:rPr>
                <w:rFonts w:ascii="Calibri" w:eastAsia="Times New Roman" w:hAnsi="Calibri" w:cs="Calibri"/>
                <w:sz w:val="24"/>
                <w:szCs w:val="24"/>
                <w:lang w:eastAsia="sk-SK"/>
              </w:rPr>
              <w:t xml:space="preserve"> </w:t>
            </w:r>
          </w:p>
        </w:tc>
      </w:tr>
      <w:tr w:rsidR="008909ED" w:rsidRPr="006940B5" w14:paraId="15485DC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A9161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C0566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BE96A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2 574 214,37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A6CB7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2 567 881,88</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D7F6E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99,75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92907E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2 629 590,99</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62174B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102,40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87B97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2 637 547,58</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E214E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100,30</w:t>
            </w:r>
            <w:r w:rsidRPr="006940B5">
              <w:rPr>
                <w:rFonts w:ascii="Calibri" w:eastAsia="Times New Roman" w:hAnsi="Calibri" w:cs="Calibri"/>
                <w:sz w:val="24"/>
                <w:szCs w:val="24"/>
                <w:lang w:eastAsia="sk-SK"/>
              </w:rPr>
              <w:t xml:space="preserve"> </w:t>
            </w:r>
          </w:p>
        </w:tc>
      </w:tr>
      <w:tr w:rsidR="008909ED" w:rsidRPr="006940B5" w14:paraId="644C027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43356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645F2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A4020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1 364 968,80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EDFDA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1 408 392,85</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3D283A2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103,18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4C694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1 439 268,00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D70751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102,19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49673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1 441 471,65</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10ABEF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100,15</w:t>
            </w:r>
            <w:r w:rsidRPr="006940B5">
              <w:rPr>
                <w:rFonts w:ascii="Calibri" w:eastAsia="Times New Roman" w:hAnsi="Calibri" w:cs="Calibri"/>
                <w:sz w:val="24"/>
                <w:szCs w:val="24"/>
                <w:lang w:eastAsia="sk-SK"/>
              </w:rPr>
              <w:t xml:space="preserve"> </w:t>
            </w:r>
          </w:p>
        </w:tc>
      </w:tr>
      <w:tr w:rsidR="008909ED" w:rsidRPr="006940B5" w14:paraId="7A57C94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3082E3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BE174F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3509C5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496 500,35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68A9E6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524 129,73</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5EECC03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105,56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B97118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531 015,12</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2D87C16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101,31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128A9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538 484,06</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E5ABED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101,41</w:t>
            </w:r>
            <w:r w:rsidRPr="006940B5">
              <w:rPr>
                <w:rFonts w:ascii="Calibri" w:eastAsia="Times New Roman" w:hAnsi="Calibri" w:cs="Calibri"/>
                <w:sz w:val="24"/>
                <w:szCs w:val="24"/>
                <w:lang w:eastAsia="sk-SK"/>
              </w:rPr>
              <w:t xml:space="preserve"> </w:t>
            </w:r>
          </w:p>
        </w:tc>
      </w:tr>
      <w:tr w:rsidR="008909ED" w:rsidRPr="006940B5" w14:paraId="52CD74E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D1387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96F92A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859183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692 461,22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0199E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613 092,30</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217A93D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88,54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86F6F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634 238,87</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2BD941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103,45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E5E8F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634 871,87</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8279D6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100,10</w:t>
            </w:r>
            <w:r w:rsidRPr="006940B5">
              <w:rPr>
                <w:rFonts w:ascii="Calibri" w:eastAsia="Times New Roman" w:hAnsi="Calibri" w:cs="Calibri"/>
                <w:sz w:val="24"/>
                <w:szCs w:val="24"/>
                <w:lang w:eastAsia="sk-SK"/>
              </w:rPr>
              <w:t xml:space="preserve"> </w:t>
            </w:r>
          </w:p>
        </w:tc>
      </w:tr>
      <w:tr w:rsidR="008909ED" w:rsidRPr="006940B5" w14:paraId="10B34E9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F0B3DA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49FBA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48EFE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20 284,00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28DC9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22 267,00</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49A28A8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109,78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BAA484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25 069,00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EA455D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112,58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7ED96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22 720,00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A67F1C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90,63</w:t>
            </w:r>
            <w:r w:rsidRPr="006940B5">
              <w:rPr>
                <w:rFonts w:ascii="Calibri" w:eastAsia="Times New Roman" w:hAnsi="Calibri" w:cs="Calibri"/>
                <w:sz w:val="24"/>
                <w:szCs w:val="24"/>
                <w:lang w:eastAsia="sk-SK"/>
              </w:rPr>
              <w:t xml:space="preserve"> </w:t>
            </w:r>
          </w:p>
        </w:tc>
      </w:tr>
    </w:tbl>
    <w:p w14:paraId="49D9BA09"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2"/>
        <w:gridCol w:w="1836"/>
        <w:gridCol w:w="1832"/>
        <w:gridCol w:w="1847"/>
      </w:tblGrid>
      <w:tr w:rsidR="008909ED" w:rsidRPr="006940B5" w14:paraId="2B933CF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C2CF4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lastRenderedPageBreak/>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C97834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65C88B3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A9790B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97E8B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5AEE6F8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911CF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11DA3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38D23B3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39D40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87002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1DD78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E2E79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DC05A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099F53E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36EC3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1028F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0117E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FEAFF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B26A2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100,00</w:t>
            </w:r>
          </w:p>
        </w:tc>
      </w:tr>
    </w:tbl>
    <w:p w14:paraId="40638B4E"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11.1.12: Zariadenie sociálnych služieb Pod hradom, Plavecké Podhradie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2214"/>
        <w:gridCol w:w="1447"/>
        <w:gridCol w:w="1447"/>
        <w:gridCol w:w="649"/>
        <w:gridCol w:w="1447"/>
        <w:gridCol w:w="649"/>
        <w:gridCol w:w="1447"/>
        <w:gridCol w:w="664"/>
      </w:tblGrid>
      <w:tr w:rsidR="008909ED" w:rsidRPr="006940B5" w14:paraId="598E4604"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5E411D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227D6D5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20F58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577E90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4327E3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21D0D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C548F8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3142C2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7EFB0A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5915F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1AC852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2E4C04A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0D81DE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FF564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9E6A5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1 588 117,00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36359E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1 829 853,00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7E121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115,22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890E9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1 829 853,00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5028C7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D31BC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1 829 853,00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DE6EC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40B4D52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5A93D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E77D6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C26C0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1 588 117,00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B7F8F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1 829 853,00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D768E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115,22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8DF8CA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1 829 853,00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24BC3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3563F8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1 829 853,00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CF45C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5ECA9E6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63498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07ED7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B2E0E8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886 150,00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0EF32A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1 020 852,00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376BE6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115,20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72724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1 020 852,00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A97860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FDB22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1 020 852,00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CA771E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10C01C5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2C120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BBDE3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480D9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330 474,00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43E232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389 434,00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ED6C1E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117,84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DA23C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389 434,00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E9C114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4F348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389 434,00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D9FA66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519BB8B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0BAAF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AAA78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E9280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358 493,00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7B078E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405 867,00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81B9F0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113,21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B05FE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405 867,00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75B052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9E11E1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405 867,00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C4BC39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1064920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0A598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18DB4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A1AAE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13 000,00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725636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13 700,00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062AB2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105,38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4CB70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13 700,00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E15984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7F996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13 700,00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32C2A6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7D430F19"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1546F0A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A73C4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BF3AF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415EB4E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8AEA2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455F1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050FE54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4FB65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1259E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310719B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DDAF5D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16CD7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D43DB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4FA0B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FD6730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4431C6C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71B92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D9C25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00AF0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346DD2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09F23E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44A3F3BF"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11.1.14: Centrum sociálnych služieb Rača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7"/>
        <w:gridCol w:w="1448"/>
        <w:gridCol w:w="649"/>
        <w:gridCol w:w="1448"/>
        <w:gridCol w:w="664"/>
      </w:tblGrid>
      <w:tr w:rsidR="008909ED" w:rsidRPr="006940B5" w14:paraId="5D6860CD"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CAC15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15C3FC8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85680C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996FFC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0DF329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A46E7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82DEFF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55BCDF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F8700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EEE1EA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1A8DF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36F6829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BC177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DE316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31AB07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4 275 449,00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1F0697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4 263 472,06</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0C03A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99,72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F5FC2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4 529 432,36</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D865F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106,24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CCE59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4 634 760,00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8F928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102,33</w:t>
            </w:r>
            <w:r w:rsidRPr="006940B5">
              <w:rPr>
                <w:rFonts w:ascii="Calibri" w:eastAsia="Times New Roman" w:hAnsi="Calibri" w:cs="Calibri"/>
                <w:sz w:val="24"/>
                <w:szCs w:val="24"/>
                <w:lang w:eastAsia="sk-SK"/>
              </w:rPr>
              <w:t xml:space="preserve"> </w:t>
            </w:r>
          </w:p>
        </w:tc>
      </w:tr>
      <w:tr w:rsidR="008909ED" w:rsidRPr="006940B5" w14:paraId="248884A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FBD00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67ED0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FD6C5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4 275 449,00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31A83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4 263 472,06</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0FD7D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99,72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0D84F5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4 529 432,36</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568763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106,24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8C5CB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4 634 760,00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CCF96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102,33</w:t>
            </w:r>
            <w:r w:rsidRPr="006940B5">
              <w:rPr>
                <w:rFonts w:ascii="Calibri" w:eastAsia="Times New Roman" w:hAnsi="Calibri" w:cs="Calibri"/>
                <w:sz w:val="24"/>
                <w:szCs w:val="24"/>
                <w:lang w:eastAsia="sk-SK"/>
              </w:rPr>
              <w:t xml:space="preserve"> </w:t>
            </w:r>
          </w:p>
        </w:tc>
      </w:tr>
      <w:tr w:rsidR="008909ED" w:rsidRPr="006940B5" w14:paraId="4C0FF54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4553F4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568528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326AB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2 144 750,00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F35DE4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2 152 464,00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09E23A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100,36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DCAF59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2 428 135,00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E3D857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112,81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936029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2 528 030,00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80F3FD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104,11</w:t>
            </w:r>
            <w:r w:rsidRPr="006940B5">
              <w:rPr>
                <w:rFonts w:ascii="Calibri" w:eastAsia="Times New Roman" w:hAnsi="Calibri" w:cs="Calibri"/>
                <w:sz w:val="24"/>
                <w:szCs w:val="24"/>
                <w:lang w:eastAsia="sk-SK"/>
              </w:rPr>
              <w:t xml:space="preserve"> </w:t>
            </w:r>
          </w:p>
        </w:tc>
      </w:tr>
      <w:tr w:rsidR="008909ED" w:rsidRPr="006940B5" w14:paraId="2AACDDE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B41F2D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0E35F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838207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792 234,00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C432F4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790 087,06</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878B44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99,73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A8850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764 679,36</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103F55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96,78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FE90E3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752 903,00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AD2F92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98,46</w:t>
            </w:r>
            <w:r w:rsidRPr="006940B5">
              <w:rPr>
                <w:rFonts w:ascii="Calibri" w:eastAsia="Times New Roman" w:hAnsi="Calibri" w:cs="Calibri"/>
                <w:sz w:val="24"/>
                <w:szCs w:val="24"/>
                <w:lang w:eastAsia="sk-SK"/>
              </w:rPr>
              <w:t xml:space="preserve"> </w:t>
            </w:r>
          </w:p>
        </w:tc>
      </w:tr>
      <w:tr w:rsidR="008909ED" w:rsidRPr="006940B5" w14:paraId="6A60694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4C8C79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9EF22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BCC8B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1 314 465,00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6DDD3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1 300 371,00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7CB752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98,93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5AE0D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1 315 518,00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070795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101,16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ECB5C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1 332 627,00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506A12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101,30</w:t>
            </w:r>
            <w:r w:rsidRPr="006940B5">
              <w:rPr>
                <w:rFonts w:ascii="Calibri" w:eastAsia="Times New Roman" w:hAnsi="Calibri" w:cs="Calibri"/>
                <w:sz w:val="24"/>
                <w:szCs w:val="24"/>
                <w:lang w:eastAsia="sk-SK"/>
              </w:rPr>
              <w:t xml:space="preserve"> </w:t>
            </w:r>
          </w:p>
        </w:tc>
      </w:tr>
      <w:tr w:rsidR="008909ED" w:rsidRPr="006940B5" w14:paraId="7610B19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FB366B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7759F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C3EF8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24 000,00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0C956A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20 550,00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70D1BA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85,63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E9D1B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21 100,00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11F5EB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102,68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80F79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21 200,00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DA6E0F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100,47</w:t>
            </w:r>
            <w:r w:rsidRPr="006940B5">
              <w:rPr>
                <w:rFonts w:ascii="Calibri" w:eastAsia="Times New Roman" w:hAnsi="Calibri" w:cs="Calibri"/>
                <w:sz w:val="24"/>
                <w:szCs w:val="24"/>
                <w:lang w:eastAsia="sk-SK"/>
              </w:rPr>
              <w:t xml:space="preserve"> </w:t>
            </w:r>
          </w:p>
        </w:tc>
      </w:tr>
    </w:tbl>
    <w:p w14:paraId="797A4D4A"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1E597F43"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3F402E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20048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6765D93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74023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8689E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73398CA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4AA23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3D06C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6835F11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D5E1C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54238A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831C9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ED45E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9FBD8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0EC2D4D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6F5A3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E5119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E1132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DA82FE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41C8D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6FCE6043" w14:textId="77777777" w:rsidR="005E300F" w:rsidRDefault="005E300F" w:rsidP="008909ED">
      <w:pPr>
        <w:spacing w:before="100" w:beforeAutospacing="1" w:after="100" w:afterAutospacing="1" w:line="240" w:lineRule="auto"/>
        <w:outlineLvl w:val="3"/>
        <w:rPr>
          <w:rFonts w:ascii="Calibri" w:eastAsia="Times New Roman" w:hAnsi="Calibri" w:cs="Calibri"/>
          <w:b/>
          <w:bCs/>
          <w:color w:val="0000FF"/>
          <w:sz w:val="24"/>
          <w:szCs w:val="24"/>
          <w:lang w:eastAsia="sk-SK"/>
        </w:rPr>
      </w:pPr>
    </w:p>
    <w:p w14:paraId="29A1CB31" w14:textId="77777777" w:rsidR="001B5DF0" w:rsidRDefault="001B5DF0" w:rsidP="008909ED">
      <w:pPr>
        <w:spacing w:before="100" w:beforeAutospacing="1" w:after="100" w:afterAutospacing="1" w:line="240" w:lineRule="auto"/>
        <w:outlineLvl w:val="3"/>
        <w:rPr>
          <w:rFonts w:ascii="Calibri" w:eastAsia="Times New Roman" w:hAnsi="Calibri" w:cs="Calibri"/>
          <w:b/>
          <w:bCs/>
          <w:color w:val="0000FF"/>
          <w:sz w:val="24"/>
          <w:szCs w:val="24"/>
          <w:lang w:eastAsia="sk-SK"/>
        </w:rPr>
      </w:pPr>
    </w:p>
    <w:p w14:paraId="636C3C4E" w14:textId="5DF3DF6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lastRenderedPageBreak/>
        <w:t>Prvok 11.1.15: DSS a zariadenie pre seniorov Kaštieľ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4"/>
        <w:gridCol w:w="2165"/>
        <w:gridCol w:w="1480"/>
        <w:gridCol w:w="1480"/>
        <w:gridCol w:w="649"/>
        <w:gridCol w:w="1481"/>
        <w:gridCol w:w="647"/>
        <w:gridCol w:w="1481"/>
        <w:gridCol w:w="563"/>
      </w:tblGrid>
      <w:tr w:rsidR="008909ED" w:rsidRPr="006940B5" w14:paraId="584739E6"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A52745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7D0954E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F85212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155543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18BCE2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701C1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6F340B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D060DC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C4AB98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9BD032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32FD4F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03AC033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0C027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C70DC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6986B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3 541 495,00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62872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3 745 820,00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1E8C1F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105,77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66A4F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3 739 341,50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D31EB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99,83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4D8EB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3 732 909,50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6A076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99,83</w:t>
            </w:r>
            <w:r w:rsidRPr="006940B5">
              <w:rPr>
                <w:rFonts w:ascii="Calibri" w:eastAsia="Times New Roman" w:hAnsi="Calibri" w:cs="Calibri"/>
                <w:sz w:val="24"/>
                <w:szCs w:val="24"/>
                <w:lang w:eastAsia="sk-SK"/>
              </w:rPr>
              <w:t xml:space="preserve"> </w:t>
            </w:r>
          </w:p>
        </w:tc>
      </w:tr>
      <w:tr w:rsidR="008909ED" w:rsidRPr="006940B5" w14:paraId="668CA9F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034EC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F242A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EF394A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3 541 495,00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19B776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3 745 820,00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4194F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105,77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FDD2E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3 739 341,50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90C0B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99,83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3DC2F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3 732 909,50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6D34B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99,83</w:t>
            </w:r>
            <w:r w:rsidRPr="006940B5">
              <w:rPr>
                <w:rFonts w:ascii="Calibri" w:eastAsia="Times New Roman" w:hAnsi="Calibri" w:cs="Calibri"/>
                <w:sz w:val="24"/>
                <w:szCs w:val="24"/>
                <w:lang w:eastAsia="sk-SK"/>
              </w:rPr>
              <w:t xml:space="preserve"> </w:t>
            </w:r>
          </w:p>
        </w:tc>
      </w:tr>
      <w:tr w:rsidR="008909ED" w:rsidRPr="006940B5" w14:paraId="32097D8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62811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6FF26F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585F8B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1 951 462,00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A3666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2 065 946,00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A9CB37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105,87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89ED19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2 072 678,50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FDBB8D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100,33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4EFD4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2 070 339,50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057594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99,89</w:t>
            </w:r>
            <w:r w:rsidRPr="006940B5">
              <w:rPr>
                <w:rFonts w:ascii="Calibri" w:eastAsia="Times New Roman" w:hAnsi="Calibri" w:cs="Calibri"/>
                <w:sz w:val="24"/>
                <w:szCs w:val="24"/>
                <w:lang w:eastAsia="sk-SK"/>
              </w:rPr>
              <w:t xml:space="preserve"> </w:t>
            </w:r>
          </w:p>
        </w:tc>
      </w:tr>
      <w:tr w:rsidR="008909ED" w:rsidRPr="006940B5" w14:paraId="2E91DD7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221B8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487171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D8C6E7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702 550,00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F75D6A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763 383,00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6B8398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108,66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482E13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766 519,00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C07665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100,41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2ED92D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765 525,00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F25F76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99,87</w:t>
            </w:r>
            <w:r w:rsidRPr="006940B5">
              <w:rPr>
                <w:rFonts w:ascii="Calibri" w:eastAsia="Times New Roman" w:hAnsi="Calibri" w:cs="Calibri"/>
                <w:sz w:val="24"/>
                <w:szCs w:val="24"/>
                <w:lang w:eastAsia="sk-SK"/>
              </w:rPr>
              <w:t xml:space="preserve"> </w:t>
            </w:r>
          </w:p>
        </w:tc>
      </w:tr>
      <w:tr w:rsidR="008909ED" w:rsidRPr="006940B5" w14:paraId="543C82B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EA52B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474BFB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EC1CB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864 543,00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616394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893 266,00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DA1080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103,32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5BDD23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874 930,00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E35F0D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97,95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64C9F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872 259,00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3A5A1C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99,69</w:t>
            </w:r>
            <w:r w:rsidRPr="006940B5">
              <w:rPr>
                <w:rFonts w:ascii="Calibri" w:eastAsia="Times New Roman" w:hAnsi="Calibri" w:cs="Calibri"/>
                <w:sz w:val="24"/>
                <w:szCs w:val="24"/>
                <w:lang w:eastAsia="sk-SK"/>
              </w:rPr>
              <w:t xml:space="preserve"> </w:t>
            </w:r>
          </w:p>
        </w:tc>
      </w:tr>
      <w:tr w:rsidR="008909ED" w:rsidRPr="006940B5" w14:paraId="6FB0F1D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070B45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C3A7C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094BC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22 940,00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6ACBEC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23 225,00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C1F959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101,24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2BA657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25 214,00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3D2AAF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108,56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3F5BCC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24 786,00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558834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98,30</w:t>
            </w:r>
            <w:r w:rsidRPr="006940B5">
              <w:rPr>
                <w:rFonts w:ascii="Calibri" w:eastAsia="Times New Roman" w:hAnsi="Calibri" w:cs="Calibri"/>
                <w:sz w:val="24"/>
                <w:szCs w:val="24"/>
                <w:lang w:eastAsia="sk-SK"/>
              </w:rPr>
              <w:t xml:space="preserve"> </w:t>
            </w:r>
          </w:p>
        </w:tc>
      </w:tr>
    </w:tbl>
    <w:p w14:paraId="723B9887"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2"/>
        <w:gridCol w:w="1836"/>
        <w:gridCol w:w="1832"/>
        <w:gridCol w:w="1847"/>
      </w:tblGrid>
      <w:tr w:rsidR="008909ED" w:rsidRPr="006940B5" w14:paraId="7D7CAD7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576CF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BFB947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686E678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17ACA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E46AD2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09DE876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8640C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F707FA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1E8E0FF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FC804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D2478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0E420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507234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DE0A7B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4FA368A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062D7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0B592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67A04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77CBAB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136F5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100,00</w:t>
            </w:r>
          </w:p>
        </w:tc>
      </w:tr>
    </w:tbl>
    <w:p w14:paraId="4AF26E70"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11.1.16: Centrum sociálnych služieb Pod Karpatmi - rozpočtová organizácia</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7"/>
        <w:gridCol w:w="2213"/>
        <w:gridCol w:w="1447"/>
        <w:gridCol w:w="1447"/>
        <w:gridCol w:w="649"/>
        <w:gridCol w:w="1448"/>
        <w:gridCol w:w="649"/>
        <w:gridCol w:w="1448"/>
        <w:gridCol w:w="662"/>
      </w:tblGrid>
      <w:tr w:rsidR="008909ED" w:rsidRPr="006940B5" w14:paraId="409643AE"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183992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1113FE6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FAF48F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2902FD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088E0D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E27653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8639EA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CAC0D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D55C7B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DB5A6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27C74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2EC902A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7137D9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C5558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6F52B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2 528 998,48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C5308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2 588 155,92</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6E3F3D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102,34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0EC43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2 588 155,92</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B8B546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31605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2 587 705,92</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48AAB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99,98</w:t>
            </w:r>
            <w:r w:rsidRPr="006940B5">
              <w:rPr>
                <w:rFonts w:ascii="Calibri" w:eastAsia="Times New Roman" w:hAnsi="Calibri" w:cs="Calibri"/>
                <w:sz w:val="24"/>
                <w:szCs w:val="24"/>
                <w:lang w:eastAsia="sk-SK"/>
              </w:rPr>
              <w:t xml:space="preserve"> </w:t>
            </w:r>
          </w:p>
        </w:tc>
      </w:tr>
      <w:tr w:rsidR="008909ED" w:rsidRPr="006940B5" w14:paraId="51F0E11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78472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4E14E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85DB2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2 528 998,48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936630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2 588 155,92</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682E6C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102,34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DC403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2 588 155,92</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97D18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D4ECCC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2 587 705,92</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132EA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99,98</w:t>
            </w:r>
            <w:r w:rsidRPr="006940B5">
              <w:rPr>
                <w:rFonts w:ascii="Calibri" w:eastAsia="Times New Roman" w:hAnsi="Calibri" w:cs="Calibri"/>
                <w:sz w:val="24"/>
                <w:szCs w:val="24"/>
                <w:lang w:eastAsia="sk-SK"/>
              </w:rPr>
              <w:t xml:space="preserve"> </w:t>
            </w:r>
          </w:p>
        </w:tc>
      </w:tr>
      <w:tr w:rsidR="008909ED" w:rsidRPr="006940B5" w14:paraId="5843709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0F8A40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B849A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Mzdy, platy, ...</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1EE413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1 256 212,28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C49BC9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1 366 816,24</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3D3E6B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108,80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3478EE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1 366 816,24</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B419D7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41BF0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1 366 816,24</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8498A1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2400138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E4341B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620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3C38A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Poistné do poisťovní</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255791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455 559,51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4124F5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512 187,14</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D7A0E4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112,43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E83701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512 187,14</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36F430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E6BFB6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512 187,14</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F98624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6063293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FA80B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229597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75A8B7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807 130,26</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7A52EA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703 567,11</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6FC392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87,17</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2A522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703 567,11</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39DB39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FEE45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703 117,11</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48AEAE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99,94</w:t>
            </w:r>
            <w:r w:rsidRPr="006940B5">
              <w:rPr>
                <w:rFonts w:ascii="Calibri" w:eastAsia="Times New Roman" w:hAnsi="Calibri" w:cs="Calibri"/>
                <w:sz w:val="24"/>
                <w:szCs w:val="24"/>
                <w:lang w:eastAsia="sk-SK"/>
              </w:rPr>
              <w:t xml:space="preserve"> </w:t>
            </w:r>
          </w:p>
        </w:tc>
      </w:tr>
      <w:tr w:rsidR="008909ED" w:rsidRPr="006940B5" w14:paraId="5417799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31EA4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F51C2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644E74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10 096,43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690E4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5 585,43</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5553C7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55,32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1FE75E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5 585,43</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9FF023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05521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5 585,43</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22B598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239FBFD8"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03"/>
        <w:gridCol w:w="1833"/>
        <w:gridCol w:w="1833"/>
        <w:gridCol w:w="1833"/>
        <w:gridCol w:w="1848"/>
      </w:tblGrid>
      <w:tr w:rsidR="008909ED" w:rsidRPr="006940B5" w14:paraId="49162A9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8F77D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F6548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Riaditeľ zariadenia</w:t>
            </w:r>
          </w:p>
        </w:tc>
      </w:tr>
      <w:tr w:rsidR="008909ED" w:rsidRPr="006940B5" w14:paraId="4C1D228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6DCC3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940F5A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poskytovanie kvalitných sociálnych služieb</w:t>
            </w:r>
          </w:p>
        </w:tc>
      </w:tr>
      <w:tr w:rsidR="008909ED" w:rsidRPr="006940B5" w14:paraId="76178D0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C319B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BE7EE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využiteľnosti zariadenia za rok</w:t>
            </w:r>
          </w:p>
        </w:tc>
      </w:tr>
      <w:tr w:rsidR="008909ED" w:rsidRPr="006940B5" w14:paraId="57ECDC9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8A445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6BE48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2A76E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20E7F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6EE8F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7A8F76B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4D887C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DD596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3BB66C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63FB6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B1517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100</w:t>
            </w:r>
          </w:p>
        </w:tc>
      </w:tr>
    </w:tbl>
    <w:p w14:paraId="6CCAD3B9" w14:textId="77777777" w:rsidR="008909ED" w:rsidRPr="006940B5" w:rsidRDefault="008909ED" w:rsidP="008909ED">
      <w:pPr>
        <w:spacing w:before="100" w:beforeAutospacing="1" w:after="100" w:afterAutospacing="1" w:line="240" w:lineRule="auto"/>
        <w:outlineLvl w:val="2"/>
        <w:rPr>
          <w:rFonts w:ascii="Calibri" w:eastAsia="Times New Roman" w:hAnsi="Calibri" w:cs="Calibri"/>
          <w:b/>
          <w:bCs/>
          <w:sz w:val="27"/>
          <w:szCs w:val="27"/>
          <w:lang w:eastAsia="sk-SK"/>
        </w:rPr>
      </w:pPr>
      <w:r w:rsidRPr="006940B5">
        <w:rPr>
          <w:rFonts w:ascii="Calibri" w:eastAsia="Times New Roman" w:hAnsi="Calibri" w:cs="Calibri"/>
          <w:b/>
          <w:bCs/>
          <w:color w:val="0000FF"/>
          <w:sz w:val="27"/>
          <w:szCs w:val="27"/>
          <w:lang w:eastAsia="sk-SK"/>
        </w:rPr>
        <w:t>Podprogram 11.3: Poradenstvo a manažment sociálnej infraštruktúry</w:t>
      </w:r>
      <w:r w:rsidRPr="006940B5">
        <w:rPr>
          <w:rFonts w:ascii="Calibri" w:eastAsia="Times New Roman" w:hAnsi="Calibri" w:cs="Calibri"/>
          <w:b/>
          <w:bCs/>
          <w:sz w:val="27"/>
          <w:szCs w:val="27"/>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6"/>
        <w:gridCol w:w="2140"/>
        <w:gridCol w:w="1461"/>
        <w:gridCol w:w="1461"/>
        <w:gridCol w:w="649"/>
        <w:gridCol w:w="1461"/>
        <w:gridCol w:w="647"/>
        <w:gridCol w:w="1461"/>
        <w:gridCol w:w="664"/>
      </w:tblGrid>
      <w:tr w:rsidR="008909ED" w:rsidRPr="006940B5" w14:paraId="1A6FED60"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C2960B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27429BC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2F24BB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44"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50D05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55F11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0F353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179060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E8F0D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95"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56D429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9FD7A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E20B16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68E79C9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5FEA1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A3DC9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52E9E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1 934 900,00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BE3C9E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3 458 262,92</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C4DF2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178,73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7B2E01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3 317 762,92</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4CDB3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95,94</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8240D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4 117 762,92</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6FE67F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124,11</w:t>
            </w:r>
            <w:r w:rsidRPr="006940B5">
              <w:rPr>
                <w:rFonts w:ascii="Calibri" w:eastAsia="Times New Roman" w:hAnsi="Calibri" w:cs="Calibri"/>
                <w:sz w:val="24"/>
                <w:szCs w:val="24"/>
                <w:lang w:eastAsia="sk-SK"/>
              </w:rPr>
              <w:t xml:space="preserve"> </w:t>
            </w:r>
          </w:p>
        </w:tc>
      </w:tr>
      <w:tr w:rsidR="008909ED" w:rsidRPr="006940B5" w14:paraId="09EB649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6E29B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4400F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E4E9C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1 822 400,00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4E8608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3 317 102,92</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1CC564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182,02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7172BA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3 287 762,92</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F2662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99,12</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46DB9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4 087 762,92</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63D4E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124,33</w:t>
            </w:r>
            <w:r w:rsidRPr="006940B5">
              <w:rPr>
                <w:rFonts w:ascii="Calibri" w:eastAsia="Times New Roman" w:hAnsi="Calibri" w:cs="Calibri"/>
                <w:sz w:val="24"/>
                <w:szCs w:val="24"/>
                <w:lang w:eastAsia="sk-SK"/>
              </w:rPr>
              <w:t xml:space="preserve"> </w:t>
            </w:r>
          </w:p>
        </w:tc>
      </w:tr>
      <w:tr w:rsidR="008909ED" w:rsidRPr="006940B5" w14:paraId="4731141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7F5B1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630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ED721F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Tovary a služby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3F67B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360 900,00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17B712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287 753,92</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7B01D6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79,73</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A64385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258 413,92</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31D2D4E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89,80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3E4D3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258 413,92</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125837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41E0DF3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DCB6D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E5FDD1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B21DB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1 461 500,00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22AC54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3 029 349,00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DDF1FD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207,28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3D650C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3 029 349,00</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7FE5C6E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D0D237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3 829 349,00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C16CDC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126,41</w:t>
            </w:r>
            <w:r w:rsidRPr="006940B5">
              <w:rPr>
                <w:rFonts w:ascii="Calibri" w:eastAsia="Times New Roman" w:hAnsi="Calibri" w:cs="Calibri"/>
                <w:sz w:val="24"/>
                <w:szCs w:val="24"/>
                <w:lang w:eastAsia="sk-SK"/>
              </w:rPr>
              <w:t xml:space="preserve"> </w:t>
            </w:r>
          </w:p>
        </w:tc>
      </w:tr>
      <w:tr w:rsidR="008909ED" w:rsidRPr="006940B5" w14:paraId="6064C5B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AE073D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700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C8A25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Kapitálové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080C0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112 500,00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2C1C25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141 160,00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E48F84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125,48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6A1EA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30 000,00</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27ACF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21,25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7242D2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30 000,00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1E59A8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41CF197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502C81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710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C20DF1" w14:textId="77777777" w:rsidR="008909ED" w:rsidRPr="006940B5" w:rsidRDefault="008909ED" w:rsidP="007468A0">
            <w:pPr>
              <w:spacing w:after="0" w:line="240" w:lineRule="auto"/>
              <w:rPr>
                <w:rFonts w:ascii="Calibri" w:eastAsia="Times New Roman" w:hAnsi="Calibri" w:cs="Calibri"/>
                <w:sz w:val="24"/>
                <w:szCs w:val="24"/>
                <w:lang w:eastAsia="sk-SK"/>
              </w:rPr>
            </w:pPr>
            <w:proofErr w:type="spellStart"/>
            <w:r w:rsidRPr="006940B5">
              <w:rPr>
                <w:rFonts w:ascii="Calibri" w:eastAsia="Times New Roman" w:hAnsi="Calibri" w:cs="Calibri"/>
                <w:sz w:val="20"/>
                <w:szCs w:val="20"/>
                <w:lang w:eastAsia="sk-SK"/>
              </w:rPr>
              <w:t>Obst</w:t>
            </w:r>
            <w:proofErr w:type="spellEnd"/>
            <w:r w:rsidRPr="006940B5">
              <w:rPr>
                <w:rFonts w:ascii="Calibri" w:eastAsia="Times New Roman" w:hAnsi="Calibri" w:cs="Calibri"/>
                <w:sz w:val="20"/>
                <w:szCs w:val="20"/>
                <w:lang w:eastAsia="sk-SK"/>
              </w:rPr>
              <w:t xml:space="preserve">. </w:t>
            </w:r>
            <w:proofErr w:type="spellStart"/>
            <w:r w:rsidRPr="006940B5">
              <w:rPr>
                <w:rFonts w:ascii="Calibri" w:eastAsia="Times New Roman" w:hAnsi="Calibri" w:cs="Calibri"/>
                <w:sz w:val="20"/>
                <w:szCs w:val="20"/>
                <w:lang w:eastAsia="sk-SK"/>
              </w:rPr>
              <w:t>kapit</w:t>
            </w:r>
            <w:proofErr w:type="spellEnd"/>
            <w:r w:rsidRPr="006940B5">
              <w:rPr>
                <w:rFonts w:ascii="Calibri" w:eastAsia="Times New Roman" w:hAnsi="Calibri" w:cs="Calibri"/>
                <w:sz w:val="20"/>
                <w:szCs w:val="20"/>
                <w:lang w:eastAsia="sk-SK"/>
              </w:rPr>
              <w:t>. aktív</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9DA14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112 500,00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40182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141 160,00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CEA517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125,48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444849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30 000,00</w:t>
            </w:r>
            <w:r w:rsidRPr="006940B5">
              <w:rPr>
                <w:rFonts w:ascii="Calibri" w:eastAsia="Times New Roman" w:hAnsi="Calibri" w:cs="Calibri"/>
                <w:sz w:val="24"/>
                <w:szCs w:val="24"/>
                <w:lang w:eastAsia="sk-SK"/>
              </w:rPr>
              <w:t xml:space="preserve"> </w:t>
            </w:r>
          </w:p>
        </w:tc>
        <w:tc>
          <w:tcPr>
            <w:tcW w:w="295" w:type="pct"/>
            <w:tcBorders>
              <w:top w:val="outset" w:sz="6" w:space="0" w:color="000000"/>
              <w:left w:val="outset" w:sz="6" w:space="0" w:color="000000"/>
              <w:bottom w:val="outset" w:sz="6" w:space="0" w:color="000000"/>
              <w:right w:val="outset" w:sz="6" w:space="0" w:color="000000"/>
            </w:tcBorders>
            <w:noWrap/>
            <w:vAlign w:val="center"/>
            <w:hideMark/>
          </w:tcPr>
          <w:p w14:paraId="039F9BF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21,25</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D2EA64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30 000,00</w:t>
            </w:r>
            <w:r w:rsidRPr="006940B5">
              <w:rPr>
                <w:rFonts w:ascii="Calibri" w:eastAsia="Times New Roman" w:hAnsi="Calibri" w:cs="Calibri"/>
                <w:sz w:val="24"/>
                <w:szCs w:val="24"/>
                <w:lang w:eastAsia="sk-SK"/>
              </w:rPr>
              <w:t xml:space="preserve"> </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21AE967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410FBF18"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119"/>
        <w:gridCol w:w="1829"/>
        <w:gridCol w:w="1829"/>
        <w:gridCol w:w="1829"/>
        <w:gridCol w:w="1844"/>
      </w:tblGrid>
      <w:tr w:rsidR="008909ED" w:rsidRPr="006940B5" w14:paraId="483DEDB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422DAA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lastRenderedPageBreak/>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2B17D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oddelenie sociálnej pomoci</w:t>
            </w:r>
            <w:r w:rsidRPr="006940B5">
              <w:rPr>
                <w:rFonts w:ascii="Calibri" w:eastAsia="Times New Roman" w:hAnsi="Calibri" w:cs="Calibri"/>
                <w:sz w:val="24"/>
                <w:szCs w:val="24"/>
                <w:lang w:eastAsia="sk-SK"/>
              </w:rPr>
              <w:br/>
            </w:r>
          </w:p>
        </w:tc>
      </w:tr>
      <w:tr w:rsidR="008909ED" w:rsidRPr="006940B5" w14:paraId="47CC740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D56D2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CA668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informovanosť občanov v sociálnej oblasti</w:t>
            </w:r>
          </w:p>
        </w:tc>
      </w:tr>
      <w:tr w:rsidR="008909ED" w:rsidRPr="006940B5" w14:paraId="0487C59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8C1DB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F5CC1E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Počet odborných seminárov a konferencií</w:t>
            </w:r>
          </w:p>
        </w:tc>
      </w:tr>
      <w:tr w:rsidR="008909ED" w:rsidRPr="006940B5" w14:paraId="1F9473C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B4D3D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2F43E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4CF79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C353A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6D8BA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4B7CDF5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2A131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2A96D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E8C4B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D0676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1B544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10</w:t>
            </w:r>
          </w:p>
        </w:tc>
      </w:tr>
    </w:tbl>
    <w:p w14:paraId="108FF0D5" w14:textId="77777777" w:rsidR="008909ED" w:rsidRPr="006940B5" w:rsidRDefault="008909ED" w:rsidP="008909ED">
      <w:pPr>
        <w:spacing w:before="100" w:beforeAutospacing="1" w:after="100" w:afterAutospacing="1"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xml:space="preserve">Komentár: </w:t>
      </w:r>
      <w:r w:rsidRPr="006940B5">
        <w:rPr>
          <w:rFonts w:ascii="Calibri" w:eastAsia="Times New Roman" w:hAnsi="Calibri" w:cs="Calibri"/>
          <w:sz w:val="24"/>
          <w:szCs w:val="24"/>
          <w:lang w:eastAsia="sk-SK"/>
        </w:rPr>
        <w:t>Výdavky podprogramu zahŕňajú:</w:t>
      </w:r>
      <w:r w:rsidRPr="006940B5">
        <w:rPr>
          <w:rFonts w:ascii="Calibri" w:eastAsia="Times New Roman" w:hAnsi="Calibri" w:cs="Calibri"/>
          <w:sz w:val="24"/>
          <w:szCs w:val="24"/>
          <w:lang w:eastAsia="sk-SK"/>
        </w:rPr>
        <w:br/>
        <w:t>• prenájom priestorov na akcie pre zariadenia sociálnych služieb (ZSS) v zriaďovateľskej pôsobnosti BSK,</w:t>
      </w:r>
      <w:r w:rsidRPr="006940B5">
        <w:rPr>
          <w:rFonts w:ascii="Calibri" w:eastAsia="Times New Roman" w:hAnsi="Calibri" w:cs="Calibri"/>
          <w:sz w:val="24"/>
          <w:szCs w:val="24"/>
          <w:lang w:eastAsia="sk-SK"/>
        </w:rPr>
        <w:br/>
        <w:t xml:space="preserve">• úhradu zdravotných výkonov v rámci posudkovej činnosti, </w:t>
      </w:r>
      <w:r w:rsidRPr="006940B5">
        <w:rPr>
          <w:rFonts w:ascii="Calibri" w:eastAsia="Times New Roman" w:hAnsi="Calibri" w:cs="Calibri"/>
          <w:sz w:val="24"/>
          <w:szCs w:val="24"/>
          <w:lang w:eastAsia="sk-SK"/>
        </w:rPr>
        <w:br/>
        <w:t>• rezervu na transfery pre ZSS v zriaďovateľskej pôsobnosti BSK,</w:t>
      </w:r>
      <w:r w:rsidRPr="006940B5">
        <w:rPr>
          <w:rFonts w:ascii="Calibri" w:eastAsia="Times New Roman" w:hAnsi="Calibri" w:cs="Calibri"/>
          <w:sz w:val="24"/>
          <w:szCs w:val="24"/>
          <w:lang w:eastAsia="sk-SK"/>
        </w:rPr>
        <w:br/>
        <w:t>• štúdie, expertízy, posudky,</w:t>
      </w:r>
      <w:r w:rsidRPr="006940B5">
        <w:rPr>
          <w:rFonts w:ascii="Calibri" w:eastAsia="Times New Roman" w:hAnsi="Calibri" w:cs="Calibri"/>
          <w:sz w:val="24"/>
          <w:szCs w:val="24"/>
          <w:lang w:eastAsia="sk-SK"/>
        </w:rPr>
        <w:br/>
        <w:t>• organizáciu porád, prednášok, seminárov, workshopov, konferencií,</w:t>
      </w:r>
      <w:r w:rsidRPr="006940B5">
        <w:rPr>
          <w:rFonts w:ascii="Calibri" w:eastAsia="Times New Roman" w:hAnsi="Calibri" w:cs="Calibri"/>
          <w:sz w:val="24"/>
          <w:szCs w:val="24"/>
          <w:lang w:eastAsia="sk-SK"/>
        </w:rPr>
        <w:br/>
        <w:t>• organizáciu aktivít pre prijímateľov sociálnych služieb a pre seniorov,</w:t>
      </w:r>
      <w:r w:rsidRPr="006940B5">
        <w:rPr>
          <w:rFonts w:ascii="Calibri" w:eastAsia="Times New Roman" w:hAnsi="Calibri" w:cs="Calibri"/>
          <w:sz w:val="24"/>
          <w:szCs w:val="24"/>
          <w:lang w:eastAsia="sk-SK"/>
        </w:rPr>
        <w:br/>
        <w:t>• spolufinancovanie dotácií z MPSVaR SR pre ZSS v zriaďovateľskej pôsobnosti BSK,</w:t>
      </w:r>
      <w:r w:rsidRPr="006940B5">
        <w:rPr>
          <w:rFonts w:ascii="Calibri" w:eastAsia="Times New Roman" w:hAnsi="Calibri" w:cs="Calibri"/>
          <w:sz w:val="24"/>
          <w:szCs w:val="24"/>
          <w:lang w:eastAsia="sk-SK"/>
        </w:rPr>
        <w:br/>
        <w:t xml:space="preserve">• cestovné náhrady na tuzemské pracovné a zahraničné pracovné cesty, </w:t>
      </w:r>
      <w:r w:rsidRPr="006940B5">
        <w:rPr>
          <w:rFonts w:ascii="Calibri" w:eastAsia="Times New Roman" w:hAnsi="Calibri" w:cs="Calibri"/>
          <w:sz w:val="24"/>
          <w:szCs w:val="24"/>
          <w:lang w:eastAsia="sk-SK"/>
        </w:rPr>
        <w:br/>
        <w:t xml:space="preserve">• metodický a informačný materiál, </w:t>
      </w:r>
      <w:r w:rsidRPr="006940B5">
        <w:rPr>
          <w:rFonts w:ascii="Calibri" w:eastAsia="Times New Roman" w:hAnsi="Calibri" w:cs="Calibri"/>
          <w:sz w:val="24"/>
          <w:szCs w:val="24"/>
          <w:lang w:eastAsia="sk-SK"/>
        </w:rPr>
        <w:br/>
        <w:t xml:space="preserve">• výrobu </w:t>
      </w:r>
      <w:proofErr w:type="spellStart"/>
      <w:r w:rsidRPr="006940B5">
        <w:rPr>
          <w:rFonts w:ascii="Calibri" w:eastAsia="Times New Roman" w:hAnsi="Calibri" w:cs="Calibri"/>
          <w:sz w:val="24"/>
          <w:szCs w:val="24"/>
          <w:lang w:eastAsia="sk-SK"/>
        </w:rPr>
        <w:t>info</w:t>
      </w:r>
      <w:proofErr w:type="spellEnd"/>
      <w:r w:rsidRPr="006940B5">
        <w:rPr>
          <w:rFonts w:ascii="Calibri" w:eastAsia="Times New Roman" w:hAnsi="Calibri" w:cs="Calibri"/>
          <w:sz w:val="24"/>
          <w:szCs w:val="24"/>
          <w:lang w:eastAsia="sk-SK"/>
        </w:rPr>
        <w:t xml:space="preserve"> materiálov o sociálnych službách v BSK,</w:t>
      </w:r>
      <w:r w:rsidRPr="006940B5">
        <w:rPr>
          <w:rFonts w:ascii="Calibri" w:eastAsia="Times New Roman" w:hAnsi="Calibri" w:cs="Calibri"/>
          <w:sz w:val="24"/>
          <w:szCs w:val="24"/>
          <w:lang w:eastAsia="sk-SK"/>
        </w:rPr>
        <w:br/>
        <w:t xml:space="preserve">• reprezentačné účely. </w:t>
      </w:r>
    </w:p>
    <w:p w14:paraId="7D16DD03" w14:textId="77777777" w:rsidR="008909ED" w:rsidRPr="006940B5" w:rsidRDefault="008909ED" w:rsidP="008909ED">
      <w:pPr>
        <w:spacing w:before="100" w:beforeAutospacing="1" w:after="100" w:afterAutospacing="1" w:line="240" w:lineRule="auto"/>
        <w:outlineLvl w:val="2"/>
        <w:rPr>
          <w:rFonts w:ascii="Calibri" w:eastAsia="Times New Roman" w:hAnsi="Calibri" w:cs="Calibri"/>
          <w:b/>
          <w:bCs/>
          <w:sz w:val="27"/>
          <w:szCs w:val="27"/>
          <w:lang w:eastAsia="sk-SK"/>
        </w:rPr>
      </w:pPr>
      <w:r w:rsidRPr="006940B5">
        <w:rPr>
          <w:rFonts w:ascii="Calibri" w:eastAsia="Times New Roman" w:hAnsi="Calibri" w:cs="Calibri"/>
          <w:b/>
          <w:bCs/>
          <w:color w:val="0000FF"/>
          <w:sz w:val="27"/>
          <w:szCs w:val="27"/>
          <w:lang w:eastAsia="sk-SK"/>
        </w:rPr>
        <w:t xml:space="preserve">Podprogram 11.4: Príspevky neštátnym subjektom </w:t>
      </w:r>
    </w:p>
    <w:p w14:paraId="7129C0C9" w14:textId="77777777" w:rsidR="008909ED" w:rsidRPr="006940B5" w:rsidRDefault="008909ED" w:rsidP="008909ED">
      <w:pPr>
        <w:spacing w:before="100" w:beforeAutospacing="1" w:after="100" w:afterAutospacing="1"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xml:space="preserve">Zámer: </w:t>
      </w:r>
      <w:r w:rsidRPr="006940B5">
        <w:rPr>
          <w:rFonts w:ascii="Calibri" w:eastAsia="Times New Roman" w:hAnsi="Calibri" w:cs="Calibri"/>
          <w:sz w:val="24"/>
          <w:szCs w:val="24"/>
          <w:lang w:eastAsia="sk-SK"/>
        </w:rPr>
        <w:t>Poskytovanie finančných príspevkov neštátnym subjektom v zmysle zákona o sociálnych službách a akreditovaným a neakreditovaným subjektom v zmysle zákona o sociálnoprávnej ochrane detí a o sociálnej kuratele.</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50"/>
        <w:gridCol w:w="2214"/>
        <w:gridCol w:w="1456"/>
        <w:gridCol w:w="1456"/>
        <w:gridCol w:w="649"/>
        <w:gridCol w:w="1456"/>
        <w:gridCol w:w="649"/>
        <w:gridCol w:w="1456"/>
        <w:gridCol w:w="664"/>
      </w:tblGrid>
      <w:tr w:rsidR="008909ED" w:rsidRPr="006940B5" w14:paraId="4B157425"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9D5D33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555C47D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11596F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44E692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25306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BE7F1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71F4F0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726C08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4B54C8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46453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DB1FB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075573F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03C917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EA663D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05028F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10 710 000,00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E41202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12 660 000,00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37AE1B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118,21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310A4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12 660 000,00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63605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73C5B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12 660 000,00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73FA4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506F8BA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4EECC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DF4A0B"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284C4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10 710 000,00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40245A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12 660 000,00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6373B6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118,21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EE1A7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12 660 000,00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79DE0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A46D4F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12 660 000,00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6499D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585698D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24C58E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FAB53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E05B92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10 710 000,00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C9D927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12 660 000,00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407E18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118,21</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62CD4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12 660 000,00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26A1E9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C23919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12 660 000,00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B9543C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0D323EB5"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11.4.1: Sociálne služby</w:t>
      </w:r>
      <w:r w:rsidRPr="006940B5">
        <w:rPr>
          <w:rFonts w:ascii="Calibri" w:eastAsia="Times New Roman" w:hAnsi="Calibri" w:cs="Calibri"/>
          <w:b/>
          <w:bCs/>
          <w:sz w:val="24"/>
          <w:szCs w:val="24"/>
          <w:lang w:eastAsia="sk-SK"/>
        </w:rPr>
        <w:t xml:space="preserve"> </w:t>
      </w:r>
    </w:p>
    <w:p w14:paraId="5B9C6DFC" w14:textId="77777777" w:rsidR="008909ED" w:rsidRPr="006940B5" w:rsidRDefault="008909ED" w:rsidP="008909ED">
      <w:pPr>
        <w:spacing w:before="100" w:beforeAutospacing="1" w:after="100" w:afterAutospacing="1"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xml:space="preserve">Zámer: </w:t>
      </w:r>
      <w:r w:rsidRPr="006940B5">
        <w:rPr>
          <w:rFonts w:ascii="Calibri" w:eastAsia="Times New Roman" w:hAnsi="Calibri" w:cs="Calibri"/>
          <w:sz w:val="24"/>
          <w:szCs w:val="24"/>
          <w:lang w:eastAsia="sk-SK"/>
        </w:rPr>
        <w:t>Uspokojovanie základných životných potrieb občanov regiónu odkázaných na pomoc iných formou poskytnutia finančného príspevku na prevádzku a finančného príspevku na poskytovanie sociálnej služby v zariadeniach podmienených odkázanosťou.</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58"/>
        <w:gridCol w:w="2214"/>
        <w:gridCol w:w="1361"/>
        <w:gridCol w:w="1485"/>
        <w:gridCol w:w="649"/>
        <w:gridCol w:w="1485"/>
        <w:gridCol w:w="649"/>
        <w:gridCol w:w="1485"/>
        <w:gridCol w:w="664"/>
      </w:tblGrid>
      <w:tr w:rsidR="008909ED" w:rsidRPr="006940B5" w14:paraId="3DACBEEA"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343A4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29944CD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724D9E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C8EE1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66249B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B299C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5C2D018"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B6104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C9B01F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1A6D43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828355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4BBFDA3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557B7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F6EABD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C363F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9 200 000,00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9DF0D8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10 800 000,00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16547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117,39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CB47A4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10 800 000,00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C3F69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2D8084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10 800 000,00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4C2443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433E488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A22F02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6309C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7A6DA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9 200 000,00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ECCB9FE"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10 800 000,00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F080C8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117,39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D58D4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10 800 000,00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99CEE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8A38CB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10 800 000,00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559708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4CCBBB8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7703A7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77F59D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BA5936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9 200 000,00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A1570A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10 800 000,00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390598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117,39</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C7E1E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10 800 000,00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632C5A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4D60E0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10 800 000,00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22E52BB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3EE67AB8"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31"/>
        <w:gridCol w:w="2031"/>
        <w:gridCol w:w="2031"/>
        <w:gridCol w:w="2046"/>
      </w:tblGrid>
      <w:tr w:rsidR="008909ED" w:rsidRPr="006940B5" w14:paraId="7DC2C09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AFEB9A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2579E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Oddelenie sociálnej pomoci</w:t>
            </w:r>
          </w:p>
        </w:tc>
      </w:tr>
      <w:tr w:rsidR="008909ED" w:rsidRPr="006940B5" w14:paraId="566C5E2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63AF6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24E06E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xml:space="preserve">Zabezpečiť adresnú finančnú podporu pre neverejných poskytovateľov sociálnych služieb, ktorých BSK požiada o zabezpečenie poskytovania sociálnych služieb. </w:t>
            </w:r>
          </w:p>
        </w:tc>
      </w:tr>
      <w:tr w:rsidR="008909ED" w:rsidRPr="006940B5" w14:paraId="0B4C0B6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664F6E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lastRenderedPageBreak/>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5FE11E"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xml:space="preserve">Počet </w:t>
            </w:r>
            <w:proofErr w:type="spellStart"/>
            <w:r w:rsidRPr="006940B5">
              <w:rPr>
                <w:rFonts w:ascii="Calibri" w:eastAsia="Times New Roman" w:hAnsi="Calibri" w:cs="Calibri"/>
                <w:sz w:val="24"/>
                <w:szCs w:val="24"/>
                <w:lang w:eastAsia="sk-SK"/>
              </w:rPr>
              <w:t>zazmluvnených</w:t>
            </w:r>
            <w:proofErr w:type="spellEnd"/>
            <w:r w:rsidRPr="006940B5">
              <w:rPr>
                <w:rFonts w:ascii="Calibri" w:eastAsia="Times New Roman" w:hAnsi="Calibri" w:cs="Calibri"/>
                <w:sz w:val="24"/>
                <w:szCs w:val="24"/>
                <w:lang w:eastAsia="sk-SK"/>
              </w:rPr>
              <w:t xml:space="preserve"> miest pre prijímateľov sociálnych služieb, na ktorých Bratislavský samosprávny kraj poskytol finančný príspevok</w:t>
            </w:r>
          </w:p>
        </w:tc>
      </w:tr>
      <w:tr w:rsidR="008909ED" w:rsidRPr="006940B5" w14:paraId="293E3255"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5E172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7AC125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F49146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19FDFF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5F39E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2BEC627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1DBCA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9DBEB7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1 550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E65F3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1 700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4E0D43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1 700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3B3EF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1 700</w:t>
            </w:r>
          </w:p>
        </w:tc>
      </w:tr>
    </w:tbl>
    <w:p w14:paraId="268AB1D2" w14:textId="77777777" w:rsidR="008909ED" w:rsidRDefault="008909ED" w:rsidP="008909ED">
      <w:pPr>
        <w:spacing w:before="100" w:beforeAutospacing="1" w:after="0" w:line="240" w:lineRule="auto"/>
        <w:jc w:val="both"/>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xml:space="preserve">Komentár: </w:t>
      </w:r>
      <w:r w:rsidRPr="006940B5">
        <w:rPr>
          <w:rFonts w:ascii="Calibri" w:eastAsia="Times New Roman" w:hAnsi="Calibri" w:cs="Calibri"/>
          <w:sz w:val="24"/>
          <w:szCs w:val="24"/>
          <w:lang w:eastAsia="sk-SK"/>
        </w:rPr>
        <w:t xml:space="preserve">V zmysle zákona o sociálnych službách BSK poskytne neverejnému poskytovateľovi sociálnych služieb, ktorý neposkytuje sociálnu službu s cieľom dosiahnuť zisk a ak o poskytovanie sociálnej služby BSK neverejného poskytovateľa sociálnej služby požiadal: </w:t>
      </w:r>
    </w:p>
    <w:p w14:paraId="31D4946A" w14:textId="77777777" w:rsidR="008909ED" w:rsidRPr="006940B5" w:rsidRDefault="008909ED" w:rsidP="008909ED">
      <w:pPr>
        <w:spacing w:after="100" w:afterAutospacing="1"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finančný príspevok na prevádzku,</w:t>
      </w:r>
      <w:r w:rsidRPr="006940B5">
        <w:rPr>
          <w:rFonts w:ascii="Calibri" w:eastAsia="Times New Roman" w:hAnsi="Calibri" w:cs="Calibri"/>
          <w:sz w:val="24"/>
          <w:szCs w:val="24"/>
          <w:lang w:eastAsia="sk-SK"/>
        </w:rPr>
        <w:br/>
        <w:t xml:space="preserve">• môže poskytnúť aj finančný príspevok na poskytovanie sociálnej služby v zariadeniach podmienených odkázanosťou. </w:t>
      </w:r>
      <w:r w:rsidRPr="006940B5">
        <w:rPr>
          <w:rFonts w:ascii="Calibri" w:eastAsia="Times New Roman" w:hAnsi="Calibri" w:cs="Calibri"/>
          <w:sz w:val="24"/>
          <w:szCs w:val="24"/>
          <w:lang w:eastAsia="sk-SK"/>
        </w:rPr>
        <w:br/>
        <w:t>V zmysle zákona o sociálnych službách BSK uhradí zariadeniu sociálnych služieb v zriaďovateľskej pôsobnosti iného VÚC ekonomicky oprávnené náklady.</w:t>
      </w:r>
    </w:p>
    <w:p w14:paraId="434E7927"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11.4.2: Špecializované sociálne poradenstvo</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02"/>
        <w:gridCol w:w="2215"/>
        <w:gridCol w:w="1295"/>
        <w:gridCol w:w="1492"/>
        <w:gridCol w:w="649"/>
        <w:gridCol w:w="1492"/>
        <w:gridCol w:w="649"/>
        <w:gridCol w:w="1492"/>
        <w:gridCol w:w="664"/>
      </w:tblGrid>
      <w:tr w:rsidR="008909ED" w:rsidRPr="006940B5" w14:paraId="48385240"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48AB46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0B4DB61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3B831E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C5E22EF"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26F0C6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93AD21B"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09B531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CF7EE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04382A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8F8701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F06B3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0226442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F4F17C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4FE01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B54D86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850 000,00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0FEBF88"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1 200 000,00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06B59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141,18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4728036"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1 200 000,00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AD5D3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DE4A1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1 200 000,00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ACD544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4CE9D32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110DC9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EEB599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5D899F9"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850 000,00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97AE1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1 200 000,00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2FD760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141,18</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0A5B8B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1 200 000,00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0AB497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62D90E1"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1 200 000,00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D1BC1E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4155F654"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67"/>
        <w:gridCol w:w="2017"/>
        <w:gridCol w:w="2017"/>
        <w:gridCol w:w="2017"/>
        <w:gridCol w:w="2032"/>
      </w:tblGrid>
      <w:tr w:rsidR="008909ED" w:rsidRPr="006940B5" w14:paraId="0F73ED9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D7BDB9"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4962772"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Oddelenie sociálnej pomoci</w:t>
            </w:r>
          </w:p>
        </w:tc>
      </w:tr>
      <w:tr w:rsidR="008909ED" w:rsidRPr="006940B5" w14:paraId="59DCCE18"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D6ECE5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EFA01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xml:space="preserve">Zabezpečiť kvalitné špecializované sociálne poradenstvo pre občanov regiónu. </w:t>
            </w:r>
          </w:p>
        </w:tc>
      </w:tr>
      <w:tr w:rsidR="008909ED" w:rsidRPr="006940B5" w14:paraId="6A405CB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6DB5CB8"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880A4D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xml:space="preserve">Počet </w:t>
            </w:r>
            <w:proofErr w:type="spellStart"/>
            <w:r w:rsidRPr="006940B5">
              <w:rPr>
                <w:rFonts w:ascii="Calibri" w:eastAsia="Times New Roman" w:hAnsi="Calibri" w:cs="Calibri"/>
                <w:sz w:val="24"/>
                <w:szCs w:val="24"/>
                <w:lang w:eastAsia="sk-SK"/>
              </w:rPr>
              <w:t>zazmluvnených</w:t>
            </w:r>
            <w:proofErr w:type="spellEnd"/>
            <w:r w:rsidRPr="006940B5">
              <w:rPr>
                <w:rFonts w:ascii="Calibri" w:eastAsia="Times New Roman" w:hAnsi="Calibri" w:cs="Calibri"/>
                <w:sz w:val="24"/>
                <w:szCs w:val="24"/>
                <w:lang w:eastAsia="sk-SK"/>
              </w:rPr>
              <w:t xml:space="preserve"> hodín u neverejných poskytovateľov</w:t>
            </w:r>
          </w:p>
        </w:tc>
      </w:tr>
      <w:tr w:rsidR="008909ED" w:rsidRPr="006940B5" w14:paraId="678645C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32A4F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EE62B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4D733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4A37C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349F69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7A74B28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303A0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2F5B7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50 000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1D3AE4F"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60 000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0D2BF4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60 000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00D192"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60 000</w:t>
            </w:r>
          </w:p>
        </w:tc>
      </w:tr>
    </w:tbl>
    <w:p w14:paraId="69F1620B" w14:textId="77777777" w:rsidR="008909ED" w:rsidRPr="006940B5" w:rsidRDefault="008909ED" w:rsidP="008909ED">
      <w:pPr>
        <w:spacing w:before="100" w:beforeAutospacing="1" w:after="100" w:afterAutospacing="1" w:line="240" w:lineRule="auto"/>
        <w:outlineLvl w:val="3"/>
        <w:rPr>
          <w:rFonts w:ascii="Calibri" w:eastAsia="Times New Roman" w:hAnsi="Calibri" w:cs="Calibri"/>
          <w:b/>
          <w:bCs/>
          <w:sz w:val="24"/>
          <w:szCs w:val="24"/>
          <w:lang w:eastAsia="sk-SK"/>
        </w:rPr>
      </w:pPr>
      <w:r w:rsidRPr="006940B5">
        <w:rPr>
          <w:rFonts w:ascii="Calibri" w:eastAsia="Times New Roman" w:hAnsi="Calibri" w:cs="Calibri"/>
          <w:b/>
          <w:bCs/>
          <w:color w:val="0000FF"/>
          <w:sz w:val="24"/>
          <w:szCs w:val="24"/>
          <w:lang w:eastAsia="sk-SK"/>
        </w:rPr>
        <w:t>Prvok 11.4.3: Subjekty, ktoré vykonávajú opatrenia sociálnoprávnej ochrany detí a sociálnej kurately</w:t>
      </w:r>
      <w:r w:rsidRPr="006940B5">
        <w:rPr>
          <w:rFonts w:ascii="Calibri" w:eastAsia="Times New Roman" w:hAnsi="Calibri" w:cs="Calibri"/>
          <w:b/>
          <w:bCs/>
          <w:sz w:val="24"/>
          <w:szCs w:val="24"/>
          <w:lang w:eastAsia="sk-SK"/>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3"/>
        <w:gridCol w:w="2215"/>
        <w:gridCol w:w="1430"/>
        <w:gridCol w:w="1430"/>
        <w:gridCol w:w="649"/>
        <w:gridCol w:w="1430"/>
        <w:gridCol w:w="649"/>
        <w:gridCol w:w="1430"/>
        <w:gridCol w:w="664"/>
      </w:tblGrid>
      <w:tr w:rsidR="008909ED" w:rsidRPr="006940B5" w14:paraId="1C63C7CA"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C4B3601"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i/>
                <w:iCs/>
                <w:sz w:val="24"/>
                <w:szCs w:val="24"/>
                <w:lang w:eastAsia="sk-SK"/>
              </w:rPr>
              <w:t>Rozpočet v EUR</w:t>
            </w:r>
          </w:p>
        </w:tc>
      </w:tr>
      <w:tr w:rsidR="008909ED" w:rsidRPr="006940B5" w14:paraId="6F94198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AF45AF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5178C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F92A6F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81AED5A"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C1056F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9E4D6D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B13984E"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C6AEC6"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62B8B8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w:t>
            </w:r>
          </w:p>
        </w:tc>
      </w:tr>
      <w:tr w:rsidR="008909ED" w:rsidRPr="006940B5" w14:paraId="0EF87B2D"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FA409F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31F0BF0"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Výdavky celkom</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19F3C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660 000,00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3A9908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B1A5B3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D2A3475"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72B406C"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5359D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AB12AF"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4053553F"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9A184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A25F1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Bežné výdavky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25F202"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660 000,00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DC2009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9E17E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07810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CED1B3D"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F3AFA7B"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4A81C53"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b/>
                <w:bCs/>
                <w:sz w:val="20"/>
                <w:szCs w:val="20"/>
                <w:lang w:eastAsia="sk-SK"/>
              </w:rPr>
              <w:t>100,00</w:t>
            </w:r>
            <w:r w:rsidRPr="006940B5">
              <w:rPr>
                <w:rFonts w:ascii="Calibri" w:eastAsia="Times New Roman" w:hAnsi="Calibri" w:cs="Calibri"/>
                <w:sz w:val="24"/>
                <w:szCs w:val="24"/>
                <w:lang w:eastAsia="sk-SK"/>
              </w:rPr>
              <w:t xml:space="preserve"> </w:t>
            </w:r>
          </w:p>
        </w:tc>
      </w:tr>
      <w:tr w:rsidR="008909ED" w:rsidRPr="006940B5" w14:paraId="34AB91A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FA3B7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640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C7F51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Bežné transfery</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31210F4"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660 000,00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72130D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4F5A830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61EAA0"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D72EDB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D166D67"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660 000,00</w:t>
            </w:r>
            <w:r w:rsidRPr="006940B5">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1070063A" w14:textId="77777777" w:rsidR="008909ED" w:rsidRPr="006940B5" w:rsidRDefault="008909ED" w:rsidP="007468A0">
            <w:pPr>
              <w:spacing w:after="0" w:line="240" w:lineRule="auto"/>
              <w:jc w:val="right"/>
              <w:rPr>
                <w:rFonts w:ascii="Calibri" w:eastAsia="Times New Roman" w:hAnsi="Calibri" w:cs="Calibri"/>
                <w:sz w:val="24"/>
                <w:szCs w:val="24"/>
                <w:lang w:eastAsia="sk-SK"/>
              </w:rPr>
            </w:pPr>
            <w:r w:rsidRPr="006940B5">
              <w:rPr>
                <w:rFonts w:ascii="Calibri" w:eastAsia="Times New Roman" w:hAnsi="Calibri" w:cs="Calibri"/>
                <w:sz w:val="20"/>
                <w:szCs w:val="20"/>
                <w:lang w:eastAsia="sk-SK"/>
              </w:rPr>
              <w:t>100,00</w:t>
            </w:r>
            <w:r w:rsidRPr="006940B5">
              <w:rPr>
                <w:rFonts w:ascii="Calibri" w:eastAsia="Times New Roman" w:hAnsi="Calibri" w:cs="Calibri"/>
                <w:sz w:val="24"/>
                <w:szCs w:val="24"/>
                <w:lang w:eastAsia="sk-SK"/>
              </w:rPr>
              <w:t xml:space="preserve"> </w:t>
            </w:r>
          </w:p>
        </w:tc>
      </w:tr>
    </w:tbl>
    <w:p w14:paraId="34FF5816" w14:textId="77777777" w:rsidR="008909ED" w:rsidRPr="006940B5" w:rsidRDefault="008909ED" w:rsidP="008909ED">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31"/>
        <w:gridCol w:w="2031"/>
        <w:gridCol w:w="2031"/>
        <w:gridCol w:w="2046"/>
      </w:tblGrid>
      <w:tr w:rsidR="008909ED" w:rsidRPr="006940B5" w14:paraId="10532E9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2E3021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D4B5E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oddelenie sociálnej pomoci</w:t>
            </w:r>
          </w:p>
        </w:tc>
      </w:tr>
      <w:tr w:rsidR="008909ED" w:rsidRPr="006940B5" w14:paraId="4B804BD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22E4DBC"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691611"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Zabezpečiť kvalitnú úroveň poskytovaných opatrení sociálnoprávnej ochrany detí a sociálnej kurately</w:t>
            </w:r>
          </w:p>
        </w:tc>
      </w:tr>
      <w:tr w:rsidR="008909ED" w:rsidRPr="006940B5" w14:paraId="13D51E30"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3E948E6"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9E6D54"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Počet podporených subjektov spolu za rok</w:t>
            </w:r>
          </w:p>
        </w:tc>
      </w:tr>
      <w:tr w:rsidR="008909ED" w:rsidRPr="006940B5" w14:paraId="0470CFFB"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1F3D5D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5FF1C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5CC04A4"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EDABFC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FBF19C"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22C165E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E78FA5"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C7EA760"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E7E03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91B617"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23</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C03397D"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23</w:t>
            </w:r>
          </w:p>
        </w:tc>
      </w:tr>
      <w:tr w:rsidR="008909ED" w:rsidRPr="006940B5" w14:paraId="79B549D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6EFB33"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A7BAC7"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Počet realizovaných sociálnych programov za rok</w:t>
            </w:r>
          </w:p>
        </w:tc>
      </w:tr>
      <w:tr w:rsidR="008909ED" w:rsidRPr="006940B5" w14:paraId="5CE4BFB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DDDBED"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C4AD67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E122BA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21AE4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271F3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2027</w:t>
            </w:r>
          </w:p>
        </w:tc>
      </w:tr>
      <w:tr w:rsidR="008909ED" w:rsidRPr="006940B5" w14:paraId="6553C70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E9BC7AA" w14:textId="77777777" w:rsidR="008909ED" w:rsidRPr="006940B5" w:rsidRDefault="008909ED" w:rsidP="007468A0">
            <w:pPr>
              <w:spacing w:after="0" w:line="240" w:lineRule="auto"/>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47AC1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A18DF9"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D07C53"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3E4115" w14:textId="77777777" w:rsidR="008909ED" w:rsidRPr="006940B5" w:rsidRDefault="008909ED" w:rsidP="007468A0">
            <w:pPr>
              <w:spacing w:after="0" w:line="240" w:lineRule="auto"/>
              <w:jc w:val="center"/>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 2</w:t>
            </w:r>
          </w:p>
        </w:tc>
      </w:tr>
    </w:tbl>
    <w:p w14:paraId="5A072FE2" w14:textId="77777777" w:rsidR="008909ED" w:rsidRDefault="008909ED" w:rsidP="008909ED">
      <w:pPr>
        <w:spacing w:before="100" w:beforeAutospacing="1" w:after="100" w:afterAutospacing="1" w:line="240" w:lineRule="auto"/>
        <w:jc w:val="both"/>
        <w:rPr>
          <w:rFonts w:ascii="Calibri" w:eastAsia="Times New Roman" w:hAnsi="Calibri" w:cs="Calibri"/>
          <w:sz w:val="24"/>
          <w:szCs w:val="24"/>
          <w:lang w:eastAsia="sk-SK"/>
        </w:rPr>
      </w:pPr>
      <w:r w:rsidRPr="006940B5">
        <w:rPr>
          <w:rFonts w:ascii="Calibri" w:eastAsia="Times New Roman" w:hAnsi="Calibri" w:cs="Calibri"/>
          <w:b/>
          <w:bCs/>
          <w:sz w:val="24"/>
          <w:szCs w:val="24"/>
          <w:lang w:eastAsia="sk-SK"/>
        </w:rPr>
        <w:lastRenderedPageBreak/>
        <w:t xml:space="preserve">Komentár: </w:t>
      </w:r>
      <w:r w:rsidRPr="006940B5">
        <w:rPr>
          <w:rFonts w:ascii="Calibri" w:eastAsia="Times New Roman" w:hAnsi="Calibri" w:cs="Calibri"/>
          <w:sz w:val="24"/>
          <w:szCs w:val="24"/>
          <w:lang w:eastAsia="sk-SK"/>
        </w:rPr>
        <w:t>Bratislavský samosprávny kraj poskytuje finančné príspevky na vykonávanie opatrení sociálnoprávnej ochrany detí a sociálnej kurately v zmysle § 88 ods.1 zákona č. 305/2005 Z. z. o sociálnoprávnej ochrane detí a o sociálnej kuratele a o zmene a doplnení niektorých zákonov v znení neskorších predpisov a VZN BSK č. 6/2021 o bližších podmienkach poskytovania finančného príspevku akreditovanému subjektu, právnickej osobe, fyzickej osobe alebo obci na vykonávanie opatrení sociálnoprávnej ochrany detí a sociálnej kurately na území Bratislavského samosprávneho kraja.</w:t>
      </w:r>
    </w:p>
    <w:p w14:paraId="60C4D0DC" w14:textId="77777777" w:rsidR="008909ED" w:rsidRPr="006940B5" w:rsidRDefault="008909ED" w:rsidP="008909ED">
      <w:pPr>
        <w:spacing w:before="100" w:beforeAutospacing="1" w:after="100" w:afterAutospacing="1" w:line="240" w:lineRule="auto"/>
        <w:rPr>
          <w:rFonts w:ascii="Calibri" w:eastAsia="Times New Roman" w:hAnsi="Calibri" w:cs="Calibri"/>
          <w:sz w:val="24"/>
          <w:szCs w:val="24"/>
          <w:lang w:eastAsia="sk-SK"/>
        </w:rPr>
      </w:pPr>
      <w:r w:rsidRPr="006940B5">
        <w:rPr>
          <w:rFonts w:ascii="Calibri" w:eastAsia="Times New Roman" w:hAnsi="Calibri" w:cs="Calibri"/>
          <w:sz w:val="24"/>
          <w:szCs w:val="24"/>
          <w:lang w:eastAsia="sk-SK"/>
        </w:rPr>
        <w:t>Odbor sociálnych vecí Úradu Bratislavského samosprávneho kraja realizuje aj dva sociálne programy:</w:t>
      </w:r>
      <w:r w:rsidRPr="006940B5">
        <w:rPr>
          <w:rFonts w:ascii="Calibri" w:eastAsia="Times New Roman" w:hAnsi="Calibri" w:cs="Calibri"/>
          <w:sz w:val="24"/>
          <w:szCs w:val="24"/>
          <w:lang w:eastAsia="sk-SK"/>
        </w:rPr>
        <w:br/>
        <w:t>• Centrum pre rodiny v kríze</w:t>
      </w:r>
      <w:r w:rsidRPr="006940B5">
        <w:rPr>
          <w:rFonts w:ascii="Calibri" w:eastAsia="Times New Roman" w:hAnsi="Calibri" w:cs="Calibri"/>
          <w:sz w:val="24"/>
          <w:szCs w:val="24"/>
          <w:lang w:eastAsia="sk-SK"/>
        </w:rPr>
        <w:br/>
        <w:t>• Pomoc ženám, na ktorých je páchané násilie</w:t>
      </w:r>
    </w:p>
    <w:p w14:paraId="27D06BB3" w14:textId="77777777" w:rsidR="00837D19" w:rsidRDefault="00837D19" w:rsidP="0071336E">
      <w:pPr>
        <w:spacing w:before="100" w:beforeAutospacing="1" w:after="100" w:afterAutospacing="1" w:line="240" w:lineRule="auto"/>
        <w:outlineLvl w:val="1"/>
        <w:rPr>
          <w:rFonts w:eastAsia="Times New Roman" w:cstheme="minorHAnsi"/>
          <w:b/>
          <w:bCs/>
          <w:color w:val="000080"/>
          <w:sz w:val="36"/>
          <w:szCs w:val="36"/>
          <w:lang w:eastAsia="sk-SK"/>
        </w:rPr>
      </w:pPr>
    </w:p>
    <w:p w14:paraId="2C52B7AC" w14:textId="7CB43133" w:rsidR="0071336E" w:rsidRPr="0071336E" w:rsidRDefault="0071336E" w:rsidP="0071336E">
      <w:pPr>
        <w:spacing w:before="100" w:beforeAutospacing="1" w:after="100" w:afterAutospacing="1" w:line="240" w:lineRule="auto"/>
        <w:outlineLvl w:val="1"/>
        <w:rPr>
          <w:rFonts w:eastAsia="Times New Roman" w:cstheme="minorHAnsi"/>
          <w:b/>
          <w:bCs/>
          <w:sz w:val="36"/>
          <w:szCs w:val="36"/>
          <w:lang w:eastAsia="sk-SK"/>
        </w:rPr>
      </w:pPr>
      <w:r w:rsidRPr="0071336E">
        <w:rPr>
          <w:rFonts w:eastAsia="Times New Roman" w:cstheme="minorHAnsi"/>
          <w:b/>
          <w:bCs/>
          <w:color w:val="000080"/>
          <w:sz w:val="36"/>
          <w:szCs w:val="36"/>
          <w:lang w:eastAsia="sk-SK"/>
        </w:rPr>
        <w:t xml:space="preserve">Program 12: Zdravotníctvo </w:t>
      </w:r>
    </w:p>
    <w:p w14:paraId="7C5D182C" w14:textId="77777777" w:rsidR="0071336E" w:rsidRDefault="0071336E" w:rsidP="0071336E">
      <w:pPr>
        <w:spacing w:before="100" w:beforeAutospacing="1" w:after="100" w:afterAutospacing="1" w:line="240" w:lineRule="auto"/>
        <w:rPr>
          <w:rFonts w:eastAsiaTheme="minorEastAsia" w:cstheme="minorHAnsi"/>
          <w:sz w:val="24"/>
          <w:szCs w:val="24"/>
          <w:lang w:eastAsia="sk-SK"/>
        </w:rPr>
      </w:pPr>
      <w:r w:rsidRPr="0071336E">
        <w:rPr>
          <w:rFonts w:eastAsiaTheme="minorEastAsia" w:cstheme="minorHAnsi"/>
          <w:b/>
          <w:bCs/>
          <w:sz w:val="24"/>
          <w:szCs w:val="24"/>
          <w:lang w:eastAsia="sk-SK"/>
        </w:rPr>
        <w:t xml:space="preserve">Zámer: </w:t>
      </w:r>
      <w:r w:rsidRPr="0071336E">
        <w:rPr>
          <w:rFonts w:eastAsiaTheme="minorEastAsia" w:cstheme="minorHAnsi"/>
          <w:sz w:val="24"/>
          <w:szCs w:val="24"/>
          <w:lang w:eastAsia="sk-SK"/>
        </w:rPr>
        <w:t>Zdravie pre všetkých v 21 storočí</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1"/>
        <w:gridCol w:w="2167"/>
        <w:gridCol w:w="1463"/>
        <w:gridCol w:w="1463"/>
        <w:gridCol w:w="548"/>
        <w:gridCol w:w="1462"/>
        <w:gridCol w:w="649"/>
        <w:gridCol w:w="1463"/>
        <w:gridCol w:w="664"/>
      </w:tblGrid>
      <w:tr w:rsidR="003F526F" w:rsidRPr="003F526F" w14:paraId="57E1B65D" w14:textId="77777777" w:rsidTr="007468A0">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4D26E63"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i/>
                <w:iCs/>
                <w:sz w:val="24"/>
                <w:szCs w:val="24"/>
                <w:lang w:eastAsia="sk-SK"/>
              </w:rPr>
              <w:t>Rozpočet v EUR</w:t>
            </w:r>
          </w:p>
        </w:tc>
      </w:tr>
      <w:tr w:rsidR="003F526F" w:rsidRPr="003F526F" w14:paraId="1DA3B45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91DE4EE"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EK</w:t>
            </w:r>
          </w:p>
        </w:tc>
        <w:tc>
          <w:tcPr>
            <w:tcW w:w="100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AE43B74"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0C9A570"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2DC7A6D"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2025</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F517F0A"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48386F7"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2026</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4DD6D99"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DC26572"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2027</w:t>
            </w:r>
          </w:p>
        </w:tc>
        <w:tc>
          <w:tcPr>
            <w:tcW w:w="250"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5BA783E"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w:t>
            </w:r>
          </w:p>
        </w:tc>
      </w:tr>
      <w:tr w:rsidR="003F526F" w:rsidRPr="003F526F" w14:paraId="66F240B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4A7B4C"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68D898"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Výdavky celkom</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4A0BB9"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355 200,00</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0B07D24"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354 300,00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DBDAC1C"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99,75</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080ACCE"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374 300,00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720D6B"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105,64</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9796649"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399 300,00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155E2FF"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106,68</w:t>
            </w:r>
            <w:r w:rsidRPr="003F526F">
              <w:rPr>
                <w:rFonts w:ascii="Calibri" w:eastAsia="Times New Roman" w:hAnsi="Calibri" w:cs="Calibri"/>
                <w:sz w:val="24"/>
                <w:szCs w:val="24"/>
                <w:lang w:eastAsia="sk-SK"/>
              </w:rPr>
              <w:t xml:space="preserve"> </w:t>
            </w:r>
          </w:p>
        </w:tc>
      </w:tr>
      <w:tr w:rsidR="003F526F" w:rsidRPr="003F526F" w14:paraId="6E81C19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AA1594"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600</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0AD230"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Bežné výdavky</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82E6C5B"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355 200,00</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7FFAEB5"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354 300,00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6DE32D1"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99,75</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504655"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374 300,00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A6EC83"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105,64</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5CC6249"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399 300,00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E37EBB"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b/>
                <w:bCs/>
                <w:sz w:val="20"/>
                <w:szCs w:val="20"/>
                <w:lang w:eastAsia="sk-SK"/>
              </w:rPr>
              <w:t>106,68</w:t>
            </w:r>
            <w:r w:rsidRPr="003F526F">
              <w:rPr>
                <w:rFonts w:ascii="Calibri" w:eastAsia="Times New Roman" w:hAnsi="Calibri" w:cs="Calibri"/>
                <w:sz w:val="24"/>
                <w:szCs w:val="24"/>
                <w:lang w:eastAsia="sk-SK"/>
              </w:rPr>
              <w:t xml:space="preserve"> </w:t>
            </w:r>
          </w:p>
        </w:tc>
      </w:tr>
      <w:tr w:rsidR="003F526F" w:rsidRPr="003F526F" w14:paraId="011C31F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2EBDEC7"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630</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DCE1897"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Tovary a služby</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6921759"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355 200,00</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968E8B"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234 300,00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3E742D6"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65,96</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9FBEB80"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244 300,00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00866C97"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104,27</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0007D3A"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259 300,00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6DD0DF87"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106,14</w:t>
            </w:r>
            <w:r w:rsidRPr="003F526F">
              <w:rPr>
                <w:rFonts w:ascii="Calibri" w:eastAsia="Times New Roman" w:hAnsi="Calibri" w:cs="Calibri"/>
                <w:sz w:val="24"/>
                <w:szCs w:val="24"/>
                <w:lang w:eastAsia="sk-SK"/>
              </w:rPr>
              <w:t xml:space="preserve"> </w:t>
            </w:r>
          </w:p>
        </w:tc>
      </w:tr>
      <w:tr w:rsidR="003F526F" w:rsidRPr="003F526F" w14:paraId="126A6F8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1B55DD8"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640</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DDF925"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Bežné transfery</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FABBEF7"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CA0CF7"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120 000,00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3460524C"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E41FD1B"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130 000,00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7497EA4B"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108,33</w:t>
            </w:r>
            <w:r w:rsidRPr="003F526F">
              <w:rPr>
                <w:rFonts w:ascii="Calibri" w:eastAsia="Times New Roman" w:hAnsi="Calibri" w:cs="Calibri"/>
                <w:sz w:val="24"/>
                <w:szCs w:val="24"/>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3043842"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140 000,00</w:t>
            </w:r>
            <w:r w:rsidRPr="003F526F">
              <w:rPr>
                <w:rFonts w:ascii="Calibri" w:eastAsia="Times New Roman" w:hAnsi="Calibri" w:cs="Calibri"/>
                <w:sz w:val="24"/>
                <w:szCs w:val="24"/>
                <w:lang w:eastAsia="sk-SK"/>
              </w:rPr>
              <w:t xml:space="preserve"> </w:t>
            </w:r>
          </w:p>
        </w:tc>
        <w:tc>
          <w:tcPr>
            <w:tcW w:w="250" w:type="pct"/>
            <w:tcBorders>
              <w:top w:val="outset" w:sz="6" w:space="0" w:color="000000"/>
              <w:left w:val="outset" w:sz="6" w:space="0" w:color="000000"/>
              <w:bottom w:val="outset" w:sz="6" w:space="0" w:color="000000"/>
              <w:right w:val="outset" w:sz="6" w:space="0" w:color="000000"/>
            </w:tcBorders>
            <w:noWrap/>
            <w:vAlign w:val="center"/>
            <w:hideMark/>
          </w:tcPr>
          <w:p w14:paraId="53EEFCF0" w14:textId="77777777" w:rsidR="003F526F" w:rsidRPr="003F526F" w:rsidRDefault="003F526F" w:rsidP="003F526F">
            <w:pPr>
              <w:spacing w:after="0" w:line="240" w:lineRule="auto"/>
              <w:jc w:val="right"/>
              <w:rPr>
                <w:rFonts w:ascii="Calibri" w:eastAsia="Times New Roman" w:hAnsi="Calibri" w:cs="Calibri"/>
                <w:sz w:val="24"/>
                <w:szCs w:val="24"/>
                <w:lang w:eastAsia="sk-SK"/>
              </w:rPr>
            </w:pPr>
            <w:r w:rsidRPr="003F526F">
              <w:rPr>
                <w:rFonts w:ascii="Calibri" w:eastAsia="Times New Roman" w:hAnsi="Calibri" w:cs="Calibri"/>
                <w:sz w:val="20"/>
                <w:szCs w:val="20"/>
                <w:lang w:eastAsia="sk-SK"/>
              </w:rPr>
              <w:t>107,69</w:t>
            </w:r>
            <w:r w:rsidRPr="003F526F">
              <w:rPr>
                <w:rFonts w:ascii="Calibri" w:eastAsia="Times New Roman" w:hAnsi="Calibri" w:cs="Calibri"/>
                <w:sz w:val="24"/>
                <w:szCs w:val="24"/>
                <w:lang w:eastAsia="sk-SK"/>
              </w:rPr>
              <w:t xml:space="preserve"> </w:t>
            </w:r>
          </w:p>
        </w:tc>
      </w:tr>
    </w:tbl>
    <w:p w14:paraId="1845BE47" w14:textId="77777777" w:rsidR="003F526F" w:rsidRPr="003F526F" w:rsidRDefault="003F526F" w:rsidP="003F526F">
      <w:pPr>
        <w:spacing w:after="0" w:line="240" w:lineRule="auto"/>
        <w:rPr>
          <w:rFonts w:ascii="Calibri" w:eastAsia="Times New Roman" w:hAnsi="Calibri" w:cs="Calibri"/>
          <w:vanish/>
          <w:sz w:val="24"/>
          <w:szCs w:val="24"/>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11"/>
        <w:gridCol w:w="2031"/>
        <w:gridCol w:w="2031"/>
        <w:gridCol w:w="2031"/>
        <w:gridCol w:w="2046"/>
      </w:tblGrid>
      <w:tr w:rsidR="003F526F" w:rsidRPr="003F526F" w14:paraId="1AAC0CCE"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A165A9"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8C5E341"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Odbor zdravotníctva</w:t>
            </w:r>
            <w:r w:rsidRPr="003F526F">
              <w:rPr>
                <w:rFonts w:ascii="Calibri" w:eastAsia="Times New Roman" w:hAnsi="Calibri" w:cs="Calibri"/>
                <w:sz w:val="24"/>
                <w:szCs w:val="24"/>
                <w:lang w:eastAsia="sk-SK"/>
              </w:rPr>
              <w:br/>
            </w:r>
          </w:p>
        </w:tc>
      </w:tr>
      <w:tr w:rsidR="003F526F" w:rsidRPr="003F526F" w14:paraId="57E13F6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740CA8"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16705B"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Zvyšovanie vzdelanostnej úrovne odbornej a laickej verejnosti</w:t>
            </w:r>
          </w:p>
        </w:tc>
      </w:tr>
      <w:tr w:rsidR="003F526F" w:rsidRPr="003F526F" w14:paraId="70DA2E2C"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4A4548"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750C673"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Počet realizovaných seminárov a školení</w:t>
            </w:r>
          </w:p>
        </w:tc>
      </w:tr>
      <w:tr w:rsidR="003F526F" w:rsidRPr="003F526F" w14:paraId="05819287"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2A4CAF"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CCDBC5"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017FAB3"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F9483F"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555A9A"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2027</w:t>
            </w:r>
          </w:p>
        </w:tc>
      </w:tr>
      <w:tr w:rsidR="003F526F" w:rsidRPr="003F526F" w14:paraId="1D63178A"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DEEA95"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DA300B"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D71EEA4"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6DCB87B"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 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C9E3BA6"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 4</w:t>
            </w:r>
          </w:p>
        </w:tc>
      </w:tr>
      <w:tr w:rsidR="003F526F" w:rsidRPr="003F526F" w14:paraId="7FB351D2"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D8AC080"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F07F79E"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Zvyšovanie informovanosti občanov</w:t>
            </w:r>
          </w:p>
        </w:tc>
      </w:tr>
      <w:tr w:rsidR="003F526F" w:rsidRPr="003F526F" w14:paraId="02BB18B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56D4EF"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733A12E"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Počet aktivít so zdieľaním informácií s odbornou a laickou verejnosťou o témach týkajúcich sa oblasti zdravotníctva (v %)</w:t>
            </w:r>
          </w:p>
        </w:tc>
      </w:tr>
      <w:tr w:rsidR="003F526F" w:rsidRPr="003F526F" w14:paraId="40928F7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EAFBE08"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71A106D"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DF4F612"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990ED87"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F5177A"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2027</w:t>
            </w:r>
          </w:p>
        </w:tc>
      </w:tr>
      <w:tr w:rsidR="003F526F" w:rsidRPr="003F526F" w14:paraId="01E6B6F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195C003"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8F40462"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5926E0"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B354235"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539B522"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 100</w:t>
            </w:r>
          </w:p>
        </w:tc>
      </w:tr>
      <w:tr w:rsidR="003F526F" w:rsidRPr="003F526F" w14:paraId="3DF7C4B1"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04EA03"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9219E2"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Zvyšovanie kvality poskytovanej zdravotnej starostlivosti</w:t>
            </w:r>
          </w:p>
        </w:tc>
      </w:tr>
      <w:tr w:rsidR="003F526F" w:rsidRPr="003F526F" w14:paraId="76351C44"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5417D6F"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C7601F0"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Počet realizovaných štátnych dozorov u poskytovateľov zdravotnej starostlivosti</w:t>
            </w:r>
          </w:p>
        </w:tc>
      </w:tr>
      <w:tr w:rsidR="003F526F" w:rsidRPr="003F526F" w14:paraId="01C479E6"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8A52DD"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B99D35B"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74E39A0"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2025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F059AB9"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2026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50D7EC0"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2027</w:t>
            </w:r>
          </w:p>
        </w:tc>
      </w:tr>
      <w:tr w:rsidR="003F526F" w:rsidRPr="003F526F" w14:paraId="457A3C19" w14:textId="77777777" w:rsidTr="007468A0">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985207A" w14:textId="77777777" w:rsidR="003F526F" w:rsidRPr="003F526F" w:rsidRDefault="003F526F" w:rsidP="003F526F">
            <w:pPr>
              <w:spacing w:after="0" w:line="240" w:lineRule="auto"/>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33BE3CE"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 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B9F2D81"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 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4A17545"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 36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11CB5E1" w14:textId="77777777" w:rsidR="003F526F" w:rsidRPr="003F526F" w:rsidRDefault="003F526F" w:rsidP="003F526F">
            <w:pPr>
              <w:spacing w:after="0" w:line="240" w:lineRule="auto"/>
              <w:jc w:val="center"/>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 36</w:t>
            </w:r>
          </w:p>
        </w:tc>
      </w:tr>
    </w:tbl>
    <w:p w14:paraId="09EFC13C" w14:textId="77777777" w:rsidR="003F526F" w:rsidRDefault="003F526F" w:rsidP="003F526F">
      <w:pPr>
        <w:spacing w:after="0" w:line="240" w:lineRule="auto"/>
        <w:jc w:val="both"/>
        <w:rPr>
          <w:rFonts w:ascii="Calibri" w:eastAsia="Times New Roman" w:hAnsi="Calibri" w:cs="Calibri"/>
          <w:b/>
          <w:bCs/>
          <w:sz w:val="24"/>
          <w:szCs w:val="24"/>
          <w:lang w:eastAsia="sk-SK"/>
        </w:rPr>
      </w:pPr>
    </w:p>
    <w:p w14:paraId="7D60703C" w14:textId="1D275B8C" w:rsidR="003F526F" w:rsidRPr="003F526F" w:rsidRDefault="003F526F" w:rsidP="003F526F">
      <w:pPr>
        <w:spacing w:after="0" w:line="240" w:lineRule="auto"/>
        <w:jc w:val="both"/>
        <w:rPr>
          <w:rFonts w:ascii="Calibri" w:eastAsia="Times New Roman" w:hAnsi="Calibri" w:cs="Calibri"/>
          <w:sz w:val="24"/>
          <w:szCs w:val="24"/>
          <w:lang w:eastAsia="sk-SK"/>
        </w:rPr>
      </w:pPr>
      <w:r w:rsidRPr="003F526F">
        <w:rPr>
          <w:rFonts w:ascii="Calibri" w:eastAsia="Times New Roman" w:hAnsi="Calibri" w:cs="Calibri"/>
          <w:b/>
          <w:bCs/>
          <w:sz w:val="24"/>
          <w:szCs w:val="24"/>
          <w:lang w:eastAsia="sk-SK"/>
        </w:rPr>
        <w:t xml:space="preserve">Komentár: </w:t>
      </w:r>
      <w:r w:rsidRPr="003F526F">
        <w:rPr>
          <w:rFonts w:ascii="Calibri" w:eastAsia="Times New Roman" w:hAnsi="Calibri" w:cs="Calibri"/>
          <w:sz w:val="24"/>
          <w:szCs w:val="24"/>
          <w:lang w:eastAsia="sk-SK"/>
        </w:rPr>
        <w:t>Plánované výdavky zabezpečujú najmä činnosti smerujúce ku skvalitňovaniu poskytovania zdravotnej starostlivosti v nadväznosti na plnenie úloh národných programov podpory zdravia a priorít regionálnej zdravotnej politiky, v súlade s §46 ods.1 zákona 576/2004 Z. z. o zdravotnej starostlivosti, službách súvisiacich s poskytovaním zdravotnej starostlivosti a o zmene a doplnení niektorých zákonov.</w:t>
      </w:r>
    </w:p>
    <w:p w14:paraId="77BE9B57" w14:textId="77777777" w:rsidR="003F526F" w:rsidRPr="003F526F" w:rsidRDefault="003F526F" w:rsidP="003F526F">
      <w:pPr>
        <w:spacing w:after="0" w:line="240" w:lineRule="auto"/>
        <w:jc w:val="both"/>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 xml:space="preserve">Činnosť týkajúca sa poskytovania a zabezpečenia zdravotnej starostlivosti je usmerňovaná na základe nariadení a vyhlásení vydávaných Úradom verejného zdravotníctva SR, regionálnym úradom verejného </w:t>
      </w:r>
      <w:r w:rsidRPr="003F526F">
        <w:rPr>
          <w:rFonts w:ascii="Calibri" w:eastAsia="Times New Roman" w:hAnsi="Calibri" w:cs="Calibri"/>
          <w:sz w:val="24"/>
          <w:szCs w:val="24"/>
          <w:lang w:eastAsia="sk-SK"/>
        </w:rPr>
        <w:lastRenderedPageBreak/>
        <w:t xml:space="preserve">zdravotníctva, na základe odporúčaní hlavných a krajských odborníkov, stavovských organizácií pre jednotlivé oblasti. </w:t>
      </w:r>
    </w:p>
    <w:p w14:paraId="795035B5" w14:textId="77777777" w:rsidR="003F526F" w:rsidRDefault="003F526F" w:rsidP="003F526F">
      <w:pPr>
        <w:spacing w:after="0" w:line="240" w:lineRule="auto"/>
        <w:jc w:val="both"/>
        <w:rPr>
          <w:rFonts w:ascii="Calibri" w:eastAsia="Times New Roman" w:hAnsi="Calibri" w:cs="Calibri"/>
          <w:sz w:val="24"/>
          <w:szCs w:val="24"/>
          <w:lang w:eastAsia="sk-SK"/>
        </w:rPr>
      </w:pPr>
    </w:p>
    <w:p w14:paraId="665A4806" w14:textId="152968D4" w:rsidR="003F526F" w:rsidRPr="003F526F" w:rsidRDefault="003F526F" w:rsidP="003F526F">
      <w:pPr>
        <w:spacing w:after="0" w:line="240" w:lineRule="auto"/>
        <w:jc w:val="both"/>
        <w:rPr>
          <w:rFonts w:ascii="Calibri" w:eastAsia="Times New Roman" w:hAnsi="Calibri" w:cs="Calibri"/>
          <w:sz w:val="24"/>
          <w:szCs w:val="24"/>
          <w:lang w:eastAsia="sk-SK"/>
        </w:rPr>
      </w:pPr>
      <w:r w:rsidRPr="003F526F">
        <w:rPr>
          <w:rFonts w:ascii="Calibri" w:eastAsia="Times New Roman" w:hAnsi="Calibri" w:cs="Calibri"/>
          <w:sz w:val="24"/>
          <w:szCs w:val="24"/>
          <w:lang w:eastAsia="sk-SK"/>
        </w:rPr>
        <w:t xml:space="preserve">Záujem o tému zlepšenia kvality zdravotnej starostlivosti a zdravia obyvateľstva nielen nášho kraja odráža dokument Stratégie rozvoja zdravotnej starostlivosti v Bratislavskom samosprávnom kraji na roky </w:t>
      </w:r>
      <w:r>
        <w:rPr>
          <w:rFonts w:ascii="Calibri" w:eastAsia="Times New Roman" w:hAnsi="Calibri" w:cs="Calibri"/>
          <w:sz w:val="24"/>
          <w:szCs w:val="24"/>
          <w:lang w:eastAsia="sk-SK"/>
        </w:rPr>
        <w:br/>
      </w:r>
      <w:r w:rsidRPr="003F526F">
        <w:rPr>
          <w:rFonts w:ascii="Calibri" w:eastAsia="Times New Roman" w:hAnsi="Calibri" w:cs="Calibri"/>
          <w:sz w:val="24"/>
          <w:szCs w:val="24"/>
          <w:lang w:eastAsia="sk-SK"/>
        </w:rPr>
        <w:t xml:space="preserve">2022 – 2026. Dokument identifikuje hlavné výzvy zdravotníctva špecifické pre Bratislavský kraj a navrhuje harmonogram plnenia aktivít a indikátory úspešnosti ich plnenia. OZ BSK naďalej považuje osvetu a prevenciu za jednu zo svojich priorít. Reflektuje to aj vyššie spomínaná Stratégia rozvoja zdravotnej starostlivosti v BSK, kde je "Prevencia a včasná diagnostika" identifikovaná ako jedna z priorít. </w:t>
      </w:r>
    </w:p>
    <w:p w14:paraId="46B18E8E" w14:textId="77777777" w:rsidR="004B79B8" w:rsidRDefault="004B79B8" w:rsidP="0071336E">
      <w:pPr>
        <w:spacing w:before="100" w:beforeAutospacing="1" w:after="100" w:afterAutospacing="1" w:line="240" w:lineRule="auto"/>
        <w:rPr>
          <w:rFonts w:eastAsiaTheme="minorEastAsia" w:cstheme="minorHAnsi"/>
          <w:sz w:val="24"/>
          <w:szCs w:val="24"/>
          <w:lang w:eastAsia="sk-SK"/>
        </w:rPr>
      </w:pPr>
    </w:p>
    <w:p w14:paraId="61F5B277" w14:textId="77777777" w:rsidR="008A3914" w:rsidRPr="008A3914" w:rsidRDefault="008A3914" w:rsidP="008A3914">
      <w:pPr>
        <w:spacing w:before="100" w:beforeAutospacing="1" w:after="100" w:afterAutospacing="1" w:line="240" w:lineRule="auto"/>
        <w:outlineLvl w:val="1"/>
        <w:rPr>
          <w:rFonts w:eastAsia="Times New Roman" w:cstheme="minorHAnsi"/>
          <w:b/>
          <w:bCs/>
          <w:sz w:val="36"/>
          <w:szCs w:val="36"/>
          <w:lang w:eastAsia="sk-SK"/>
        </w:rPr>
      </w:pPr>
      <w:r w:rsidRPr="008A3914">
        <w:rPr>
          <w:rFonts w:eastAsia="Times New Roman" w:cstheme="minorHAnsi"/>
          <w:b/>
          <w:bCs/>
          <w:color w:val="000080"/>
          <w:sz w:val="36"/>
          <w:szCs w:val="36"/>
          <w:lang w:eastAsia="sk-SK"/>
        </w:rPr>
        <w:t>Program 13: Administratíva</w:t>
      </w:r>
      <w:r w:rsidRPr="008A3914">
        <w:rPr>
          <w:rFonts w:eastAsia="Times New Roman" w:cstheme="minorHAnsi"/>
          <w:b/>
          <w:bCs/>
          <w:sz w:val="36"/>
          <w:szCs w:val="36"/>
          <w:lang w:eastAsia="sk-SK"/>
        </w:rPr>
        <w:t xml:space="preserve"> </w:t>
      </w:r>
    </w:p>
    <w:p w14:paraId="29CC75C5" w14:textId="77777777" w:rsidR="008A3914" w:rsidRPr="008A3914" w:rsidRDefault="008A3914" w:rsidP="008A3914">
      <w:pPr>
        <w:spacing w:before="100" w:beforeAutospacing="1" w:after="100" w:afterAutospacing="1" w:line="240" w:lineRule="auto"/>
        <w:rPr>
          <w:rFonts w:eastAsiaTheme="minorEastAsia" w:cstheme="minorHAnsi"/>
          <w:sz w:val="24"/>
          <w:szCs w:val="24"/>
          <w:lang w:eastAsia="sk-SK"/>
        </w:rPr>
      </w:pPr>
      <w:r w:rsidRPr="008A3914">
        <w:rPr>
          <w:rFonts w:eastAsiaTheme="minorEastAsia" w:cstheme="minorHAnsi"/>
          <w:b/>
          <w:bCs/>
          <w:sz w:val="24"/>
          <w:szCs w:val="24"/>
          <w:lang w:eastAsia="sk-SK"/>
        </w:rPr>
        <w:t xml:space="preserve">Zámer: </w:t>
      </w:r>
      <w:r w:rsidRPr="008A3914">
        <w:rPr>
          <w:rFonts w:eastAsiaTheme="minorEastAsia" w:cstheme="minorHAnsi"/>
          <w:sz w:val="24"/>
          <w:szCs w:val="24"/>
          <w:lang w:eastAsia="sk-SK"/>
        </w:rPr>
        <w:t>Efektívna administratíva podporujúca plnenie výsledkov</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2065"/>
        <w:gridCol w:w="1485"/>
        <w:gridCol w:w="1486"/>
        <w:gridCol w:w="649"/>
        <w:gridCol w:w="1486"/>
        <w:gridCol w:w="649"/>
        <w:gridCol w:w="1486"/>
        <w:gridCol w:w="664"/>
      </w:tblGrid>
      <w:tr w:rsidR="008A3914" w:rsidRPr="008A3914" w14:paraId="4ECF3221" w14:textId="77777777" w:rsidTr="00D3260E">
        <w:trPr>
          <w:tblCellSpacing w:w="15" w:type="dxa"/>
        </w:trPr>
        <w:tc>
          <w:tcPr>
            <w:tcW w:w="0" w:type="auto"/>
            <w:gridSpan w:val="9"/>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3CEC7AE" w14:textId="77777777" w:rsidR="008A3914" w:rsidRPr="008A3914" w:rsidRDefault="008A3914" w:rsidP="008A3914">
            <w:pPr>
              <w:spacing w:after="0" w:line="240" w:lineRule="auto"/>
              <w:jc w:val="center"/>
              <w:rPr>
                <w:rFonts w:eastAsia="Times New Roman" w:cstheme="minorHAnsi"/>
                <w:sz w:val="20"/>
                <w:szCs w:val="20"/>
                <w:lang w:eastAsia="sk-SK"/>
              </w:rPr>
            </w:pPr>
            <w:r w:rsidRPr="008A3914">
              <w:rPr>
                <w:rFonts w:eastAsia="Times New Roman" w:cstheme="minorHAnsi"/>
                <w:b/>
                <w:bCs/>
                <w:i/>
                <w:iCs/>
                <w:sz w:val="20"/>
                <w:szCs w:val="20"/>
                <w:lang w:eastAsia="sk-SK"/>
              </w:rPr>
              <w:t>Rozpočet v EUR</w:t>
            </w:r>
          </w:p>
        </w:tc>
      </w:tr>
      <w:tr w:rsidR="001D4CC2" w:rsidRPr="008A3914" w14:paraId="71D4819A" w14:textId="77777777" w:rsidTr="001D4CC2">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C3069C"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b/>
                <w:bCs/>
                <w:sz w:val="20"/>
                <w:szCs w:val="20"/>
                <w:lang w:eastAsia="sk-SK"/>
              </w:rPr>
              <w:t>EK</w:t>
            </w:r>
          </w:p>
        </w:tc>
        <w:tc>
          <w:tcPr>
            <w:tcW w:w="983"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DE17AB8"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b/>
                <w:bCs/>
                <w:sz w:val="20"/>
                <w:szCs w:val="20"/>
                <w:lang w:eastAsia="sk-SK"/>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E2DBBFD" w14:textId="6299C707" w:rsidR="001D4CC2" w:rsidRPr="008A3914" w:rsidRDefault="001D4CC2" w:rsidP="001D4CC2">
            <w:pPr>
              <w:spacing w:after="0" w:line="240" w:lineRule="auto"/>
              <w:jc w:val="center"/>
              <w:rPr>
                <w:rFonts w:eastAsia="Times New Roman" w:cstheme="minorHAnsi"/>
                <w:sz w:val="20"/>
                <w:szCs w:val="20"/>
                <w:lang w:eastAsia="sk-SK"/>
              </w:rPr>
            </w:pPr>
            <w:r w:rsidRPr="00C74A5F">
              <w:rPr>
                <w:rFonts w:eastAsia="Times New Roman" w:cstheme="minorHAnsi"/>
                <w:b/>
                <w:bCs/>
                <w:sz w:val="20"/>
                <w:szCs w:val="20"/>
              </w:rPr>
              <w:t>2024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B9195E8" w14:textId="01F71992" w:rsidR="001D4CC2" w:rsidRPr="00C74A5F" w:rsidRDefault="001D4CC2" w:rsidP="001D4CC2">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2025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B309336" w14:textId="3A564527" w:rsidR="001D4CC2" w:rsidRPr="00C74A5F" w:rsidRDefault="001D4CC2" w:rsidP="001D4CC2">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8C65B8" w14:textId="2DA3DB6C" w:rsidR="001D4CC2" w:rsidRPr="00C74A5F" w:rsidRDefault="001D4CC2" w:rsidP="001D4CC2">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2026</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2271B49" w14:textId="74CF7F06" w:rsidR="001D4CC2" w:rsidRPr="00C74A5F" w:rsidRDefault="001D4CC2" w:rsidP="001D4CC2">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14E9862" w14:textId="25CC365E" w:rsidR="001D4CC2" w:rsidRPr="00C74A5F" w:rsidRDefault="001D4CC2" w:rsidP="001D4CC2">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2027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6F38D1C6" w14:textId="2C512F9D" w:rsidR="001D4CC2" w:rsidRPr="00C74A5F" w:rsidRDefault="001D4CC2" w:rsidP="001D4CC2">
            <w:pPr>
              <w:spacing w:after="0" w:line="240" w:lineRule="auto"/>
              <w:jc w:val="center"/>
              <w:rPr>
                <w:rFonts w:eastAsia="Times New Roman" w:cstheme="minorHAnsi"/>
                <w:sz w:val="20"/>
                <w:szCs w:val="20"/>
                <w:lang w:eastAsia="sk-SK"/>
              </w:rPr>
            </w:pPr>
            <w:r w:rsidRPr="00121894">
              <w:rPr>
                <w:rFonts w:ascii="Calibri" w:eastAsia="Times New Roman" w:hAnsi="Calibri" w:cs="Calibri"/>
                <w:b/>
                <w:bCs/>
                <w:sz w:val="20"/>
                <w:szCs w:val="20"/>
              </w:rPr>
              <w:t>%</w:t>
            </w:r>
          </w:p>
        </w:tc>
      </w:tr>
      <w:tr w:rsidR="001D4CC2" w:rsidRPr="008A3914" w14:paraId="394F0785" w14:textId="77777777" w:rsidTr="00FE7325">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07CE7B6" w14:textId="77777777" w:rsidR="001D4CC2" w:rsidRPr="008A3914" w:rsidRDefault="001D4CC2" w:rsidP="001D4CC2">
            <w:pPr>
              <w:spacing w:after="0" w:line="240" w:lineRule="auto"/>
              <w:jc w:val="center"/>
              <w:rPr>
                <w:rFonts w:eastAsia="Times New Roman" w:cstheme="minorHAnsi"/>
                <w:sz w:val="20"/>
                <w:szCs w:val="20"/>
                <w:lang w:eastAsia="sk-SK"/>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2D1E0D8"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b/>
                <w:bCs/>
                <w:sz w:val="20"/>
                <w:szCs w:val="20"/>
                <w:lang w:eastAsia="sk-SK"/>
              </w:rPr>
              <w:t>Výdavky celkom</w:t>
            </w:r>
            <w:r w:rsidRPr="008A3914">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8ABB35B" w14:textId="6EBFE28F" w:rsidR="001D4CC2" w:rsidRPr="008A3914" w:rsidRDefault="001D4CC2" w:rsidP="001D4CC2">
            <w:pPr>
              <w:spacing w:after="0" w:line="240" w:lineRule="auto"/>
              <w:jc w:val="right"/>
              <w:rPr>
                <w:rFonts w:eastAsia="Times New Roman" w:cstheme="minorHAnsi"/>
                <w:sz w:val="20"/>
                <w:szCs w:val="20"/>
                <w:lang w:eastAsia="sk-SK"/>
              </w:rPr>
            </w:pPr>
            <w:r w:rsidRPr="00C74A5F">
              <w:rPr>
                <w:rFonts w:eastAsia="Times New Roman" w:cstheme="minorHAnsi"/>
                <w:b/>
                <w:bCs/>
                <w:sz w:val="20"/>
                <w:szCs w:val="20"/>
              </w:rPr>
              <w:t>12 302 720,00</w:t>
            </w:r>
            <w:r w:rsidRPr="00C74A5F">
              <w:rPr>
                <w:rFonts w:eastAsia="Times New Roman" w:cstheme="minorHAnsi"/>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E0C9D26" w14:textId="26DD2F2A"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13 099 312,86</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4F594A5" w14:textId="27D494C8"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106,47</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C544F9C" w14:textId="77E6B93A"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13 132 099,48</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97F136C" w14:textId="2CF4F200"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B190AE6" w14:textId="08128065"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13 333 525,27</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AC3EC5A" w14:textId="130EF769"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101,53</w:t>
            </w:r>
          </w:p>
        </w:tc>
      </w:tr>
      <w:tr w:rsidR="001D4CC2" w:rsidRPr="008A3914" w14:paraId="5A85D420" w14:textId="77777777" w:rsidTr="00FE7325">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7E05674"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b/>
                <w:bCs/>
                <w:sz w:val="20"/>
                <w:szCs w:val="20"/>
                <w:lang w:eastAsia="sk-SK"/>
              </w:rPr>
              <w:t>600</w:t>
            </w:r>
            <w:r w:rsidRPr="008A3914">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4617183"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b/>
                <w:bCs/>
                <w:sz w:val="20"/>
                <w:szCs w:val="20"/>
                <w:lang w:eastAsia="sk-SK"/>
              </w:rPr>
              <w:t>Bežné výdavky</w:t>
            </w:r>
            <w:r w:rsidRPr="008A3914">
              <w:rPr>
                <w:rFonts w:eastAsia="Times New Roman" w:cstheme="minorHAnsi"/>
                <w:sz w:val="20"/>
                <w:szCs w:val="20"/>
                <w:lang w:eastAsia="sk-SK"/>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94C9279" w14:textId="4D93A720" w:rsidR="001D4CC2" w:rsidRPr="008A3914" w:rsidRDefault="001D4CC2" w:rsidP="001D4CC2">
            <w:pPr>
              <w:spacing w:after="0" w:line="240" w:lineRule="auto"/>
              <w:jc w:val="right"/>
              <w:rPr>
                <w:rFonts w:eastAsia="Times New Roman" w:cstheme="minorHAnsi"/>
                <w:sz w:val="20"/>
                <w:szCs w:val="20"/>
                <w:lang w:eastAsia="sk-SK"/>
              </w:rPr>
            </w:pPr>
            <w:r w:rsidRPr="00C74A5F">
              <w:rPr>
                <w:rFonts w:eastAsia="Times New Roman" w:cstheme="minorHAnsi"/>
                <w:b/>
                <w:bCs/>
                <w:sz w:val="20"/>
                <w:szCs w:val="20"/>
              </w:rPr>
              <w:t>12 302 720,00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99BE44D" w14:textId="7B1BEFC3"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13 099 312,86</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C924E97" w14:textId="59229DD0"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106,47</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3DDD0EC" w14:textId="2EFCE1F4"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13 132 099,48</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A4ADF4" w14:textId="4789AA94"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100,25</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B2104E" w14:textId="4F79FA38"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13 333 525,27</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9284FB0" w14:textId="13CF6751"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b/>
                <w:bCs/>
                <w:sz w:val="20"/>
                <w:szCs w:val="20"/>
              </w:rPr>
              <w:t>101,53</w:t>
            </w:r>
          </w:p>
        </w:tc>
      </w:tr>
      <w:tr w:rsidR="001D4CC2" w:rsidRPr="008A3914" w14:paraId="2AE210BB" w14:textId="77777777" w:rsidTr="00FE7325">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B27AA83"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sz w:val="20"/>
                <w:szCs w:val="20"/>
                <w:lang w:eastAsia="sk-SK"/>
              </w:rPr>
              <w:t xml:space="preserve">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C54A18"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sz w:val="20"/>
                <w:szCs w:val="20"/>
                <w:lang w:eastAsia="sk-SK"/>
              </w:rPr>
              <w:t xml:space="preserve">Mzdy, platy, ...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AB840C6" w14:textId="12056501" w:rsidR="001D4CC2" w:rsidRPr="008A3914" w:rsidRDefault="001D4CC2" w:rsidP="001D4CC2">
            <w:pPr>
              <w:spacing w:after="0" w:line="240" w:lineRule="auto"/>
              <w:jc w:val="right"/>
              <w:rPr>
                <w:rFonts w:eastAsia="Times New Roman" w:cstheme="minorHAnsi"/>
                <w:sz w:val="20"/>
                <w:szCs w:val="20"/>
                <w:lang w:eastAsia="sk-SK"/>
              </w:rPr>
            </w:pPr>
            <w:r w:rsidRPr="00C74A5F">
              <w:rPr>
                <w:rFonts w:eastAsia="Times New Roman" w:cstheme="minorHAnsi"/>
                <w:sz w:val="20"/>
                <w:szCs w:val="20"/>
              </w:rPr>
              <w:t xml:space="preserve">8 600 233,00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999E5C4" w14:textId="2B996D09"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9 026 258,72</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7010512A" w14:textId="5D736E96"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76,75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06A49B" w14:textId="60976108"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9 056 199,48</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2E59AF6" w14:textId="7E13AF97"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100,33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D76A23C" w14:textId="555A8E8B"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9 257 625,27</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4B3AD3F4" w14:textId="4863FA0B"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102,22</w:t>
            </w:r>
          </w:p>
        </w:tc>
      </w:tr>
      <w:tr w:rsidR="001D4CC2" w:rsidRPr="008A3914" w14:paraId="4FFABD39" w14:textId="77777777" w:rsidTr="00FE7325">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DA8AEA6"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sz w:val="20"/>
                <w:szCs w:val="20"/>
                <w:lang w:eastAsia="sk-SK"/>
              </w:rPr>
              <w:t xml:space="preserve">620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40F28C"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sz w:val="20"/>
                <w:szCs w:val="20"/>
                <w:lang w:eastAsia="sk-SK"/>
              </w:rPr>
              <w:t xml:space="preserve">Poistné do poisťovní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5A588F9" w14:textId="521D9FD2" w:rsidR="001D4CC2" w:rsidRPr="008A3914" w:rsidRDefault="001D4CC2" w:rsidP="001D4CC2">
            <w:pPr>
              <w:spacing w:after="0" w:line="240" w:lineRule="auto"/>
              <w:jc w:val="right"/>
              <w:rPr>
                <w:rFonts w:eastAsia="Times New Roman" w:cstheme="minorHAnsi"/>
                <w:sz w:val="20"/>
                <w:szCs w:val="20"/>
                <w:lang w:eastAsia="sk-SK"/>
              </w:rPr>
            </w:pPr>
            <w:r w:rsidRPr="00C74A5F">
              <w:rPr>
                <w:rFonts w:eastAsia="Times New Roman" w:cstheme="minorHAnsi"/>
                <w:sz w:val="20"/>
                <w:szCs w:val="20"/>
              </w:rPr>
              <w:t xml:space="preserve">3 217 838,00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A84A76D" w14:textId="4042C899"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3 491 724,14</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5E17DACF" w14:textId="39BCC905" w:rsidR="001D4CC2" w:rsidRPr="00C74A5F" w:rsidRDefault="008C5C18" w:rsidP="001D4CC2">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108,51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4322BB6" w14:textId="0702E669"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3 510 900,00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23C3D044" w14:textId="6C7A8942"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100,55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A1990CE" w14:textId="30D0EFE4"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3 510 900,00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1D4E8FB" w14:textId="5C23635A"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100,00</w:t>
            </w:r>
          </w:p>
        </w:tc>
      </w:tr>
      <w:tr w:rsidR="001D4CC2" w:rsidRPr="008A3914" w14:paraId="368DFE27" w14:textId="77777777" w:rsidTr="00FE7325">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13A1DF4"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sz w:val="20"/>
                <w:szCs w:val="20"/>
                <w:lang w:eastAsia="sk-SK"/>
              </w:rPr>
              <w:t xml:space="preserve">630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9C0936"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sz w:val="20"/>
                <w:szCs w:val="20"/>
                <w:lang w:eastAsia="sk-SK"/>
              </w:rPr>
              <w:t xml:space="preserve">Tovary a služby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61A21DA" w14:textId="0AAB3A3F" w:rsidR="001D4CC2" w:rsidRPr="008A3914" w:rsidRDefault="001D4CC2" w:rsidP="001D4CC2">
            <w:pPr>
              <w:spacing w:after="0" w:line="240" w:lineRule="auto"/>
              <w:jc w:val="right"/>
              <w:rPr>
                <w:rFonts w:eastAsia="Times New Roman" w:cstheme="minorHAnsi"/>
                <w:sz w:val="20"/>
                <w:szCs w:val="20"/>
                <w:lang w:eastAsia="sk-SK"/>
              </w:rPr>
            </w:pPr>
            <w:r w:rsidRPr="00C74A5F">
              <w:rPr>
                <w:rFonts w:eastAsia="Times New Roman" w:cstheme="minorHAnsi"/>
                <w:sz w:val="20"/>
                <w:szCs w:val="20"/>
              </w:rPr>
              <w:t xml:space="preserve">343 500,00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3917BBE" w14:textId="322DE8BE"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455 500,00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F44EFCF" w14:textId="3DE6D6AF" w:rsidR="001D4CC2" w:rsidRPr="00C74A5F" w:rsidRDefault="00072884" w:rsidP="001D4CC2">
            <w:pPr>
              <w:spacing w:after="0" w:line="240" w:lineRule="auto"/>
              <w:jc w:val="right"/>
              <w:rPr>
                <w:rFonts w:eastAsia="Times New Roman" w:cstheme="minorHAnsi"/>
                <w:sz w:val="20"/>
                <w:szCs w:val="20"/>
                <w:lang w:eastAsia="sk-SK"/>
              </w:rPr>
            </w:pPr>
            <w:r>
              <w:rPr>
                <w:rFonts w:eastAsia="Times New Roman" w:cstheme="minorHAnsi"/>
                <w:sz w:val="20"/>
                <w:szCs w:val="20"/>
                <w:lang w:eastAsia="sk-SK"/>
              </w:rPr>
              <w:t>132,61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32B08C20" w14:textId="4BDBD338"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453 000,00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39FC7CBF" w14:textId="626FF5F3"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99,45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264A6C0D" w14:textId="0A1F12D5"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453 000,00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01FFF33" w14:textId="690ABC4D"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100,00</w:t>
            </w:r>
          </w:p>
        </w:tc>
      </w:tr>
      <w:tr w:rsidR="001D4CC2" w:rsidRPr="008A3914" w14:paraId="5C42BCF1" w14:textId="77777777" w:rsidTr="00FE7325">
        <w:trPr>
          <w:tblCellSpacing w:w="15" w:type="dxa"/>
        </w:trPr>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5BE19C"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sz w:val="20"/>
                <w:szCs w:val="20"/>
                <w:lang w:eastAsia="sk-SK"/>
              </w:rPr>
              <w:t xml:space="preserve">640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FEABD11" w14:textId="77777777" w:rsidR="001D4CC2" w:rsidRPr="008A3914" w:rsidRDefault="001D4CC2" w:rsidP="001D4CC2">
            <w:pPr>
              <w:spacing w:after="0" w:line="240" w:lineRule="auto"/>
              <w:rPr>
                <w:rFonts w:eastAsia="Times New Roman" w:cstheme="minorHAnsi"/>
                <w:sz w:val="20"/>
                <w:szCs w:val="20"/>
                <w:lang w:eastAsia="sk-SK"/>
              </w:rPr>
            </w:pPr>
            <w:r w:rsidRPr="008A3914">
              <w:rPr>
                <w:rFonts w:eastAsia="Times New Roman" w:cstheme="minorHAnsi"/>
                <w:sz w:val="20"/>
                <w:szCs w:val="20"/>
                <w:lang w:eastAsia="sk-SK"/>
              </w:rPr>
              <w:t xml:space="preserve">Bežné transfery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4B641323" w14:textId="4A562FC0" w:rsidR="001D4CC2" w:rsidRPr="008A3914" w:rsidRDefault="001D4CC2" w:rsidP="001D4CC2">
            <w:pPr>
              <w:spacing w:after="0" w:line="240" w:lineRule="auto"/>
              <w:jc w:val="right"/>
              <w:rPr>
                <w:rFonts w:eastAsia="Times New Roman" w:cstheme="minorHAnsi"/>
                <w:sz w:val="20"/>
                <w:szCs w:val="20"/>
                <w:lang w:eastAsia="sk-SK"/>
              </w:rPr>
            </w:pPr>
            <w:r w:rsidRPr="00C74A5F">
              <w:rPr>
                <w:rFonts w:eastAsia="Times New Roman" w:cstheme="minorHAnsi"/>
                <w:sz w:val="20"/>
                <w:szCs w:val="20"/>
              </w:rPr>
              <w:t xml:space="preserve">141 149,00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93F0566" w14:textId="3CEAC51D"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125 830,00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61BEF22B" w14:textId="1F1C1C1A"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23,23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755D4CD6" w14:textId="7CC3F285"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112 000,00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7599931" w14:textId="0361E0EF"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89,01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356B28F" w14:textId="3A32C804"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112 000,00</w:t>
            </w:r>
          </w:p>
        </w:tc>
        <w:tc>
          <w:tcPr>
            <w:tcW w:w="296" w:type="pct"/>
            <w:tcBorders>
              <w:top w:val="outset" w:sz="6" w:space="0" w:color="000000"/>
              <w:left w:val="outset" w:sz="6" w:space="0" w:color="000000"/>
              <w:bottom w:val="outset" w:sz="6" w:space="0" w:color="000000"/>
              <w:right w:val="outset" w:sz="6" w:space="0" w:color="000000"/>
            </w:tcBorders>
            <w:noWrap/>
            <w:vAlign w:val="center"/>
            <w:hideMark/>
          </w:tcPr>
          <w:p w14:paraId="100CF5EA" w14:textId="53915511" w:rsidR="001D4CC2" w:rsidRPr="00C74A5F" w:rsidRDefault="001D4CC2" w:rsidP="001D4CC2">
            <w:pPr>
              <w:spacing w:after="0" w:line="240" w:lineRule="auto"/>
              <w:jc w:val="right"/>
              <w:rPr>
                <w:rFonts w:eastAsia="Times New Roman" w:cstheme="minorHAnsi"/>
                <w:sz w:val="20"/>
                <w:szCs w:val="20"/>
                <w:lang w:eastAsia="sk-SK"/>
              </w:rPr>
            </w:pPr>
            <w:r w:rsidRPr="00121894">
              <w:rPr>
                <w:rFonts w:ascii="Calibri" w:eastAsia="Times New Roman" w:hAnsi="Calibri" w:cs="Calibri"/>
                <w:sz w:val="20"/>
                <w:szCs w:val="20"/>
              </w:rPr>
              <w:t>100,00</w:t>
            </w:r>
          </w:p>
        </w:tc>
      </w:tr>
    </w:tbl>
    <w:p w14:paraId="07574677" w14:textId="77777777" w:rsidR="008A3914" w:rsidRPr="008A3914" w:rsidRDefault="008A3914" w:rsidP="008A3914">
      <w:pPr>
        <w:spacing w:after="0" w:line="240" w:lineRule="auto"/>
        <w:rPr>
          <w:rFonts w:eastAsiaTheme="minorEastAsia" w:cstheme="minorHAnsi"/>
          <w:vanish/>
          <w:lang w:eastAsia="sk-SK"/>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03"/>
        <w:gridCol w:w="2033"/>
        <w:gridCol w:w="2033"/>
        <w:gridCol w:w="2033"/>
        <w:gridCol w:w="2048"/>
      </w:tblGrid>
      <w:tr w:rsidR="008A3914" w:rsidRPr="008A3914" w14:paraId="6A2C84DD" w14:textId="77777777" w:rsidTr="00D3260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A36FFB3" w14:textId="77777777" w:rsidR="008A3914" w:rsidRPr="008A3914" w:rsidRDefault="008A3914" w:rsidP="008A3914">
            <w:pPr>
              <w:spacing w:after="0" w:line="240" w:lineRule="auto"/>
              <w:rPr>
                <w:rFonts w:eastAsia="Times New Roman" w:cstheme="minorHAnsi"/>
                <w:lang w:eastAsia="sk-SK"/>
              </w:rPr>
            </w:pPr>
            <w:r w:rsidRPr="008A3914">
              <w:rPr>
                <w:rFonts w:eastAsia="Times New Roman" w:cstheme="minorHAnsi"/>
                <w:b/>
                <w:bCs/>
                <w:lang w:eastAsia="sk-SK"/>
              </w:rPr>
              <w:t>Zodpovednosť</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AFC3FE8" w14:textId="77777777" w:rsidR="008A3914" w:rsidRPr="008A3914" w:rsidRDefault="008A3914" w:rsidP="008A3914">
            <w:pPr>
              <w:spacing w:after="0" w:line="240" w:lineRule="auto"/>
              <w:rPr>
                <w:rFonts w:eastAsia="Times New Roman" w:cstheme="minorHAnsi"/>
                <w:lang w:eastAsia="sk-SK"/>
              </w:rPr>
            </w:pPr>
            <w:r w:rsidRPr="008A3914">
              <w:rPr>
                <w:rFonts w:eastAsia="Times New Roman" w:cstheme="minorHAnsi"/>
                <w:lang w:eastAsia="sk-SK"/>
              </w:rPr>
              <w:br/>
            </w:r>
          </w:p>
        </w:tc>
      </w:tr>
      <w:tr w:rsidR="008A3914" w:rsidRPr="008A3914" w14:paraId="21A70D3D" w14:textId="77777777" w:rsidTr="00D3260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F20D8B" w14:textId="77777777" w:rsidR="008A3914" w:rsidRPr="008A3914" w:rsidRDefault="008A3914" w:rsidP="008A3914">
            <w:pPr>
              <w:spacing w:after="0" w:line="240" w:lineRule="auto"/>
              <w:rPr>
                <w:rFonts w:eastAsia="Times New Roman" w:cstheme="minorHAnsi"/>
                <w:lang w:eastAsia="sk-SK"/>
              </w:rPr>
            </w:pPr>
            <w:r w:rsidRPr="008A3914">
              <w:rPr>
                <w:rFonts w:eastAsia="Times New Roman" w:cstheme="minorHAnsi"/>
                <w:b/>
                <w:bCs/>
                <w:lang w:eastAsia="sk-SK"/>
              </w:rPr>
              <w:t>Cieľ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FE5F9F" w14:textId="77777777" w:rsidR="008A3914" w:rsidRPr="008A3914" w:rsidRDefault="008A3914" w:rsidP="008A3914">
            <w:pPr>
              <w:spacing w:after="0" w:line="240" w:lineRule="auto"/>
              <w:rPr>
                <w:rFonts w:eastAsia="Times New Roman" w:cstheme="minorHAnsi"/>
                <w:lang w:eastAsia="sk-SK"/>
              </w:rPr>
            </w:pPr>
            <w:r w:rsidRPr="008A3914">
              <w:rPr>
                <w:rFonts w:eastAsia="Times New Roman" w:cstheme="minorHAnsi"/>
                <w:b/>
                <w:bCs/>
                <w:lang w:eastAsia="sk-SK"/>
              </w:rPr>
              <w:t>Zabezpečiť efektívnu administratívu a účinnú personálnu politiku</w:t>
            </w:r>
          </w:p>
        </w:tc>
      </w:tr>
      <w:tr w:rsidR="008A3914" w:rsidRPr="008A3914" w14:paraId="4EA39EE7" w14:textId="77777777" w:rsidTr="00D3260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0B392A9" w14:textId="77777777" w:rsidR="008A3914" w:rsidRPr="008A3914" w:rsidRDefault="008A3914" w:rsidP="008A3914">
            <w:pPr>
              <w:spacing w:after="0" w:line="240" w:lineRule="auto"/>
              <w:rPr>
                <w:rFonts w:eastAsia="Times New Roman" w:cstheme="minorHAnsi"/>
                <w:lang w:eastAsia="sk-SK"/>
              </w:rPr>
            </w:pPr>
            <w:r w:rsidRPr="008A3914">
              <w:rPr>
                <w:rFonts w:eastAsia="Times New Roman" w:cstheme="minorHAnsi"/>
                <w:b/>
                <w:bCs/>
                <w:lang w:eastAsia="sk-SK"/>
              </w:rPr>
              <w:t>Merateľný ukazovateľ</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40E2B66" w14:textId="77777777" w:rsidR="008A3914" w:rsidRPr="008A3914" w:rsidRDefault="008A3914" w:rsidP="008A3914">
            <w:pPr>
              <w:spacing w:after="0" w:line="240" w:lineRule="auto"/>
              <w:rPr>
                <w:rFonts w:eastAsia="Times New Roman" w:cstheme="minorHAnsi"/>
                <w:lang w:eastAsia="sk-SK"/>
              </w:rPr>
            </w:pPr>
            <w:r w:rsidRPr="008A3914">
              <w:rPr>
                <w:rFonts w:eastAsia="Times New Roman" w:cstheme="minorHAnsi"/>
                <w:lang w:eastAsia="sk-SK"/>
              </w:rPr>
              <w:t>Počet dodržaných termínov splatnosti miezd, odvodov a prehľadov pre účtovníctvo</w:t>
            </w:r>
          </w:p>
        </w:tc>
      </w:tr>
      <w:tr w:rsidR="008A3914" w:rsidRPr="008A3914" w14:paraId="0D5889C7" w14:textId="77777777" w:rsidTr="00D3260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613DC41" w14:textId="77777777" w:rsidR="008A3914" w:rsidRPr="008A3914" w:rsidRDefault="008A3914" w:rsidP="008A3914">
            <w:pPr>
              <w:spacing w:after="0" w:line="240" w:lineRule="auto"/>
              <w:rPr>
                <w:rFonts w:eastAsia="Times New Roman" w:cstheme="minorHAnsi"/>
                <w:lang w:eastAsia="sk-SK"/>
              </w:rPr>
            </w:pPr>
            <w:r w:rsidRPr="008A3914">
              <w:rPr>
                <w:rFonts w:eastAsia="Times New Roman" w:cstheme="minorHAnsi"/>
                <w:b/>
                <w:bCs/>
                <w:lang w:eastAsia="sk-SK"/>
              </w:rPr>
              <w:t>Rok</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2F5AFBB" w14:textId="313EBD35" w:rsidR="008A3914" w:rsidRPr="008A3914" w:rsidRDefault="008A3914" w:rsidP="008A3914">
            <w:pPr>
              <w:spacing w:after="0" w:line="240" w:lineRule="auto"/>
              <w:jc w:val="center"/>
              <w:rPr>
                <w:rFonts w:eastAsia="Times New Roman" w:cstheme="minorHAnsi"/>
                <w:lang w:eastAsia="sk-SK"/>
              </w:rPr>
            </w:pPr>
            <w:r w:rsidRPr="008A3914">
              <w:rPr>
                <w:rFonts w:eastAsia="Times New Roman" w:cstheme="minorHAnsi"/>
                <w:lang w:eastAsia="sk-SK"/>
              </w:rPr>
              <w:t>202</w:t>
            </w:r>
            <w:r w:rsidR="001D4CC2">
              <w:rPr>
                <w:rFonts w:eastAsia="Times New Roman" w:cstheme="minorHAnsi"/>
                <w:lang w:eastAsia="sk-SK"/>
              </w:rPr>
              <w:t>4</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6639E88" w14:textId="040D6B1B" w:rsidR="008A3914" w:rsidRPr="008A3914" w:rsidRDefault="008A3914" w:rsidP="008A3914">
            <w:pPr>
              <w:spacing w:after="0" w:line="240" w:lineRule="auto"/>
              <w:jc w:val="center"/>
              <w:rPr>
                <w:rFonts w:eastAsia="Times New Roman" w:cstheme="minorHAnsi"/>
                <w:lang w:eastAsia="sk-SK"/>
              </w:rPr>
            </w:pPr>
            <w:r w:rsidRPr="008A3914">
              <w:rPr>
                <w:rFonts w:eastAsia="Times New Roman" w:cstheme="minorHAnsi"/>
                <w:b/>
                <w:bCs/>
                <w:lang w:eastAsia="sk-SK"/>
              </w:rPr>
              <w:t>202</w:t>
            </w:r>
            <w:r w:rsidR="001D4CC2">
              <w:rPr>
                <w:rFonts w:eastAsia="Times New Roman" w:cstheme="minorHAnsi"/>
                <w:b/>
                <w:bCs/>
                <w:lang w:eastAsia="sk-SK"/>
              </w:rPr>
              <w:t>5</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6C59C26" w14:textId="571DB30E" w:rsidR="008A3914" w:rsidRPr="008A3914" w:rsidRDefault="008A3914" w:rsidP="008A3914">
            <w:pPr>
              <w:spacing w:after="0" w:line="240" w:lineRule="auto"/>
              <w:jc w:val="center"/>
              <w:rPr>
                <w:rFonts w:eastAsia="Times New Roman" w:cstheme="minorHAnsi"/>
                <w:lang w:eastAsia="sk-SK"/>
              </w:rPr>
            </w:pPr>
            <w:r w:rsidRPr="008A3914">
              <w:rPr>
                <w:rFonts w:eastAsia="Times New Roman" w:cstheme="minorHAnsi"/>
                <w:lang w:eastAsia="sk-SK"/>
              </w:rPr>
              <w:t>202</w:t>
            </w:r>
            <w:r w:rsidR="001D4CC2">
              <w:rPr>
                <w:rFonts w:eastAsia="Times New Roman" w:cstheme="minorHAnsi"/>
                <w:lang w:eastAsia="sk-SK"/>
              </w:rPr>
              <w:t>6</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604485B" w14:textId="081409FF" w:rsidR="008A3914" w:rsidRPr="008A3914" w:rsidRDefault="008A3914" w:rsidP="008A3914">
            <w:pPr>
              <w:spacing w:after="0" w:line="240" w:lineRule="auto"/>
              <w:jc w:val="center"/>
              <w:rPr>
                <w:rFonts w:eastAsia="Times New Roman" w:cstheme="minorHAnsi"/>
                <w:lang w:eastAsia="sk-SK"/>
              </w:rPr>
            </w:pPr>
            <w:r w:rsidRPr="008A3914">
              <w:rPr>
                <w:rFonts w:eastAsia="Times New Roman" w:cstheme="minorHAnsi"/>
                <w:lang w:eastAsia="sk-SK"/>
              </w:rPr>
              <w:t>202</w:t>
            </w:r>
            <w:r w:rsidR="001D4CC2">
              <w:rPr>
                <w:rFonts w:eastAsia="Times New Roman" w:cstheme="minorHAnsi"/>
                <w:lang w:eastAsia="sk-SK"/>
              </w:rPr>
              <w:t>7</w:t>
            </w:r>
          </w:p>
        </w:tc>
      </w:tr>
      <w:tr w:rsidR="008A3914" w:rsidRPr="008A3914" w14:paraId="679C4ACA" w14:textId="77777777" w:rsidTr="00D3260E">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8AA4C0C" w14:textId="77777777" w:rsidR="008A3914" w:rsidRPr="008A3914" w:rsidRDefault="008A3914" w:rsidP="008A3914">
            <w:pPr>
              <w:spacing w:after="0" w:line="240" w:lineRule="auto"/>
              <w:rPr>
                <w:rFonts w:eastAsia="Times New Roman" w:cstheme="minorHAnsi"/>
                <w:lang w:eastAsia="sk-SK"/>
              </w:rPr>
            </w:pPr>
            <w:r w:rsidRPr="008A3914">
              <w:rPr>
                <w:rFonts w:eastAsia="Times New Roman" w:cstheme="minorHAnsi"/>
                <w:b/>
                <w:bCs/>
                <w:lang w:eastAsia="sk-SK"/>
              </w:rPr>
              <w:t>Plánovaná hodnota</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834170A" w14:textId="77777777" w:rsidR="008A3914" w:rsidRPr="008A3914" w:rsidRDefault="008A3914" w:rsidP="008A3914">
            <w:pPr>
              <w:spacing w:after="0" w:line="240" w:lineRule="auto"/>
              <w:jc w:val="center"/>
              <w:rPr>
                <w:rFonts w:eastAsia="Times New Roman" w:cstheme="minorHAnsi"/>
                <w:lang w:eastAsia="sk-SK"/>
              </w:rPr>
            </w:pPr>
            <w:r w:rsidRPr="008A3914">
              <w:rPr>
                <w:rFonts w:eastAsia="Times New Roman" w:cstheme="minorHAnsi"/>
                <w:lang w:eastAsia="sk-SK"/>
              </w:rPr>
              <w:t> 12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164BAB0" w14:textId="77777777" w:rsidR="008A3914" w:rsidRPr="008A3914" w:rsidRDefault="008A3914" w:rsidP="008A3914">
            <w:pPr>
              <w:spacing w:after="0" w:line="240" w:lineRule="auto"/>
              <w:jc w:val="center"/>
              <w:rPr>
                <w:rFonts w:eastAsia="Times New Roman" w:cstheme="minorHAnsi"/>
                <w:lang w:eastAsia="sk-SK"/>
              </w:rPr>
            </w:pPr>
            <w:r w:rsidRPr="008A3914">
              <w:rPr>
                <w:rFonts w:eastAsia="Times New Roman" w:cstheme="minorHAnsi"/>
                <w:b/>
                <w:bCs/>
                <w:lang w:eastAsia="sk-SK"/>
              </w:rPr>
              <w:t> 12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05AECE4" w14:textId="77777777" w:rsidR="008A3914" w:rsidRPr="008A3914" w:rsidRDefault="008A3914" w:rsidP="008A3914">
            <w:pPr>
              <w:spacing w:after="0" w:line="240" w:lineRule="auto"/>
              <w:jc w:val="center"/>
              <w:rPr>
                <w:rFonts w:eastAsia="Times New Roman" w:cstheme="minorHAnsi"/>
                <w:lang w:eastAsia="sk-SK"/>
              </w:rPr>
            </w:pPr>
            <w:r w:rsidRPr="008A3914">
              <w:rPr>
                <w:rFonts w:eastAsia="Times New Roman" w:cstheme="minorHAnsi"/>
                <w:lang w:eastAsia="sk-SK"/>
              </w:rPr>
              <w:t> 12</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B3EE9CD" w14:textId="77777777" w:rsidR="008A3914" w:rsidRPr="008A3914" w:rsidRDefault="008A3914" w:rsidP="008A3914">
            <w:pPr>
              <w:spacing w:after="0" w:line="240" w:lineRule="auto"/>
              <w:jc w:val="center"/>
              <w:rPr>
                <w:rFonts w:eastAsia="Times New Roman" w:cstheme="minorHAnsi"/>
                <w:lang w:eastAsia="sk-SK"/>
              </w:rPr>
            </w:pPr>
            <w:r w:rsidRPr="008A3914">
              <w:rPr>
                <w:rFonts w:eastAsia="Times New Roman" w:cstheme="minorHAnsi"/>
                <w:lang w:eastAsia="sk-SK"/>
              </w:rPr>
              <w:t> 12</w:t>
            </w:r>
          </w:p>
        </w:tc>
      </w:tr>
    </w:tbl>
    <w:p w14:paraId="11C9B512" w14:textId="42BBB6F5" w:rsidR="00837D19" w:rsidRPr="008A2365" w:rsidRDefault="008A3914" w:rsidP="008A2365">
      <w:pPr>
        <w:spacing w:before="100" w:beforeAutospacing="1" w:after="100" w:afterAutospacing="1" w:line="240" w:lineRule="auto"/>
        <w:jc w:val="both"/>
        <w:rPr>
          <w:rFonts w:eastAsiaTheme="minorEastAsia" w:cstheme="minorHAnsi"/>
          <w:sz w:val="24"/>
          <w:szCs w:val="24"/>
          <w:lang w:eastAsia="sk-SK"/>
        </w:rPr>
      </w:pPr>
      <w:r w:rsidRPr="008A3914">
        <w:rPr>
          <w:rFonts w:eastAsiaTheme="minorEastAsia" w:cstheme="minorHAnsi"/>
          <w:b/>
          <w:bCs/>
          <w:sz w:val="24"/>
          <w:szCs w:val="24"/>
          <w:lang w:eastAsia="sk-SK"/>
        </w:rPr>
        <w:t xml:space="preserve">Komentár: </w:t>
      </w:r>
      <w:r w:rsidRPr="008A3914">
        <w:rPr>
          <w:rFonts w:eastAsiaTheme="minorEastAsia" w:cstheme="minorHAnsi"/>
          <w:sz w:val="24"/>
          <w:szCs w:val="24"/>
          <w:lang w:eastAsia="sk-SK"/>
        </w:rPr>
        <w:t xml:space="preserve">V uvedenom programe sú zahrnuté finančné prostriedky na úhradu miezd a ostatných osobných vyrovnaní, povinných odvodov do poisťovní za zamestnancov Úradu BSK. V bežných transferoch sú zahrnuté výdavky na odchodné, odstupné a na nemocenské dávky. </w:t>
      </w:r>
    </w:p>
    <w:p w14:paraId="19B627FF" w14:textId="77777777" w:rsidR="005E300F" w:rsidRDefault="005E300F" w:rsidP="00551939">
      <w:pPr>
        <w:pStyle w:val="Nadpis2"/>
        <w:jc w:val="both"/>
        <w:rPr>
          <w:rFonts w:ascii="Calibri" w:hAnsi="Calibri" w:cs="Calibri"/>
          <w:color w:val="000080"/>
        </w:rPr>
      </w:pPr>
    </w:p>
    <w:p w14:paraId="59A73120" w14:textId="77777777" w:rsidR="005E300F" w:rsidRDefault="005E300F" w:rsidP="00551939">
      <w:pPr>
        <w:pStyle w:val="Nadpis2"/>
        <w:jc w:val="both"/>
        <w:rPr>
          <w:rFonts w:ascii="Calibri" w:hAnsi="Calibri" w:cs="Calibri"/>
          <w:color w:val="000080"/>
        </w:rPr>
      </w:pPr>
    </w:p>
    <w:p w14:paraId="71C5AD68" w14:textId="77777777" w:rsidR="005E300F" w:rsidRDefault="005E300F" w:rsidP="00551939">
      <w:pPr>
        <w:pStyle w:val="Nadpis2"/>
        <w:jc w:val="both"/>
        <w:rPr>
          <w:rFonts w:ascii="Calibri" w:hAnsi="Calibri" w:cs="Calibri"/>
          <w:color w:val="000080"/>
        </w:rPr>
      </w:pPr>
    </w:p>
    <w:p w14:paraId="0B24C559" w14:textId="77777777" w:rsidR="005E300F" w:rsidRDefault="005E300F" w:rsidP="00551939">
      <w:pPr>
        <w:pStyle w:val="Nadpis2"/>
        <w:jc w:val="both"/>
        <w:rPr>
          <w:rFonts w:ascii="Calibri" w:hAnsi="Calibri" w:cs="Calibri"/>
          <w:color w:val="000080"/>
        </w:rPr>
      </w:pPr>
    </w:p>
    <w:p w14:paraId="329719BE" w14:textId="77777777" w:rsidR="005E300F" w:rsidRDefault="005E300F" w:rsidP="00551939">
      <w:pPr>
        <w:pStyle w:val="Nadpis2"/>
        <w:jc w:val="both"/>
        <w:rPr>
          <w:rFonts w:ascii="Calibri" w:hAnsi="Calibri" w:cs="Calibri"/>
          <w:color w:val="000080"/>
        </w:rPr>
      </w:pPr>
    </w:p>
    <w:p w14:paraId="051EA15F" w14:textId="77777777" w:rsidR="005E300F" w:rsidRDefault="005E300F" w:rsidP="00551939">
      <w:pPr>
        <w:pStyle w:val="Nadpis2"/>
        <w:jc w:val="both"/>
        <w:rPr>
          <w:rFonts w:ascii="Calibri" w:hAnsi="Calibri" w:cs="Calibri"/>
          <w:color w:val="000080"/>
        </w:rPr>
      </w:pPr>
    </w:p>
    <w:p w14:paraId="54029EFA" w14:textId="1F160911" w:rsidR="00E62EDD" w:rsidRPr="00551939" w:rsidRDefault="00551939" w:rsidP="00551939">
      <w:pPr>
        <w:pStyle w:val="Nadpis2"/>
        <w:jc w:val="both"/>
        <w:rPr>
          <w:rFonts w:ascii="Calibri" w:hAnsi="Calibri" w:cs="Calibri"/>
        </w:rPr>
      </w:pPr>
      <w:r w:rsidRPr="00121894">
        <w:rPr>
          <w:rFonts w:ascii="Calibri" w:hAnsi="Calibri" w:cs="Calibri"/>
          <w:color w:val="000080"/>
        </w:rPr>
        <w:lastRenderedPageBreak/>
        <w:t>Program 14: Strategická podpora verejného života a rozvoja regiónu</w:t>
      </w:r>
    </w:p>
    <w:tbl>
      <w:tblPr>
        <w:tblW w:w="5011" w:type="pct"/>
        <w:tblCellSpacing w:w="15" w:type="dxa"/>
        <w:tblInd w:w="-23"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66"/>
        <w:gridCol w:w="1027"/>
        <w:gridCol w:w="1026"/>
        <w:gridCol w:w="1824"/>
        <w:gridCol w:w="573"/>
        <w:gridCol w:w="573"/>
        <w:gridCol w:w="649"/>
        <w:gridCol w:w="573"/>
        <w:gridCol w:w="572"/>
        <w:gridCol w:w="31"/>
        <w:gridCol w:w="649"/>
        <w:gridCol w:w="573"/>
        <w:gridCol w:w="573"/>
        <w:gridCol w:w="664"/>
      </w:tblGrid>
      <w:tr w:rsidR="00E62EDD" w:rsidRPr="007F31C9" w14:paraId="3D79A69D" w14:textId="77777777" w:rsidTr="00411DC9">
        <w:trPr>
          <w:trHeight w:hRule="exact" w:val="284"/>
          <w:tblCellSpacing w:w="15" w:type="dxa"/>
        </w:trPr>
        <w:tc>
          <w:tcPr>
            <w:tcW w:w="4971" w:type="pct"/>
            <w:gridSpan w:val="14"/>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399C726" w14:textId="77777777" w:rsidR="00E62EDD" w:rsidRPr="007F31C9" w:rsidRDefault="00E62EDD" w:rsidP="00411DC9">
            <w:pPr>
              <w:jc w:val="center"/>
              <w:rPr>
                <w:rFonts w:eastAsia="Times New Roman" w:cstheme="minorHAnsi"/>
              </w:rPr>
            </w:pPr>
            <w:r w:rsidRPr="007F31C9">
              <w:rPr>
                <w:rFonts w:eastAsia="Times New Roman" w:cstheme="minorHAnsi"/>
                <w:b/>
                <w:bCs/>
                <w:i/>
                <w:iCs/>
              </w:rPr>
              <w:t>Rozpočet v EUR</w:t>
            </w:r>
          </w:p>
        </w:tc>
      </w:tr>
      <w:tr w:rsidR="00E62EDD" w:rsidRPr="007F31C9" w14:paraId="6607809D" w14:textId="77777777" w:rsidTr="00411DC9">
        <w:trPr>
          <w:trHeight w:hRule="exact" w:val="284"/>
          <w:tblCellSpacing w:w="15" w:type="dxa"/>
        </w:trPr>
        <w:tc>
          <w:tcPr>
            <w:tcW w:w="648"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EF9BC82" w14:textId="77777777" w:rsidR="00E62EDD" w:rsidRPr="007F31C9" w:rsidRDefault="00E62EDD" w:rsidP="00411DC9">
            <w:pPr>
              <w:rPr>
                <w:rFonts w:eastAsia="Times New Roman" w:cstheme="minorHAnsi"/>
              </w:rPr>
            </w:pPr>
            <w:r w:rsidRPr="007F31C9">
              <w:rPr>
                <w:rFonts w:eastAsia="Times New Roman" w:cstheme="minorHAnsi"/>
                <w:b/>
                <w:bCs/>
                <w:sz w:val="20"/>
                <w:szCs w:val="20"/>
              </w:rPr>
              <w:t>EK</w:t>
            </w:r>
          </w:p>
        </w:tc>
        <w:tc>
          <w:tcPr>
            <w:tcW w:w="1079" w:type="pct"/>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DC1C182" w14:textId="77777777" w:rsidR="00E62EDD" w:rsidRPr="007F31C9" w:rsidRDefault="00E62EDD" w:rsidP="00411DC9">
            <w:pPr>
              <w:rPr>
                <w:rFonts w:eastAsia="Times New Roman" w:cstheme="minorHAnsi"/>
              </w:rPr>
            </w:pPr>
            <w:r w:rsidRPr="007F31C9">
              <w:rPr>
                <w:rFonts w:eastAsia="Times New Roman" w:cstheme="minorHAnsi"/>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D2982DA"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4</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C8DAAE1"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E150BB"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BE2EB59"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6</w:t>
            </w:r>
          </w:p>
        </w:tc>
        <w:tc>
          <w:tcPr>
            <w:tcW w:w="310" w:type="pct"/>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B6BB83B"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E8795DB"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28CFE60"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w:t>
            </w:r>
          </w:p>
        </w:tc>
      </w:tr>
      <w:tr w:rsidR="00E62EDD" w:rsidRPr="007F31C9" w14:paraId="7AD8C097" w14:textId="77777777" w:rsidTr="00411DC9">
        <w:trPr>
          <w:trHeight w:hRule="exact" w:val="284"/>
          <w:tblCellSpacing w:w="15" w:type="dxa"/>
        </w:trPr>
        <w:tc>
          <w:tcPr>
            <w:tcW w:w="64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8DDFBC6" w14:textId="77777777" w:rsidR="00E62EDD" w:rsidRPr="007F31C9" w:rsidRDefault="00E62EDD" w:rsidP="00411DC9">
            <w:pPr>
              <w:jc w:val="center"/>
              <w:rPr>
                <w:rFonts w:eastAsia="Times New Roman" w:cstheme="minorHAnsi"/>
              </w:rPr>
            </w:pP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710B49F" w14:textId="77777777" w:rsidR="00E62EDD" w:rsidRPr="007F31C9" w:rsidRDefault="00E62EDD" w:rsidP="00411DC9">
            <w:pPr>
              <w:rPr>
                <w:rFonts w:eastAsia="Times New Roman" w:cstheme="minorHAnsi"/>
                <w:sz w:val="24"/>
                <w:szCs w:val="24"/>
              </w:rPr>
            </w:pPr>
            <w:r w:rsidRPr="007F31C9">
              <w:rPr>
                <w:rFonts w:eastAsia="Times New Roman" w:cstheme="minorHAnsi"/>
                <w:b/>
                <w:bCs/>
                <w:sz w:val="20"/>
                <w:szCs w:val="20"/>
              </w:rPr>
              <w:t>Výdavky celkom</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6EDFB80"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1 000 000,00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2D618C5"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1 000 000,00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3A810B0B"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547" w:type="pct"/>
            <w:gridSpan w:val="3"/>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39177CC"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1 000 000,00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7EAD7591"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F843F2C"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1 000 000,00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6F7872CB" w14:textId="77777777" w:rsidR="00E62EDD" w:rsidRPr="00755BB5"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r>
      <w:tr w:rsidR="00E62EDD" w:rsidRPr="007F31C9" w14:paraId="02077CC3" w14:textId="77777777" w:rsidTr="00411DC9">
        <w:trPr>
          <w:trHeight w:hRule="exact" w:val="284"/>
          <w:tblCellSpacing w:w="15" w:type="dxa"/>
        </w:trPr>
        <w:tc>
          <w:tcPr>
            <w:tcW w:w="648"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6161F4" w14:textId="77777777" w:rsidR="00E62EDD" w:rsidRPr="007F31C9" w:rsidRDefault="00E62EDD" w:rsidP="00411DC9">
            <w:pPr>
              <w:rPr>
                <w:rFonts w:eastAsia="Times New Roman" w:cstheme="minorHAnsi"/>
              </w:rPr>
            </w:pPr>
            <w:r w:rsidRPr="007F31C9">
              <w:rPr>
                <w:rFonts w:eastAsia="Times New Roman" w:cstheme="minorHAnsi"/>
                <w:b/>
                <w:bCs/>
                <w:sz w:val="20"/>
                <w:szCs w:val="20"/>
              </w:rPr>
              <w:t>600</w:t>
            </w:r>
            <w:r w:rsidRPr="007F31C9">
              <w:rPr>
                <w:rFonts w:eastAsia="Times New Roman" w:cstheme="minorHAnsi"/>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F7CCA4" w14:textId="77777777" w:rsidR="00E62EDD" w:rsidRPr="007F31C9" w:rsidRDefault="00E62EDD" w:rsidP="00411DC9">
            <w:pPr>
              <w:rPr>
                <w:rFonts w:eastAsia="Times New Roman" w:cstheme="minorHAnsi"/>
              </w:rPr>
            </w:pPr>
            <w:r w:rsidRPr="007F31C9">
              <w:rPr>
                <w:rFonts w:eastAsia="Times New Roman" w:cstheme="minorHAnsi"/>
                <w:b/>
                <w:bCs/>
                <w:sz w:val="20"/>
                <w:szCs w:val="20"/>
              </w:rPr>
              <w:t>Bežné výdavky</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F72AB37"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1 000 000,00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D1F055E"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1 000 000,00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6A1DBD50"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1F4A1EC"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1 000 000,00</w:t>
            </w:r>
          </w:p>
        </w:tc>
        <w:tc>
          <w:tcPr>
            <w:tcW w:w="310" w:type="pct"/>
            <w:gridSpan w:val="2"/>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70F497E0"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2734E9A"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1 000 000,00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4C9B6F3E" w14:textId="77777777" w:rsidR="00E62EDD" w:rsidRPr="00755BB5"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r>
      <w:tr w:rsidR="00E62EDD" w:rsidRPr="007F31C9" w14:paraId="3319A60F" w14:textId="77777777" w:rsidTr="00411DC9">
        <w:trPr>
          <w:trHeight w:hRule="exact" w:val="284"/>
          <w:tblCellSpacing w:w="15" w:type="dxa"/>
        </w:trPr>
        <w:tc>
          <w:tcPr>
            <w:tcW w:w="648" w:type="pct"/>
            <w:tcBorders>
              <w:top w:val="outset" w:sz="6" w:space="0" w:color="000000"/>
              <w:left w:val="outset" w:sz="6" w:space="0" w:color="000000"/>
              <w:bottom w:val="outset" w:sz="6" w:space="0" w:color="000000"/>
              <w:right w:val="outset" w:sz="6" w:space="0" w:color="000000"/>
            </w:tcBorders>
            <w:noWrap/>
            <w:vAlign w:val="center"/>
            <w:hideMark/>
          </w:tcPr>
          <w:p w14:paraId="7449F325" w14:textId="77777777" w:rsidR="00E62EDD" w:rsidRPr="007F31C9" w:rsidRDefault="00E62EDD" w:rsidP="00411DC9">
            <w:pPr>
              <w:rPr>
                <w:rFonts w:eastAsia="Times New Roman" w:cstheme="minorHAnsi"/>
              </w:rPr>
            </w:pPr>
            <w:r w:rsidRPr="007F31C9">
              <w:rPr>
                <w:rFonts w:eastAsia="Times New Roman" w:cstheme="minorHAnsi"/>
                <w:sz w:val="20"/>
                <w:szCs w:val="20"/>
              </w:rPr>
              <w:t>640</w:t>
            </w:r>
            <w:r w:rsidRPr="007F31C9">
              <w:rPr>
                <w:rFonts w:eastAsia="Times New Roman" w:cstheme="minorHAnsi"/>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14:paraId="5401B606" w14:textId="77777777" w:rsidR="00E62EDD" w:rsidRPr="007F31C9" w:rsidRDefault="00E62EDD" w:rsidP="00411DC9">
            <w:pPr>
              <w:rPr>
                <w:rFonts w:eastAsia="Times New Roman" w:cstheme="minorHAnsi"/>
              </w:rPr>
            </w:pPr>
            <w:r w:rsidRPr="007F31C9">
              <w:rPr>
                <w:rFonts w:eastAsia="Times New Roman" w:cstheme="minorHAnsi"/>
                <w:sz w:val="20"/>
                <w:szCs w:val="20"/>
              </w:rPr>
              <w:t>Bežné transfery</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0B0DE04" w14:textId="77777777" w:rsidR="00E62EDD" w:rsidRPr="00571BA6" w:rsidRDefault="00E62EDD" w:rsidP="00411DC9">
            <w:pPr>
              <w:jc w:val="right"/>
              <w:rPr>
                <w:rFonts w:eastAsia="Times New Roman" w:cstheme="minorHAnsi"/>
                <w:sz w:val="20"/>
                <w:szCs w:val="20"/>
              </w:rPr>
            </w:pPr>
            <w:r w:rsidRPr="00571BA6">
              <w:rPr>
                <w:rFonts w:ascii="Calibri" w:hAnsi="Calibri" w:cs="Calibri"/>
                <w:sz w:val="20"/>
                <w:szCs w:val="20"/>
              </w:rPr>
              <w:t>1 000 000,00</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hideMark/>
          </w:tcPr>
          <w:p w14:paraId="7C42377C" w14:textId="77777777" w:rsidR="00E62EDD" w:rsidRPr="00571BA6" w:rsidRDefault="00E62EDD" w:rsidP="00411DC9">
            <w:pPr>
              <w:jc w:val="right"/>
              <w:rPr>
                <w:rFonts w:eastAsia="Times New Roman" w:cstheme="minorHAnsi"/>
                <w:sz w:val="20"/>
                <w:szCs w:val="20"/>
              </w:rPr>
            </w:pPr>
            <w:r w:rsidRPr="00571BA6">
              <w:rPr>
                <w:rFonts w:ascii="Calibri" w:hAnsi="Calibri" w:cs="Calibri"/>
                <w:sz w:val="20"/>
                <w:szCs w:val="20"/>
              </w:rPr>
              <w:t>1 000 000,00</w:t>
            </w:r>
          </w:p>
        </w:tc>
        <w:tc>
          <w:tcPr>
            <w:tcW w:w="296" w:type="pct"/>
            <w:tcBorders>
              <w:top w:val="outset" w:sz="6" w:space="0" w:color="000000"/>
              <w:left w:val="outset" w:sz="6" w:space="0" w:color="000000"/>
              <w:bottom w:val="outset" w:sz="6" w:space="0" w:color="000000"/>
              <w:right w:val="outset" w:sz="6" w:space="0" w:color="000000"/>
            </w:tcBorders>
            <w:noWrap/>
            <w:vAlign w:val="center"/>
          </w:tcPr>
          <w:p w14:paraId="13578FCD" w14:textId="77777777" w:rsidR="00E62EDD" w:rsidRPr="00571BA6" w:rsidRDefault="00E62EDD" w:rsidP="00411DC9">
            <w:pPr>
              <w:jc w:val="right"/>
              <w:rPr>
                <w:rFonts w:eastAsia="Times New Roman" w:cstheme="minorHAnsi"/>
                <w:sz w:val="20"/>
                <w:szCs w:val="20"/>
              </w:rPr>
            </w:pPr>
            <w:r w:rsidRPr="00571BA6">
              <w:rPr>
                <w:rFonts w:ascii="Calibri" w:hAnsi="Calibri" w:cs="Calibri"/>
                <w:sz w:val="20"/>
                <w:szCs w:val="20"/>
              </w:rPr>
              <w:t>100,00</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hideMark/>
          </w:tcPr>
          <w:p w14:paraId="213479C6" w14:textId="77777777" w:rsidR="00E62EDD" w:rsidRPr="00571BA6" w:rsidRDefault="00E62EDD" w:rsidP="00411DC9">
            <w:pPr>
              <w:jc w:val="right"/>
              <w:rPr>
                <w:rFonts w:eastAsia="Times New Roman" w:cstheme="minorHAnsi"/>
                <w:sz w:val="20"/>
                <w:szCs w:val="20"/>
              </w:rPr>
            </w:pPr>
            <w:r w:rsidRPr="00571BA6">
              <w:rPr>
                <w:rFonts w:ascii="Calibri" w:hAnsi="Calibri" w:cs="Calibri"/>
                <w:sz w:val="20"/>
                <w:szCs w:val="20"/>
              </w:rPr>
              <w:t>1 000 000,00</w:t>
            </w:r>
          </w:p>
        </w:tc>
        <w:tc>
          <w:tcPr>
            <w:tcW w:w="310" w:type="pct"/>
            <w:gridSpan w:val="2"/>
            <w:tcBorders>
              <w:top w:val="outset" w:sz="6" w:space="0" w:color="000000"/>
              <w:left w:val="outset" w:sz="6" w:space="0" w:color="000000"/>
              <w:bottom w:val="outset" w:sz="6" w:space="0" w:color="000000"/>
              <w:right w:val="outset" w:sz="6" w:space="0" w:color="000000"/>
            </w:tcBorders>
            <w:noWrap/>
            <w:vAlign w:val="center"/>
          </w:tcPr>
          <w:p w14:paraId="753073A6" w14:textId="77777777" w:rsidR="00E62EDD" w:rsidRPr="00571BA6" w:rsidRDefault="00E62EDD" w:rsidP="00411DC9">
            <w:pPr>
              <w:jc w:val="right"/>
              <w:rPr>
                <w:rFonts w:eastAsia="Times New Roman" w:cstheme="minorHAnsi"/>
                <w:sz w:val="20"/>
                <w:szCs w:val="20"/>
              </w:rPr>
            </w:pPr>
            <w:r w:rsidRPr="00571BA6">
              <w:rPr>
                <w:rFonts w:ascii="Calibri" w:hAnsi="Calibri" w:cs="Calibri"/>
                <w:sz w:val="20"/>
                <w:szCs w:val="20"/>
              </w:rPr>
              <w:t>100,00</w:t>
            </w:r>
          </w:p>
        </w:tc>
        <w:tc>
          <w:tcPr>
            <w:tcW w:w="0" w:type="auto"/>
            <w:gridSpan w:val="2"/>
            <w:tcBorders>
              <w:top w:val="outset" w:sz="6" w:space="0" w:color="000000"/>
              <w:left w:val="outset" w:sz="6" w:space="0" w:color="000000"/>
              <w:bottom w:val="outset" w:sz="6" w:space="0" w:color="000000"/>
              <w:right w:val="outset" w:sz="6" w:space="0" w:color="000000"/>
            </w:tcBorders>
            <w:noWrap/>
            <w:vAlign w:val="center"/>
            <w:hideMark/>
          </w:tcPr>
          <w:p w14:paraId="5ED19586" w14:textId="77777777" w:rsidR="00E62EDD" w:rsidRPr="00571BA6" w:rsidRDefault="00E62EDD" w:rsidP="00411DC9">
            <w:pPr>
              <w:jc w:val="right"/>
              <w:rPr>
                <w:rFonts w:eastAsia="Times New Roman" w:cstheme="minorHAnsi"/>
                <w:sz w:val="20"/>
                <w:szCs w:val="20"/>
              </w:rPr>
            </w:pPr>
            <w:r w:rsidRPr="00571BA6">
              <w:rPr>
                <w:rFonts w:ascii="Calibri" w:hAnsi="Calibri" w:cs="Calibri"/>
                <w:sz w:val="20"/>
                <w:szCs w:val="20"/>
              </w:rPr>
              <w:t>1 000 000,00</w:t>
            </w:r>
          </w:p>
        </w:tc>
        <w:tc>
          <w:tcPr>
            <w:tcW w:w="296" w:type="pct"/>
            <w:tcBorders>
              <w:top w:val="outset" w:sz="6" w:space="0" w:color="000000"/>
              <w:left w:val="outset" w:sz="6" w:space="0" w:color="000000"/>
              <w:bottom w:val="outset" w:sz="6" w:space="0" w:color="000000"/>
              <w:right w:val="outset" w:sz="6" w:space="0" w:color="000000"/>
            </w:tcBorders>
            <w:noWrap/>
            <w:vAlign w:val="center"/>
          </w:tcPr>
          <w:p w14:paraId="29621703" w14:textId="77777777" w:rsidR="00E62EDD" w:rsidRPr="00571BA6" w:rsidRDefault="00E62EDD" w:rsidP="00411DC9">
            <w:pPr>
              <w:jc w:val="right"/>
              <w:rPr>
                <w:rFonts w:eastAsia="Times New Roman" w:cstheme="minorHAnsi"/>
                <w:sz w:val="20"/>
                <w:szCs w:val="20"/>
              </w:rPr>
            </w:pPr>
            <w:r w:rsidRPr="00571BA6">
              <w:rPr>
                <w:rFonts w:ascii="Calibri" w:hAnsi="Calibri" w:cs="Calibri"/>
                <w:sz w:val="20"/>
                <w:szCs w:val="20"/>
              </w:rPr>
              <w:t>100,00</w:t>
            </w:r>
          </w:p>
        </w:tc>
      </w:tr>
      <w:tr w:rsidR="00E62EDD" w:rsidRPr="007F31C9" w14:paraId="1F959E2F" w14:textId="77777777" w:rsidTr="00411DC9">
        <w:trPr>
          <w:trHeight w:hRule="exact" w:val="284"/>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7A044A5D" w14:textId="77777777" w:rsidR="00E62EDD" w:rsidRPr="007F31C9" w:rsidRDefault="00E62EDD" w:rsidP="00411DC9">
            <w:pPr>
              <w:rPr>
                <w:rFonts w:eastAsia="Times New Roman" w:cstheme="minorHAnsi"/>
              </w:rPr>
            </w:pPr>
            <w:r w:rsidRPr="007F31C9">
              <w:rPr>
                <w:rFonts w:eastAsia="Times New Roman" w:cstheme="minorHAnsi"/>
                <w:b/>
                <w:bCs/>
              </w:rPr>
              <w:t>Cieľ</w:t>
            </w:r>
          </w:p>
        </w:tc>
        <w:tc>
          <w:tcPr>
            <w:tcW w:w="0" w:type="auto"/>
            <w:gridSpan w:val="1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1A5C57A" w14:textId="77777777" w:rsidR="00E62EDD" w:rsidRPr="007F31C9" w:rsidRDefault="00E62EDD" w:rsidP="00411DC9">
            <w:pPr>
              <w:rPr>
                <w:rFonts w:eastAsia="Times New Roman" w:cstheme="minorHAnsi"/>
              </w:rPr>
            </w:pPr>
            <w:r w:rsidRPr="007F31C9">
              <w:rPr>
                <w:rFonts w:eastAsia="Times New Roman" w:cstheme="minorHAnsi"/>
                <w:b/>
                <w:bCs/>
              </w:rPr>
              <w:t>Zabezpečiť atraktívnosť hromadnej autobusovej dopravy</w:t>
            </w:r>
            <w:r w:rsidRPr="00092557">
              <w:rPr>
                <w:rFonts w:ascii="Calibri" w:hAnsi="Calibri" w:cs="Calibri"/>
                <w:b/>
                <w:bCs/>
                <w:sz w:val="20"/>
                <w:szCs w:val="20"/>
              </w:rPr>
              <w:t xml:space="preserve"> Poskytnutá podpora v EUR na obyvateľa BSK</w:t>
            </w:r>
          </w:p>
        </w:tc>
      </w:tr>
      <w:tr w:rsidR="00E62EDD" w:rsidRPr="007F31C9" w14:paraId="63650AA0" w14:textId="77777777" w:rsidTr="00411DC9">
        <w:trPr>
          <w:trHeight w:hRule="exact" w:val="284"/>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9E221C7" w14:textId="77777777" w:rsidR="00E62EDD" w:rsidRPr="007F31C9" w:rsidRDefault="00E62EDD" w:rsidP="00411DC9">
            <w:pPr>
              <w:rPr>
                <w:rFonts w:eastAsia="Times New Roman" w:cstheme="minorHAnsi"/>
              </w:rPr>
            </w:pPr>
            <w:r w:rsidRPr="007F31C9">
              <w:rPr>
                <w:rFonts w:eastAsia="Times New Roman" w:cstheme="minorHAnsi"/>
                <w:b/>
                <w:bCs/>
              </w:rPr>
              <w:t>Merateľný ukazovateľ</w:t>
            </w:r>
          </w:p>
        </w:tc>
        <w:tc>
          <w:tcPr>
            <w:tcW w:w="0" w:type="auto"/>
            <w:gridSpan w:val="1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336ABAF" w14:textId="77777777" w:rsidR="00E62EDD" w:rsidRPr="007F31C9" w:rsidRDefault="00E62EDD" w:rsidP="00411DC9">
            <w:pPr>
              <w:rPr>
                <w:rFonts w:eastAsia="Times New Roman" w:cstheme="minorHAnsi"/>
              </w:rPr>
            </w:pPr>
            <w:r w:rsidRPr="00092557">
              <w:rPr>
                <w:rFonts w:ascii="Calibri" w:hAnsi="Calibri" w:cs="Calibri"/>
                <w:sz w:val="20"/>
                <w:szCs w:val="20"/>
              </w:rPr>
              <w:t>Poskytnutá podpora v EUR na obyvateľa BSK</w:t>
            </w:r>
            <w:r w:rsidRPr="007F31C9">
              <w:rPr>
                <w:rFonts w:eastAsia="Times New Roman" w:cstheme="minorHAnsi"/>
              </w:rPr>
              <w:t xml:space="preserve"> </w:t>
            </w:r>
          </w:p>
        </w:tc>
      </w:tr>
      <w:tr w:rsidR="00E62EDD" w:rsidRPr="007F31C9" w14:paraId="6994C902" w14:textId="77777777" w:rsidTr="00411DC9">
        <w:trPr>
          <w:trHeight w:hRule="exact" w:val="284"/>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65582DB" w14:textId="77777777" w:rsidR="00E62EDD" w:rsidRPr="007F31C9" w:rsidRDefault="00E62EDD" w:rsidP="00411DC9">
            <w:pPr>
              <w:rPr>
                <w:rFonts w:eastAsia="Times New Roman" w:cstheme="minorHAnsi"/>
              </w:rPr>
            </w:pPr>
            <w:r w:rsidRPr="007F31C9">
              <w:rPr>
                <w:rFonts w:eastAsia="Times New Roman" w:cstheme="minorHAnsi"/>
                <w:b/>
                <w:bCs/>
              </w:rPr>
              <w:t>Rok</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989D72A" w14:textId="77777777" w:rsidR="00E62EDD" w:rsidRPr="007F31C9" w:rsidRDefault="00E62EDD" w:rsidP="00411DC9">
            <w:pPr>
              <w:jc w:val="center"/>
              <w:rPr>
                <w:rFonts w:eastAsia="Times New Roman" w:cstheme="minorHAnsi"/>
              </w:rPr>
            </w:pPr>
            <w:r w:rsidRPr="007F31C9">
              <w:rPr>
                <w:rFonts w:eastAsia="Times New Roman" w:cstheme="minorHAnsi"/>
              </w:rPr>
              <w:t>202</w:t>
            </w:r>
            <w:r>
              <w:rPr>
                <w:rFonts w:eastAsia="Times New Roman" w:cstheme="minorHAnsi"/>
              </w:rPr>
              <w:t>4</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810244D" w14:textId="77777777" w:rsidR="00E62EDD" w:rsidRPr="007F31C9" w:rsidRDefault="00E62EDD" w:rsidP="00411DC9">
            <w:pPr>
              <w:jc w:val="center"/>
              <w:rPr>
                <w:rFonts w:eastAsia="Times New Roman" w:cstheme="minorHAnsi"/>
              </w:rPr>
            </w:pPr>
            <w:r w:rsidRPr="007F31C9">
              <w:rPr>
                <w:rFonts w:eastAsia="Times New Roman" w:cstheme="minorHAnsi"/>
                <w:b/>
                <w:bCs/>
              </w:rPr>
              <w:t>202</w:t>
            </w:r>
            <w:r>
              <w:rPr>
                <w:rFonts w:eastAsia="Times New Roman" w:cstheme="minorHAnsi"/>
                <w:b/>
                <w:bCs/>
              </w:rPr>
              <w:t>5</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E4D60BB" w14:textId="77777777" w:rsidR="00E62EDD" w:rsidRPr="007F31C9" w:rsidRDefault="00E62EDD" w:rsidP="00411DC9">
            <w:pPr>
              <w:jc w:val="center"/>
              <w:rPr>
                <w:rFonts w:eastAsia="Times New Roman" w:cstheme="minorHAnsi"/>
              </w:rPr>
            </w:pPr>
            <w:r w:rsidRPr="007F31C9">
              <w:rPr>
                <w:rFonts w:eastAsia="Times New Roman" w:cstheme="minorHAnsi"/>
              </w:rPr>
              <w:t>202</w:t>
            </w:r>
            <w:r>
              <w:rPr>
                <w:rFonts w:eastAsia="Times New Roman" w:cstheme="minorHAnsi"/>
              </w:rPr>
              <w:t>6</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2984E012" w14:textId="77777777" w:rsidR="00E62EDD" w:rsidRPr="007F31C9" w:rsidRDefault="00E62EDD" w:rsidP="00411DC9">
            <w:pPr>
              <w:jc w:val="center"/>
              <w:rPr>
                <w:rFonts w:eastAsia="Times New Roman" w:cstheme="minorHAnsi"/>
              </w:rPr>
            </w:pPr>
            <w:r w:rsidRPr="007F31C9">
              <w:rPr>
                <w:rFonts w:eastAsia="Times New Roman" w:cstheme="minorHAnsi"/>
              </w:rPr>
              <w:t>202</w:t>
            </w:r>
            <w:r>
              <w:rPr>
                <w:rFonts w:eastAsia="Times New Roman" w:cstheme="minorHAnsi"/>
              </w:rPr>
              <w:t>7</w:t>
            </w:r>
          </w:p>
        </w:tc>
      </w:tr>
      <w:tr w:rsidR="00E62EDD" w:rsidRPr="007F31C9" w14:paraId="278FA4D1" w14:textId="77777777" w:rsidTr="00411DC9">
        <w:trPr>
          <w:trHeight w:hRule="exact" w:val="284"/>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BF053F5" w14:textId="77777777" w:rsidR="00E62EDD" w:rsidRPr="007F31C9" w:rsidRDefault="00E62EDD" w:rsidP="00411DC9">
            <w:pPr>
              <w:rPr>
                <w:rFonts w:eastAsia="Times New Roman" w:cstheme="minorHAnsi"/>
              </w:rPr>
            </w:pPr>
            <w:r w:rsidRPr="007F31C9">
              <w:rPr>
                <w:rFonts w:eastAsia="Times New Roman" w:cstheme="minorHAnsi"/>
                <w:b/>
                <w:bCs/>
              </w:rPr>
              <w:t>Plánovaná hodnota</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1DD185A5" w14:textId="77777777" w:rsidR="00E62EDD" w:rsidRPr="00637444" w:rsidRDefault="00E62EDD" w:rsidP="00411DC9">
            <w:pPr>
              <w:jc w:val="center"/>
              <w:rPr>
                <w:rFonts w:eastAsia="Times New Roman" w:cstheme="minorHAnsi"/>
              </w:rPr>
            </w:pPr>
            <w:r w:rsidRPr="00637444">
              <w:rPr>
                <w:rFonts w:ascii="Calibri" w:hAnsi="Calibri" w:cs="Calibri"/>
              </w:rPr>
              <w:t>1,38</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0A00C1CB" w14:textId="77777777" w:rsidR="00E62EDD" w:rsidRPr="00637444" w:rsidRDefault="00E62EDD" w:rsidP="00411DC9">
            <w:pPr>
              <w:jc w:val="center"/>
              <w:rPr>
                <w:rFonts w:eastAsia="Times New Roman" w:cstheme="minorHAnsi"/>
              </w:rPr>
            </w:pPr>
            <w:r w:rsidRPr="00637444">
              <w:rPr>
                <w:rFonts w:ascii="Calibri" w:hAnsi="Calibri" w:cs="Calibri"/>
                <w:b/>
                <w:bCs/>
              </w:rPr>
              <w:t>1,37</w:t>
            </w:r>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5A173AB9" w14:textId="77777777" w:rsidR="00E62EDD" w:rsidRPr="00637444" w:rsidRDefault="00E62EDD" w:rsidP="00411DC9">
            <w:pPr>
              <w:jc w:val="center"/>
              <w:rPr>
                <w:rFonts w:eastAsia="Times New Roman" w:cstheme="minorHAnsi"/>
              </w:rPr>
            </w:pPr>
            <w:r w:rsidRPr="00637444">
              <w:rPr>
                <w:rFonts w:ascii="Calibri" w:hAnsi="Calibri" w:cs="Calibri"/>
              </w:rPr>
              <w:t>1,37</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834AAF7" w14:textId="77777777" w:rsidR="00E62EDD" w:rsidRPr="00637444" w:rsidRDefault="00E62EDD" w:rsidP="00411DC9">
            <w:pPr>
              <w:jc w:val="center"/>
              <w:rPr>
                <w:rFonts w:eastAsia="Times New Roman" w:cstheme="minorHAnsi"/>
              </w:rPr>
            </w:pPr>
            <w:r w:rsidRPr="00637444">
              <w:rPr>
                <w:rFonts w:ascii="Calibri" w:hAnsi="Calibri" w:cs="Calibri"/>
              </w:rPr>
              <w:t>1,37</w:t>
            </w:r>
          </w:p>
        </w:tc>
      </w:tr>
    </w:tbl>
    <w:p w14:paraId="0FAEAD96" w14:textId="77777777" w:rsidR="00E62EDD" w:rsidRDefault="00E62EDD" w:rsidP="00E62EDD">
      <w:pPr>
        <w:spacing w:after="0" w:line="240" w:lineRule="auto"/>
        <w:jc w:val="both"/>
        <w:rPr>
          <w:rFonts w:ascii="Calibri" w:hAnsi="Calibri" w:cs="Calibri"/>
          <w:b/>
          <w:bCs/>
          <w:sz w:val="24"/>
          <w:szCs w:val="24"/>
        </w:rPr>
      </w:pPr>
    </w:p>
    <w:p w14:paraId="7D9694DA" w14:textId="4B4420E4" w:rsidR="00E62EDD" w:rsidRPr="00092557" w:rsidRDefault="00E62EDD" w:rsidP="00E62EDD">
      <w:pPr>
        <w:spacing w:after="0" w:line="240" w:lineRule="auto"/>
        <w:jc w:val="both"/>
        <w:rPr>
          <w:rFonts w:ascii="Calibri" w:hAnsi="Calibri" w:cs="Calibri"/>
          <w:sz w:val="24"/>
          <w:szCs w:val="24"/>
        </w:rPr>
      </w:pPr>
      <w:r w:rsidRPr="7EB9D19A">
        <w:rPr>
          <w:rFonts w:ascii="Calibri" w:hAnsi="Calibri" w:cs="Calibri"/>
          <w:b/>
          <w:bCs/>
          <w:sz w:val="24"/>
          <w:szCs w:val="24"/>
        </w:rPr>
        <w:t xml:space="preserve">Komentár: </w:t>
      </w:r>
      <w:r w:rsidRPr="7EB9D19A">
        <w:rPr>
          <w:rFonts w:ascii="Calibri" w:hAnsi="Calibri" w:cs="Calibri"/>
          <w:sz w:val="24"/>
          <w:szCs w:val="24"/>
        </w:rPr>
        <w:t>Výška finančných prostriedkov v dotačnom programe pre rok 2025 je určená vo výške 1 000 000 EUR, čo je v súlade s VZN o poskytovaní dotácií z rozpočtu kraja a spĺňa percentuálny podiel skutočných daňových príjmov BSK predchádzajúceho rozpočtového roka, maximálne do výšky 3,00%.</w:t>
      </w:r>
    </w:p>
    <w:p w14:paraId="14D957A6" w14:textId="77777777" w:rsidR="00E62EDD" w:rsidRDefault="00E62EDD" w:rsidP="00E62EDD">
      <w:pPr>
        <w:rPr>
          <w:rFonts w:ascii="Calibri" w:hAnsi="Calibri" w:cs="Calibri"/>
          <w:b/>
          <w:bCs/>
          <w:color w:val="0033CC"/>
          <w:sz w:val="27"/>
          <w:szCs w:val="27"/>
        </w:rPr>
      </w:pPr>
    </w:p>
    <w:p w14:paraId="710436DF" w14:textId="77777777" w:rsidR="00E62EDD" w:rsidRPr="00C12B41" w:rsidRDefault="00E62EDD" w:rsidP="00E62EDD">
      <w:pPr>
        <w:rPr>
          <w:rFonts w:ascii="Calibri" w:hAnsi="Calibri" w:cs="Calibri"/>
          <w:b/>
          <w:bCs/>
          <w:color w:val="0033CC"/>
          <w:sz w:val="27"/>
          <w:szCs w:val="27"/>
        </w:rPr>
      </w:pPr>
      <w:r w:rsidRPr="00C12B41">
        <w:rPr>
          <w:rFonts w:ascii="Calibri" w:hAnsi="Calibri" w:cs="Calibri"/>
          <w:b/>
          <w:bCs/>
          <w:color w:val="0033CC"/>
          <w:sz w:val="27"/>
          <w:szCs w:val="27"/>
        </w:rPr>
        <w:t xml:space="preserve">Podprogram 14.1: Bratislavská regionálna dotačná schéma </w:t>
      </w:r>
    </w:p>
    <w:p w14:paraId="49B9F25C" w14:textId="77777777" w:rsidR="00E62EDD" w:rsidRDefault="00E62EDD" w:rsidP="00E62EDD">
      <w:pPr>
        <w:rPr>
          <w:rFonts w:ascii="Calibri" w:hAnsi="Calibri" w:cs="Calibri"/>
          <w:sz w:val="24"/>
          <w:szCs w:val="24"/>
        </w:rPr>
      </w:pPr>
      <w:r w:rsidRPr="00092557">
        <w:rPr>
          <w:rFonts w:ascii="Calibri" w:hAnsi="Calibri" w:cs="Calibri"/>
          <w:b/>
          <w:bCs/>
          <w:sz w:val="24"/>
          <w:szCs w:val="24"/>
        </w:rPr>
        <w:t xml:space="preserve">Zámer: </w:t>
      </w:r>
      <w:r w:rsidRPr="00092557">
        <w:rPr>
          <w:rFonts w:ascii="Calibri" w:hAnsi="Calibri" w:cs="Calibri"/>
          <w:sz w:val="24"/>
          <w:szCs w:val="24"/>
        </w:rPr>
        <w:t>Podprogram umožní podporu žiadateľov</w:t>
      </w:r>
    </w:p>
    <w:tbl>
      <w:tblPr>
        <w:tblW w:w="5011" w:type="pct"/>
        <w:tblCellSpacing w:w="15" w:type="dxa"/>
        <w:tblInd w:w="-23"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12"/>
        <w:gridCol w:w="2227"/>
        <w:gridCol w:w="1458"/>
        <w:gridCol w:w="1458"/>
        <w:gridCol w:w="649"/>
        <w:gridCol w:w="1458"/>
        <w:gridCol w:w="30"/>
        <w:gridCol w:w="659"/>
        <w:gridCol w:w="1458"/>
        <w:gridCol w:w="664"/>
      </w:tblGrid>
      <w:tr w:rsidR="00E62EDD" w:rsidRPr="007F31C9" w14:paraId="22DDFB26" w14:textId="77777777" w:rsidTr="00411DC9">
        <w:trPr>
          <w:trHeight w:hRule="exact" w:val="284"/>
          <w:tblCellSpacing w:w="15" w:type="dxa"/>
        </w:trPr>
        <w:tc>
          <w:tcPr>
            <w:tcW w:w="4971" w:type="pct"/>
            <w:gridSpan w:val="10"/>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D939C3E" w14:textId="77777777" w:rsidR="00E62EDD" w:rsidRPr="007F31C9" w:rsidRDefault="00E62EDD" w:rsidP="00411DC9">
            <w:pPr>
              <w:jc w:val="center"/>
              <w:rPr>
                <w:rFonts w:eastAsia="Times New Roman" w:cstheme="minorHAnsi"/>
              </w:rPr>
            </w:pPr>
            <w:r w:rsidRPr="007F31C9">
              <w:rPr>
                <w:rFonts w:eastAsia="Times New Roman" w:cstheme="minorHAnsi"/>
                <w:b/>
                <w:bCs/>
                <w:i/>
                <w:iCs/>
              </w:rPr>
              <w:t>Rozpočet v EUR</w:t>
            </w:r>
          </w:p>
        </w:tc>
      </w:tr>
      <w:tr w:rsidR="00E62EDD" w:rsidRPr="007F31C9" w14:paraId="1FDD2771" w14:textId="77777777" w:rsidTr="00411DC9">
        <w:trPr>
          <w:trHeight w:hRule="exact" w:val="284"/>
          <w:tblCellSpacing w:w="15" w:type="dxa"/>
        </w:trPr>
        <w:tc>
          <w:tcPr>
            <w:tcW w:w="18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8F8A7C3" w14:textId="77777777" w:rsidR="00E62EDD" w:rsidRPr="007F31C9" w:rsidRDefault="00E62EDD" w:rsidP="00411DC9">
            <w:pPr>
              <w:rPr>
                <w:rFonts w:eastAsia="Times New Roman" w:cstheme="minorHAnsi"/>
              </w:rPr>
            </w:pPr>
            <w:r w:rsidRPr="007F31C9">
              <w:rPr>
                <w:rFonts w:eastAsia="Times New Roman" w:cstheme="minorHAnsi"/>
                <w:b/>
                <w:bCs/>
                <w:sz w:val="20"/>
                <w:szCs w:val="20"/>
              </w:rPr>
              <w:t>EK</w:t>
            </w:r>
          </w:p>
        </w:tc>
        <w:tc>
          <w:tcPr>
            <w:tcW w:w="107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648BE34" w14:textId="77777777" w:rsidR="00E62EDD" w:rsidRPr="007F31C9" w:rsidRDefault="00E62EDD" w:rsidP="00411DC9">
            <w:pPr>
              <w:rPr>
                <w:rFonts w:eastAsia="Times New Roman" w:cstheme="minorHAnsi"/>
              </w:rPr>
            </w:pPr>
            <w:r w:rsidRPr="007F31C9">
              <w:rPr>
                <w:rFonts w:eastAsia="Times New Roman" w:cstheme="minorHAnsi"/>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FB5ACFB"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7B9D5BA"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F49116B"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12E0F56"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6</w:t>
            </w:r>
          </w:p>
        </w:tc>
        <w:tc>
          <w:tcPr>
            <w:tcW w:w="310" w:type="pct"/>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F0F2B70"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4022F52"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2DE2925"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w:t>
            </w:r>
          </w:p>
        </w:tc>
      </w:tr>
      <w:tr w:rsidR="00E62EDD" w:rsidRPr="007F31C9" w14:paraId="2BAE71DD" w14:textId="77777777" w:rsidTr="00411DC9">
        <w:trPr>
          <w:trHeight w:hRule="exact" w:val="284"/>
          <w:tblCellSpacing w:w="15" w:type="dxa"/>
        </w:trPr>
        <w:tc>
          <w:tcPr>
            <w:tcW w:w="18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23ED9F9" w14:textId="77777777" w:rsidR="00E62EDD" w:rsidRPr="007F31C9" w:rsidRDefault="00E62EDD" w:rsidP="00411DC9">
            <w:pPr>
              <w:jc w:val="center"/>
              <w:rPr>
                <w:rFonts w:eastAsia="Times New Roman" w:cstheme="minorHAnsi"/>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03CC740" w14:textId="77777777" w:rsidR="00E62EDD" w:rsidRPr="007F31C9" w:rsidRDefault="00E62EDD" w:rsidP="00411DC9">
            <w:pPr>
              <w:rPr>
                <w:rFonts w:eastAsia="Times New Roman" w:cstheme="minorHAnsi"/>
                <w:sz w:val="24"/>
                <w:szCs w:val="24"/>
              </w:rPr>
            </w:pPr>
            <w:r w:rsidRPr="007F31C9">
              <w:rPr>
                <w:rFonts w:eastAsia="Times New Roman" w:cstheme="minorHAnsi"/>
                <w:b/>
                <w:bCs/>
                <w:sz w:val="20"/>
                <w:szCs w:val="20"/>
              </w:rPr>
              <w:t>Výdavky celkom</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6B4B904"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750 000,00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2ACC56"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750 000,00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1AEDB8B7"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476" w:type="pct"/>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2CD4042C"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750 000,00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5CB0CE98"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5F2896B"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750 000,00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448E8C70" w14:textId="77777777" w:rsidR="00E62EDD" w:rsidRPr="00755BB5"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r>
      <w:tr w:rsidR="00E62EDD" w:rsidRPr="007F31C9" w14:paraId="40FC7921" w14:textId="77777777" w:rsidTr="00411DC9">
        <w:trPr>
          <w:trHeight w:hRule="exact" w:val="284"/>
          <w:tblCellSpacing w:w="15" w:type="dxa"/>
        </w:trPr>
        <w:tc>
          <w:tcPr>
            <w:tcW w:w="18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E530892" w14:textId="77777777" w:rsidR="00E62EDD" w:rsidRPr="007F31C9" w:rsidRDefault="00E62EDD" w:rsidP="00411DC9">
            <w:pPr>
              <w:rPr>
                <w:rFonts w:eastAsia="Times New Roman" w:cstheme="minorHAnsi"/>
              </w:rPr>
            </w:pPr>
            <w:r w:rsidRPr="007F31C9">
              <w:rPr>
                <w:rFonts w:eastAsia="Times New Roman" w:cstheme="minorHAnsi"/>
                <w:b/>
                <w:bCs/>
                <w:sz w:val="20"/>
                <w:szCs w:val="20"/>
              </w:rPr>
              <w:t>600</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327CA859" w14:textId="77777777" w:rsidR="00E62EDD" w:rsidRPr="007F31C9" w:rsidRDefault="00E62EDD" w:rsidP="00411DC9">
            <w:pPr>
              <w:rPr>
                <w:rFonts w:eastAsia="Times New Roman" w:cstheme="minorHAnsi"/>
              </w:rPr>
            </w:pPr>
            <w:r w:rsidRPr="007F31C9">
              <w:rPr>
                <w:rFonts w:eastAsia="Times New Roman" w:cstheme="minorHAnsi"/>
                <w:b/>
                <w:bCs/>
                <w:sz w:val="20"/>
                <w:szCs w:val="20"/>
              </w:rPr>
              <w:t>Bežné výdavky</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5339F7"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750 000,00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5AE3BE8D"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750 000,00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6E1210F2"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620F911"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750 000,00</w:t>
            </w:r>
          </w:p>
        </w:tc>
        <w:tc>
          <w:tcPr>
            <w:tcW w:w="310" w:type="pct"/>
            <w:gridSpan w:val="2"/>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79FFE367"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8C3EBA3"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750 000,00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3F33CAEB" w14:textId="77777777" w:rsidR="00E62EDD" w:rsidRPr="00755BB5"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r>
      <w:tr w:rsidR="00E62EDD" w:rsidRPr="007F31C9" w14:paraId="422C6AA7" w14:textId="77777777" w:rsidTr="00411DC9">
        <w:trPr>
          <w:trHeight w:hRule="exact" w:val="284"/>
          <w:tblCellSpacing w:w="15" w:type="dxa"/>
        </w:trPr>
        <w:tc>
          <w:tcPr>
            <w:tcW w:w="182" w:type="pct"/>
            <w:tcBorders>
              <w:top w:val="outset" w:sz="6" w:space="0" w:color="000000"/>
              <w:left w:val="outset" w:sz="6" w:space="0" w:color="000000"/>
              <w:bottom w:val="outset" w:sz="6" w:space="0" w:color="000000"/>
              <w:right w:val="outset" w:sz="6" w:space="0" w:color="000000"/>
            </w:tcBorders>
            <w:noWrap/>
            <w:vAlign w:val="center"/>
            <w:hideMark/>
          </w:tcPr>
          <w:p w14:paraId="30BFC613" w14:textId="77777777" w:rsidR="00E62EDD" w:rsidRPr="007F31C9" w:rsidRDefault="00E62EDD" w:rsidP="00411DC9">
            <w:pPr>
              <w:rPr>
                <w:rFonts w:eastAsia="Times New Roman" w:cstheme="minorHAnsi"/>
              </w:rPr>
            </w:pPr>
            <w:r w:rsidRPr="007F31C9">
              <w:rPr>
                <w:rFonts w:eastAsia="Times New Roman" w:cstheme="minorHAnsi"/>
                <w:sz w:val="20"/>
                <w:szCs w:val="20"/>
              </w:rPr>
              <w:t>640</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1E8DA2" w14:textId="77777777" w:rsidR="00E62EDD" w:rsidRPr="007F31C9" w:rsidRDefault="00E62EDD" w:rsidP="00411DC9">
            <w:pPr>
              <w:rPr>
                <w:rFonts w:eastAsia="Times New Roman" w:cstheme="minorHAnsi"/>
              </w:rPr>
            </w:pPr>
            <w:r w:rsidRPr="007F31C9">
              <w:rPr>
                <w:rFonts w:eastAsia="Times New Roman" w:cstheme="minorHAnsi"/>
                <w:sz w:val="20"/>
                <w:szCs w:val="20"/>
              </w:rPr>
              <w:t>Bežné transfery</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72C6BAC"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750 000,00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E2B8DEF"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750 000,00</w:t>
            </w:r>
          </w:p>
        </w:tc>
        <w:tc>
          <w:tcPr>
            <w:tcW w:w="296" w:type="pct"/>
            <w:tcBorders>
              <w:top w:val="outset" w:sz="6" w:space="0" w:color="000000"/>
              <w:left w:val="outset" w:sz="6" w:space="0" w:color="000000"/>
              <w:bottom w:val="outset" w:sz="6" w:space="0" w:color="000000"/>
              <w:right w:val="outset" w:sz="6" w:space="0" w:color="000000"/>
            </w:tcBorders>
            <w:noWrap/>
            <w:vAlign w:val="center"/>
          </w:tcPr>
          <w:p w14:paraId="47F0EB9B"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100,00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8B74BA"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750 000,00</w:t>
            </w:r>
          </w:p>
        </w:tc>
        <w:tc>
          <w:tcPr>
            <w:tcW w:w="310" w:type="pct"/>
            <w:gridSpan w:val="2"/>
            <w:tcBorders>
              <w:top w:val="outset" w:sz="6" w:space="0" w:color="000000"/>
              <w:left w:val="outset" w:sz="6" w:space="0" w:color="000000"/>
              <w:bottom w:val="outset" w:sz="6" w:space="0" w:color="000000"/>
              <w:right w:val="outset" w:sz="6" w:space="0" w:color="000000"/>
            </w:tcBorders>
            <w:noWrap/>
            <w:vAlign w:val="center"/>
          </w:tcPr>
          <w:p w14:paraId="0109A7C4"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100,00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6A75B36A"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750 000,00</w:t>
            </w:r>
          </w:p>
        </w:tc>
        <w:tc>
          <w:tcPr>
            <w:tcW w:w="296" w:type="pct"/>
            <w:tcBorders>
              <w:top w:val="outset" w:sz="6" w:space="0" w:color="000000"/>
              <w:left w:val="outset" w:sz="6" w:space="0" w:color="000000"/>
              <w:bottom w:val="outset" w:sz="6" w:space="0" w:color="000000"/>
              <w:right w:val="outset" w:sz="6" w:space="0" w:color="000000"/>
            </w:tcBorders>
            <w:noWrap/>
            <w:vAlign w:val="center"/>
          </w:tcPr>
          <w:p w14:paraId="4070CB1A"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100,00</w:t>
            </w:r>
          </w:p>
        </w:tc>
      </w:tr>
    </w:tbl>
    <w:p w14:paraId="3D046A13" w14:textId="77777777" w:rsidR="00E62EDD" w:rsidRDefault="00E62EDD" w:rsidP="00E62EDD">
      <w:pPr>
        <w:spacing w:after="0" w:line="240" w:lineRule="auto"/>
        <w:jc w:val="both"/>
        <w:rPr>
          <w:rFonts w:ascii="Calibri" w:hAnsi="Calibri" w:cs="Calibri"/>
          <w:b/>
          <w:bCs/>
          <w:sz w:val="24"/>
          <w:szCs w:val="24"/>
        </w:rPr>
      </w:pPr>
    </w:p>
    <w:p w14:paraId="6D6639D6" w14:textId="77777777" w:rsidR="00E62EDD" w:rsidRDefault="00E62EDD" w:rsidP="00E62EDD">
      <w:pPr>
        <w:spacing w:after="0" w:line="240" w:lineRule="auto"/>
        <w:jc w:val="both"/>
        <w:rPr>
          <w:rFonts w:ascii="Calibri" w:hAnsi="Calibri" w:cs="Calibri"/>
          <w:sz w:val="24"/>
          <w:szCs w:val="24"/>
        </w:rPr>
      </w:pPr>
      <w:r w:rsidRPr="7EB9D19A">
        <w:rPr>
          <w:rFonts w:ascii="Calibri" w:hAnsi="Calibri" w:cs="Calibri"/>
          <w:b/>
          <w:bCs/>
          <w:sz w:val="24"/>
          <w:szCs w:val="24"/>
        </w:rPr>
        <w:t xml:space="preserve">Komentár: </w:t>
      </w:r>
      <w:r w:rsidRPr="7EB9D19A">
        <w:rPr>
          <w:rFonts w:ascii="Calibri" w:hAnsi="Calibri" w:cs="Calibri"/>
          <w:sz w:val="24"/>
          <w:szCs w:val="24"/>
        </w:rPr>
        <w:t>Podprogram umožňuje podporu žiadateľov vo viacero oblastiach v zmysle Bratislavskej regionálnej dotačnej schémy.</w:t>
      </w:r>
    </w:p>
    <w:p w14:paraId="05C5A5E8" w14:textId="77777777" w:rsidR="00E62EDD" w:rsidRPr="00092557" w:rsidRDefault="00E62EDD" w:rsidP="00E62EDD">
      <w:pPr>
        <w:jc w:val="both"/>
        <w:rPr>
          <w:rFonts w:ascii="Calibri" w:hAnsi="Calibri" w:cs="Calibri"/>
          <w:sz w:val="24"/>
          <w:szCs w:val="24"/>
        </w:rPr>
      </w:pPr>
    </w:p>
    <w:p w14:paraId="0A7A5CC6" w14:textId="77777777" w:rsidR="00E62EDD" w:rsidRDefault="00E62EDD" w:rsidP="00E62EDD">
      <w:pPr>
        <w:rPr>
          <w:rFonts w:ascii="Calibri" w:hAnsi="Calibri" w:cs="Calibri"/>
          <w:b/>
          <w:bCs/>
          <w:color w:val="0033CC"/>
          <w:sz w:val="27"/>
          <w:szCs w:val="27"/>
        </w:rPr>
      </w:pPr>
      <w:r w:rsidRPr="00C12B41">
        <w:rPr>
          <w:rFonts w:ascii="Calibri" w:hAnsi="Calibri" w:cs="Calibri"/>
          <w:b/>
          <w:bCs/>
          <w:color w:val="0033CC"/>
          <w:sz w:val="27"/>
          <w:szCs w:val="27"/>
        </w:rPr>
        <w:t xml:space="preserve">Podprogram 14.2: Individuálne dotácie </w:t>
      </w:r>
    </w:p>
    <w:tbl>
      <w:tblPr>
        <w:tblW w:w="5011" w:type="pct"/>
        <w:tblCellSpacing w:w="15" w:type="dxa"/>
        <w:tblInd w:w="-23"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12"/>
        <w:gridCol w:w="2227"/>
        <w:gridCol w:w="1458"/>
        <w:gridCol w:w="1458"/>
        <w:gridCol w:w="649"/>
        <w:gridCol w:w="1458"/>
        <w:gridCol w:w="30"/>
        <w:gridCol w:w="659"/>
        <w:gridCol w:w="1458"/>
        <w:gridCol w:w="664"/>
      </w:tblGrid>
      <w:tr w:rsidR="00E62EDD" w:rsidRPr="007F31C9" w14:paraId="7603D8AF" w14:textId="77777777" w:rsidTr="00411DC9">
        <w:trPr>
          <w:trHeight w:hRule="exact" w:val="284"/>
          <w:tblCellSpacing w:w="15" w:type="dxa"/>
        </w:trPr>
        <w:tc>
          <w:tcPr>
            <w:tcW w:w="4971" w:type="pct"/>
            <w:gridSpan w:val="10"/>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345C0D8" w14:textId="77777777" w:rsidR="00E62EDD" w:rsidRPr="007F31C9" w:rsidRDefault="00E62EDD" w:rsidP="00411DC9">
            <w:pPr>
              <w:jc w:val="center"/>
              <w:rPr>
                <w:rFonts w:eastAsia="Times New Roman" w:cstheme="minorHAnsi"/>
              </w:rPr>
            </w:pPr>
            <w:r w:rsidRPr="007F31C9">
              <w:rPr>
                <w:rFonts w:eastAsia="Times New Roman" w:cstheme="minorHAnsi"/>
                <w:b/>
                <w:bCs/>
                <w:i/>
                <w:iCs/>
              </w:rPr>
              <w:t>Rozpočet v EUR</w:t>
            </w:r>
          </w:p>
        </w:tc>
      </w:tr>
      <w:tr w:rsidR="00E62EDD" w:rsidRPr="007F31C9" w14:paraId="4863E7F5" w14:textId="77777777" w:rsidTr="00411DC9">
        <w:trPr>
          <w:trHeight w:hRule="exact" w:val="284"/>
          <w:tblCellSpacing w:w="15" w:type="dxa"/>
        </w:trPr>
        <w:tc>
          <w:tcPr>
            <w:tcW w:w="182"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C9CB6F3" w14:textId="77777777" w:rsidR="00E62EDD" w:rsidRPr="007F31C9" w:rsidRDefault="00E62EDD" w:rsidP="00411DC9">
            <w:pPr>
              <w:rPr>
                <w:rFonts w:eastAsia="Times New Roman" w:cstheme="minorHAnsi"/>
              </w:rPr>
            </w:pPr>
            <w:r w:rsidRPr="007F31C9">
              <w:rPr>
                <w:rFonts w:eastAsia="Times New Roman" w:cstheme="minorHAnsi"/>
                <w:b/>
                <w:bCs/>
                <w:sz w:val="20"/>
                <w:szCs w:val="20"/>
              </w:rPr>
              <w:t>EK</w:t>
            </w:r>
          </w:p>
        </w:tc>
        <w:tc>
          <w:tcPr>
            <w:tcW w:w="1079"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7323480A" w14:textId="77777777" w:rsidR="00E62EDD" w:rsidRPr="007F31C9" w:rsidRDefault="00E62EDD" w:rsidP="00411DC9">
            <w:pPr>
              <w:rPr>
                <w:rFonts w:eastAsia="Times New Roman" w:cstheme="minorHAnsi"/>
              </w:rPr>
            </w:pPr>
            <w:r w:rsidRPr="007F31C9">
              <w:rPr>
                <w:rFonts w:eastAsia="Times New Roman" w:cstheme="minorHAnsi"/>
                <w:b/>
                <w:bCs/>
                <w:sz w:val="20"/>
                <w:szCs w:val="20"/>
              </w:rPr>
              <w:t>Ekonomická klasifikácia</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2B8F9794"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4</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3EB6CAA1"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5</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05884F5E"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9598A8F"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6</w:t>
            </w:r>
          </w:p>
        </w:tc>
        <w:tc>
          <w:tcPr>
            <w:tcW w:w="310" w:type="pct"/>
            <w:gridSpan w:val="2"/>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5B257FBE"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w:t>
            </w:r>
          </w:p>
        </w:tc>
        <w:tc>
          <w:tcPr>
            <w:tcW w:w="0" w:type="auto"/>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48A27629"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202</w:t>
            </w:r>
            <w:r>
              <w:rPr>
                <w:rFonts w:eastAsia="Times New Roman" w:cstheme="minorHAnsi"/>
                <w:b/>
                <w:bCs/>
                <w:sz w:val="20"/>
                <w:szCs w:val="20"/>
              </w:rPr>
              <w:t>7</w:t>
            </w:r>
          </w:p>
        </w:tc>
        <w:tc>
          <w:tcPr>
            <w:tcW w:w="296" w:type="pct"/>
            <w:tcBorders>
              <w:top w:val="outset" w:sz="6" w:space="0" w:color="000000"/>
              <w:left w:val="outset" w:sz="6" w:space="0" w:color="000000"/>
              <w:bottom w:val="outset" w:sz="6" w:space="0" w:color="000000"/>
              <w:right w:val="outset" w:sz="6" w:space="0" w:color="000000"/>
            </w:tcBorders>
            <w:shd w:val="clear" w:color="auto" w:fill="AABBEE"/>
            <w:vAlign w:val="center"/>
            <w:hideMark/>
          </w:tcPr>
          <w:p w14:paraId="1B9BF071" w14:textId="77777777" w:rsidR="00E62EDD" w:rsidRPr="007F31C9" w:rsidRDefault="00E62EDD" w:rsidP="00411DC9">
            <w:pPr>
              <w:jc w:val="center"/>
              <w:rPr>
                <w:rFonts w:eastAsia="Times New Roman" w:cstheme="minorHAnsi"/>
              </w:rPr>
            </w:pPr>
            <w:r w:rsidRPr="007F31C9">
              <w:rPr>
                <w:rFonts w:eastAsia="Times New Roman" w:cstheme="minorHAnsi"/>
                <w:b/>
                <w:bCs/>
                <w:sz w:val="20"/>
                <w:szCs w:val="20"/>
              </w:rPr>
              <w:t>%</w:t>
            </w:r>
          </w:p>
        </w:tc>
      </w:tr>
      <w:tr w:rsidR="00E62EDD" w:rsidRPr="007F31C9" w14:paraId="1E3C893F" w14:textId="77777777" w:rsidTr="00411DC9">
        <w:trPr>
          <w:trHeight w:hRule="exact" w:val="284"/>
          <w:tblCellSpacing w:w="15" w:type="dxa"/>
        </w:trPr>
        <w:tc>
          <w:tcPr>
            <w:tcW w:w="18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3BC671BA" w14:textId="77777777" w:rsidR="00E62EDD" w:rsidRPr="007F31C9" w:rsidRDefault="00E62EDD" w:rsidP="00411DC9">
            <w:pPr>
              <w:jc w:val="center"/>
              <w:rPr>
                <w:rFonts w:eastAsia="Times New Roman" w:cstheme="minorHAnsi"/>
              </w:rPr>
            </w:pP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4705D099" w14:textId="77777777" w:rsidR="00E62EDD" w:rsidRPr="007F31C9" w:rsidRDefault="00E62EDD" w:rsidP="00411DC9">
            <w:pPr>
              <w:rPr>
                <w:rFonts w:eastAsia="Times New Roman" w:cstheme="minorHAnsi"/>
                <w:sz w:val="24"/>
                <w:szCs w:val="24"/>
              </w:rPr>
            </w:pPr>
            <w:r w:rsidRPr="007F31C9">
              <w:rPr>
                <w:rFonts w:eastAsia="Times New Roman" w:cstheme="minorHAnsi"/>
                <w:b/>
                <w:bCs/>
                <w:sz w:val="20"/>
                <w:szCs w:val="20"/>
              </w:rPr>
              <w:t>Výdavky celkom</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5206A3A"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250 000,00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7981B73"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250 000,00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7161BF39"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689" w:type="pct"/>
            <w:gridSpan w:val="2"/>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4DF1F39A"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250 000,00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561B4B90"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02EAD60"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250 000,00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49BE2274" w14:textId="77777777" w:rsidR="00E62EDD" w:rsidRPr="00755BB5"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r>
      <w:tr w:rsidR="00E62EDD" w:rsidRPr="007F31C9" w14:paraId="002F37BA" w14:textId="77777777" w:rsidTr="00411DC9">
        <w:trPr>
          <w:trHeight w:hRule="exact" w:val="284"/>
          <w:tblCellSpacing w:w="15" w:type="dxa"/>
        </w:trPr>
        <w:tc>
          <w:tcPr>
            <w:tcW w:w="182" w:type="pct"/>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1369E5D8" w14:textId="77777777" w:rsidR="00E62EDD" w:rsidRPr="007F31C9" w:rsidRDefault="00E62EDD" w:rsidP="00411DC9">
            <w:pPr>
              <w:rPr>
                <w:rFonts w:eastAsia="Times New Roman" w:cstheme="minorHAnsi"/>
              </w:rPr>
            </w:pPr>
            <w:r w:rsidRPr="007F31C9">
              <w:rPr>
                <w:rFonts w:eastAsia="Times New Roman" w:cstheme="minorHAnsi"/>
                <w:b/>
                <w:bCs/>
                <w:sz w:val="20"/>
                <w:szCs w:val="20"/>
              </w:rPr>
              <w:t>600</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vAlign w:val="center"/>
            <w:hideMark/>
          </w:tcPr>
          <w:p w14:paraId="60A34C89" w14:textId="77777777" w:rsidR="00E62EDD" w:rsidRPr="007F31C9" w:rsidRDefault="00E62EDD" w:rsidP="00411DC9">
            <w:pPr>
              <w:rPr>
                <w:rFonts w:eastAsia="Times New Roman" w:cstheme="minorHAnsi"/>
              </w:rPr>
            </w:pPr>
            <w:r w:rsidRPr="007F31C9">
              <w:rPr>
                <w:rFonts w:eastAsia="Times New Roman" w:cstheme="minorHAnsi"/>
                <w:b/>
                <w:bCs/>
                <w:sz w:val="20"/>
                <w:szCs w:val="20"/>
              </w:rPr>
              <w:t>Bežné výdavky</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73BBFF08"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250 000,00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E33B8E4"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250 000,00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7148B45A"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0D3BE360"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250 000,00</w:t>
            </w:r>
          </w:p>
        </w:tc>
        <w:tc>
          <w:tcPr>
            <w:tcW w:w="310" w:type="pct"/>
            <w:gridSpan w:val="2"/>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4D8E84F5"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c>
          <w:tcPr>
            <w:tcW w:w="0" w:type="auto"/>
            <w:tcBorders>
              <w:top w:val="outset" w:sz="6" w:space="0" w:color="000000"/>
              <w:left w:val="outset" w:sz="6" w:space="0" w:color="000000"/>
              <w:bottom w:val="outset" w:sz="6" w:space="0" w:color="000000"/>
              <w:right w:val="outset" w:sz="6" w:space="0" w:color="000000"/>
            </w:tcBorders>
            <w:shd w:val="clear" w:color="auto" w:fill="CCDDFF"/>
            <w:noWrap/>
            <w:vAlign w:val="center"/>
            <w:hideMark/>
          </w:tcPr>
          <w:p w14:paraId="6F8F95D9" w14:textId="77777777" w:rsidR="00E62EDD" w:rsidRPr="00D90874" w:rsidRDefault="00E62EDD" w:rsidP="00411DC9">
            <w:pPr>
              <w:jc w:val="right"/>
              <w:rPr>
                <w:rFonts w:eastAsia="Times New Roman" w:cstheme="minorHAnsi"/>
                <w:b/>
                <w:bCs/>
                <w:sz w:val="20"/>
                <w:szCs w:val="20"/>
              </w:rPr>
            </w:pPr>
            <w:r w:rsidRPr="00092557">
              <w:rPr>
                <w:rFonts w:ascii="Calibri" w:hAnsi="Calibri" w:cs="Calibri"/>
                <w:b/>
                <w:bCs/>
                <w:sz w:val="20"/>
                <w:szCs w:val="20"/>
              </w:rPr>
              <w:t>250 000,00</w:t>
            </w:r>
          </w:p>
        </w:tc>
        <w:tc>
          <w:tcPr>
            <w:tcW w:w="296" w:type="pct"/>
            <w:tcBorders>
              <w:top w:val="outset" w:sz="6" w:space="0" w:color="000000"/>
              <w:left w:val="outset" w:sz="6" w:space="0" w:color="000000"/>
              <w:bottom w:val="outset" w:sz="6" w:space="0" w:color="000000"/>
              <w:right w:val="outset" w:sz="6" w:space="0" w:color="000000"/>
            </w:tcBorders>
            <w:shd w:val="clear" w:color="auto" w:fill="CCDDFF"/>
            <w:noWrap/>
            <w:vAlign w:val="center"/>
          </w:tcPr>
          <w:p w14:paraId="7274A6C8" w14:textId="77777777" w:rsidR="00E62EDD" w:rsidRPr="00755BB5" w:rsidRDefault="00E62EDD" w:rsidP="00411DC9">
            <w:pPr>
              <w:jc w:val="right"/>
              <w:rPr>
                <w:rFonts w:eastAsia="Times New Roman" w:cstheme="minorHAnsi"/>
                <w:b/>
                <w:bCs/>
                <w:sz w:val="20"/>
                <w:szCs w:val="20"/>
              </w:rPr>
            </w:pPr>
            <w:r w:rsidRPr="00092557">
              <w:rPr>
                <w:rFonts w:ascii="Calibri" w:hAnsi="Calibri" w:cs="Calibri"/>
                <w:b/>
                <w:bCs/>
                <w:sz w:val="20"/>
                <w:szCs w:val="20"/>
              </w:rPr>
              <w:t>100,00</w:t>
            </w:r>
          </w:p>
        </w:tc>
      </w:tr>
      <w:tr w:rsidR="00E62EDD" w:rsidRPr="007F31C9" w14:paraId="209F6091" w14:textId="77777777" w:rsidTr="00411DC9">
        <w:trPr>
          <w:trHeight w:hRule="exact" w:val="284"/>
          <w:tblCellSpacing w:w="15" w:type="dxa"/>
        </w:trPr>
        <w:tc>
          <w:tcPr>
            <w:tcW w:w="182" w:type="pct"/>
            <w:tcBorders>
              <w:top w:val="outset" w:sz="6" w:space="0" w:color="000000"/>
              <w:left w:val="outset" w:sz="6" w:space="0" w:color="000000"/>
              <w:bottom w:val="outset" w:sz="6" w:space="0" w:color="000000"/>
              <w:right w:val="outset" w:sz="6" w:space="0" w:color="000000"/>
            </w:tcBorders>
            <w:noWrap/>
            <w:vAlign w:val="center"/>
            <w:hideMark/>
          </w:tcPr>
          <w:p w14:paraId="2E7991CB" w14:textId="77777777" w:rsidR="00E62EDD" w:rsidRPr="007F31C9" w:rsidRDefault="00E62EDD" w:rsidP="00411DC9">
            <w:pPr>
              <w:rPr>
                <w:rFonts w:eastAsia="Times New Roman" w:cstheme="minorHAnsi"/>
              </w:rPr>
            </w:pPr>
            <w:r w:rsidRPr="007F31C9">
              <w:rPr>
                <w:rFonts w:eastAsia="Times New Roman" w:cstheme="minorHAnsi"/>
                <w:sz w:val="20"/>
                <w:szCs w:val="20"/>
              </w:rPr>
              <w:t>640</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DAED92" w14:textId="77777777" w:rsidR="00E62EDD" w:rsidRPr="007F31C9" w:rsidRDefault="00E62EDD" w:rsidP="00411DC9">
            <w:pPr>
              <w:rPr>
                <w:rFonts w:eastAsia="Times New Roman" w:cstheme="minorHAnsi"/>
              </w:rPr>
            </w:pPr>
            <w:r w:rsidRPr="007F31C9">
              <w:rPr>
                <w:rFonts w:eastAsia="Times New Roman" w:cstheme="minorHAnsi"/>
                <w:sz w:val="20"/>
                <w:szCs w:val="20"/>
              </w:rPr>
              <w:t>Bežné transfery</w:t>
            </w:r>
            <w:r w:rsidRPr="007F31C9">
              <w:rPr>
                <w:rFonts w:eastAsia="Times New Roman" w:cstheme="minorHAnsi"/>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1D8AD37"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250 000,00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0079F325"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250 000,00</w:t>
            </w:r>
          </w:p>
        </w:tc>
        <w:tc>
          <w:tcPr>
            <w:tcW w:w="296" w:type="pct"/>
            <w:tcBorders>
              <w:top w:val="outset" w:sz="6" w:space="0" w:color="000000"/>
              <w:left w:val="outset" w:sz="6" w:space="0" w:color="000000"/>
              <w:bottom w:val="outset" w:sz="6" w:space="0" w:color="000000"/>
              <w:right w:val="outset" w:sz="6" w:space="0" w:color="000000"/>
            </w:tcBorders>
            <w:noWrap/>
            <w:vAlign w:val="center"/>
          </w:tcPr>
          <w:p w14:paraId="617195F3"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100,00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5D927E5E"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250 000,00</w:t>
            </w:r>
          </w:p>
        </w:tc>
        <w:tc>
          <w:tcPr>
            <w:tcW w:w="310" w:type="pct"/>
            <w:gridSpan w:val="2"/>
            <w:tcBorders>
              <w:top w:val="outset" w:sz="6" w:space="0" w:color="000000"/>
              <w:left w:val="outset" w:sz="6" w:space="0" w:color="000000"/>
              <w:bottom w:val="outset" w:sz="6" w:space="0" w:color="000000"/>
              <w:right w:val="outset" w:sz="6" w:space="0" w:color="000000"/>
            </w:tcBorders>
            <w:noWrap/>
            <w:vAlign w:val="center"/>
          </w:tcPr>
          <w:p w14:paraId="5806C173"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100,00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14:paraId="163848CC"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250 000,00</w:t>
            </w:r>
          </w:p>
        </w:tc>
        <w:tc>
          <w:tcPr>
            <w:tcW w:w="296" w:type="pct"/>
            <w:tcBorders>
              <w:top w:val="outset" w:sz="6" w:space="0" w:color="000000"/>
              <w:left w:val="outset" w:sz="6" w:space="0" w:color="000000"/>
              <w:bottom w:val="outset" w:sz="6" w:space="0" w:color="000000"/>
              <w:right w:val="outset" w:sz="6" w:space="0" w:color="000000"/>
            </w:tcBorders>
            <w:noWrap/>
            <w:vAlign w:val="center"/>
          </w:tcPr>
          <w:p w14:paraId="084D82CB" w14:textId="77777777" w:rsidR="00E62EDD" w:rsidRPr="0085144A" w:rsidRDefault="00E62EDD" w:rsidP="00411DC9">
            <w:pPr>
              <w:jc w:val="right"/>
              <w:rPr>
                <w:rFonts w:eastAsia="Times New Roman" w:cstheme="minorHAnsi"/>
                <w:sz w:val="20"/>
                <w:szCs w:val="20"/>
              </w:rPr>
            </w:pPr>
            <w:r w:rsidRPr="0085144A">
              <w:rPr>
                <w:rFonts w:ascii="Calibri" w:hAnsi="Calibri" w:cs="Calibri"/>
                <w:sz w:val="20"/>
                <w:szCs w:val="20"/>
              </w:rPr>
              <w:t>100,00</w:t>
            </w:r>
          </w:p>
        </w:tc>
      </w:tr>
    </w:tbl>
    <w:p w14:paraId="1D4864B5" w14:textId="77777777" w:rsidR="00E62EDD" w:rsidRDefault="00E62EDD" w:rsidP="00E62EDD">
      <w:pPr>
        <w:spacing w:after="0" w:line="240" w:lineRule="auto"/>
        <w:rPr>
          <w:rFonts w:ascii="Calibri" w:hAnsi="Calibri" w:cs="Calibri"/>
          <w:b/>
          <w:bCs/>
          <w:color w:val="0033CC"/>
          <w:sz w:val="27"/>
          <w:szCs w:val="27"/>
        </w:rPr>
      </w:pPr>
    </w:p>
    <w:p w14:paraId="7D4C38E9" w14:textId="77777777" w:rsidR="00E62EDD" w:rsidRPr="00092557" w:rsidRDefault="00E62EDD" w:rsidP="00E62EDD">
      <w:pPr>
        <w:spacing w:after="0" w:line="240" w:lineRule="auto"/>
        <w:jc w:val="both"/>
        <w:rPr>
          <w:rFonts w:ascii="Calibri" w:hAnsi="Calibri" w:cs="Calibri"/>
          <w:sz w:val="24"/>
          <w:szCs w:val="24"/>
        </w:rPr>
      </w:pPr>
      <w:r w:rsidRPr="00092557">
        <w:rPr>
          <w:rFonts w:ascii="Calibri" w:hAnsi="Calibri" w:cs="Calibri"/>
          <w:b/>
          <w:bCs/>
          <w:sz w:val="24"/>
          <w:szCs w:val="24"/>
        </w:rPr>
        <w:t xml:space="preserve">Komentár: </w:t>
      </w:r>
      <w:r w:rsidRPr="00092557">
        <w:rPr>
          <w:rFonts w:ascii="Calibri" w:hAnsi="Calibri" w:cs="Calibri"/>
          <w:sz w:val="24"/>
          <w:szCs w:val="24"/>
        </w:rPr>
        <w:t>Podprogram umožní podporiť široké spektrum žiadateľov a projektov so všestranným zameraním a rôznorodým verejnoprospešným účelom. Program sa realizuje v kompetencií predsedu Bratislavského samosprávneho kraja v súlade s podmienkami platného VZN.</w:t>
      </w:r>
    </w:p>
    <w:p w14:paraId="70303595" w14:textId="77777777" w:rsidR="00E62EDD" w:rsidRPr="00092557" w:rsidRDefault="00E62EDD" w:rsidP="00E62EDD">
      <w:pPr>
        <w:rPr>
          <w:rFonts w:ascii="Calibri" w:hAnsi="Calibri" w:cs="Calibri"/>
          <w:sz w:val="20"/>
          <w:szCs w:val="20"/>
        </w:rPr>
      </w:pPr>
    </w:p>
    <w:p w14:paraId="44A46654" w14:textId="77777777" w:rsidR="00B83872" w:rsidRDefault="00B83872" w:rsidP="00634DA5">
      <w:pPr>
        <w:spacing w:before="100" w:beforeAutospacing="1" w:after="100" w:afterAutospacing="1" w:line="240" w:lineRule="auto"/>
        <w:jc w:val="both"/>
        <w:rPr>
          <w:rFonts w:eastAsiaTheme="minorEastAsia" w:cstheme="minorHAnsi"/>
          <w:sz w:val="24"/>
          <w:szCs w:val="24"/>
          <w:lang w:eastAsia="sk-SK"/>
        </w:rPr>
      </w:pPr>
    </w:p>
    <w:p w14:paraId="509FB25F" w14:textId="77777777" w:rsidR="008A2365" w:rsidRDefault="008A2365" w:rsidP="00634DA5">
      <w:pPr>
        <w:spacing w:before="100" w:beforeAutospacing="1" w:after="100" w:afterAutospacing="1" w:line="240" w:lineRule="auto"/>
        <w:jc w:val="both"/>
        <w:rPr>
          <w:rFonts w:eastAsiaTheme="minorEastAsia" w:cstheme="minorHAnsi"/>
          <w:sz w:val="24"/>
          <w:szCs w:val="24"/>
          <w:lang w:eastAsia="sk-SK"/>
        </w:rPr>
      </w:pPr>
    </w:p>
    <w:p w14:paraId="15BF58BD" w14:textId="77777777" w:rsidR="00B83872" w:rsidRPr="00634DA5" w:rsidRDefault="00B83872" w:rsidP="00634DA5">
      <w:pPr>
        <w:spacing w:before="100" w:beforeAutospacing="1" w:after="100" w:afterAutospacing="1" w:line="240" w:lineRule="auto"/>
        <w:jc w:val="both"/>
        <w:rPr>
          <w:rFonts w:ascii="Times New Roman" w:eastAsiaTheme="minorEastAsia" w:hAnsi="Times New Roman" w:cs="Times New Roman"/>
          <w:sz w:val="24"/>
          <w:szCs w:val="24"/>
          <w:lang w:eastAsia="sk-SK"/>
        </w:rPr>
      </w:pPr>
    </w:p>
    <w:p w14:paraId="1E228F8D" w14:textId="698B5FB0" w:rsidR="000E2621" w:rsidRPr="001B5DF0" w:rsidRDefault="00277880">
      <w:pPr>
        <w:rPr>
          <w:rFonts w:cstheme="minorHAnsi"/>
          <w:b/>
          <w:bCs/>
        </w:rPr>
      </w:pPr>
      <w:r w:rsidRPr="001B5DF0">
        <w:rPr>
          <w:rFonts w:cstheme="minorHAnsi"/>
          <w:b/>
          <w:bCs/>
        </w:rPr>
        <w:lastRenderedPageBreak/>
        <w:t>Príloha číslo 1: INVESTIČNÝ PLÁN – Cesty II. a III. triedy</w:t>
      </w:r>
    </w:p>
    <w:p w14:paraId="1F7A4D74" w14:textId="0D9D2240" w:rsidR="00AC59C0" w:rsidRDefault="00BF256F">
      <w:pPr>
        <w:rPr>
          <w:rFonts w:cstheme="minorHAnsi"/>
        </w:rPr>
      </w:pPr>
      <w:r w:rsidRPr="00BF256F">
        <w:rPr>
          <w:rFonts w:cstheme="minorHAnsi"/>
          <w:noProof/>
        </w:rPr>
        <w:drawing>
          <wp:inline distT="0" distB="0" distL="0" distR="0" wp14:anchorId="554E266E" wp14:editId="389D25C0">
            <wp:extent cx="6422435" cy="8924889"/>
            <wp:effectExtent l="0" t="0" r="0" b="0"/>
            <wp:docPr id="649646429"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24190" cy="8927328"/>
                    </a:xfrm>
                    <a:prstGeom prst="rect">
                      <a:avLst/>
                    </a:prstGeom>
                    <a:noFill/>
                    <a:ln>
                      <a:noFill/>
                    </a:ln>
                  </pic:spPr>
                </pic:pic>
              </a:graphicData>
            </a:graphic>
          </wp:inline>
        </w:drawing>
      </w:r>
    </w:p>
    <w:p w14:paraId="15894837" w14:textId="40D6542B" w:rsidR="009B402B" w:rsidRDefault="009B402B">
      <w:pPr>
        <w:rPr>
          <w:rFonts w:cstheme="minorHAnsi"/>
        </w:rPr>
        <w:sectPr w:rsidR="009B402B" w:rsidSect="00B22931">
          <w:pgSz w:w="11906" w:h="16838"/>
          <w:pgMar w:top="720" w:right="720" w:bottom="720" w:left="720" w:header="708" w:footer="708" w:gutter="0"/>
          <w:cols w:space="708"/>
          <w:docGrid w:linePitch="360"/>
        </w:sectPr>
      </w:pPr>
      <w:r w:rsidRPr="009B402B">
        <w:rPr>
          <w:rFonts w:cstheme="minorHAnsi"/>
          <w:noProof/>
        </w:rPr>
        <w:lastRenderedPageBreak/>
        <w:drawing>
          <wp:inline distT="0" distB="0" distL="0" distR="0" wp14:anchorId="07D85699" wp14:editId="038D4A03">
            <wp:extent cx="6645910" cy="6421120"/>
            <wp:effectExtent l="0" t="0" r="2540" b="0"/>
            <wp:docPr id="212511936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45910" cy="6421120"/>
                    </a:xfrm>
                    <a:prstGeom prst="rect">
                      <a:avLst/>
                    </a:prstGeom>
                    <a:noFill/>
                    <a:ln>
                      <a:noFill/>
                    </a:ln>
                  </pic:spPr>
                </pic:pic>
              </a:graphicData>
            </a:graphic>
          </wp:inline>
        </w:drawing>
      </w:r>
    </w:p>
    <w:p w14:paraId="06203B56" w14:textId="63D9BB1D" w:rsidR="00277880" w:rsidRPr="001B5DF0" w:rsidRDefault="00277880">
      <w:pPr>
        <w:rPr>
          <w:rFonts w:cstheme="minorHAnsi"/>
          <w:b/>
          <w:bCs/>
        </w:rPr>
      </w:pPr>
      <w:r w:rsidRPr="001B5DF0">
        <w:rPr>
          <w:rFonts w:cstheme="minorHAnsi"/>
          <w:b/>
          <w:bCs/>
        </w:rPr>
        <w:lastRenderedPageBreak/>
        <w:t>Príloha číslo 2: INVESTIČNÝ PLÁN – Majetok</w:t>
      </w:r>
    </w:p>
    <w:p w14:paraId="1D1A834C" w14:textId="37FFDBD8" w:rsidR="00277880" w:rsidRDefault="00E315A0">
      <w:pPr>
        <w:rPr>
          <w:rFonts w:cstheme="minorHAnsi"/>
        </w:rPr>
      </w:pPr>
      <w:r w:rsidRPr="00E315A0">
        <w:rPr>
          <w:rFonts w:cstheme="minorHAnsi"/>
          <w:noProof/>
        </w:rPr>
        <w:drawing>
          <wp:inline distT="0" distB="0" distL="0" distR="0" wp14:anchorId="0173371F" wp14:editId="4294A9BD">
            <wp:extent cx="9777730" cy="4408805"/>
            <wp:effectExtent l="0" t="0" r="0" b="0"/>
            <wp:docPr id="16696363"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777730" cy="4408805"/>
                    </a:xfrm>
                    <a:prstGeom prst="rect">
                      <a:avLst/>
                    </a:prstGeom>
                    <a:noFill/>
                    <a:ln>
                      <a:noFill/>
                    </a:ln>
                  </pic:spPr>
                </pic:pic>
              </a:graphicData>
            </a:graphic>
          </wp:inline>
        </w:drawing>
      </w:r>
    </w:p>
    <w:p w14:paraId="487F3DE3" w14:textId="710C4A5D" w:rsidR="00962777" w:rsidRDefault="00962777">
      <w:pPr>
        <w:rPr>
          <w:rFonts w:cstheme="minorHAnsi"/>
        </w:rPr>
      </w:pPr>
    </w:p>
    <w:p w14:paraId="3A41EAA2" w14:textId="7F92CFAE" w:rsidR="00B540F2" w:rsidRDefault="00EA1DAE">
      <w:pPr>
        <w:rPr>
          <w:rFonts w:cstheme="minorHAnsi"/>
        </w:rPr>
      </w:pPr>
      <w:r w:rsidRPr="00EA1DAE">
        <w:rPr>
          <w:rFonts w:cstheme="minorHAnsi"/>
          <w:noProof/>
        </w:rPr>
        <w:lastRenderedPageBreak/>
        <w:drawing>
          <wp:inline distT="0" distB="0" distL="0" distR="0" wp14:anchorId="7B637D61" wp14:editId="3C41CB12">
            <wp:extent cx="9777730" cy="5093335"/>
            <wp:effectExtent l="0" t="0" r="0" b="0"/>
            <wp:docPr id="1113378196"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777730" cy="5093335"/>
                    </a:xfrm>
                    <a:prstGeom prst="rect">
                      <a:avLst/>
                    </a:prstGeom>
                    <a:noFill/>
                    <a:ln>
                      <a:noFill/>
                    </a:ln>
                  </pic:spPr>
                </pic:pic>
              </a:graphicData>
            </a:graphic>
          </wp:inline>
        </w:drawing>
      </w:r>
    </w:p>
    <w:p w14:paraId="747439AC" w14:textId="0454881A" w:rsidR="00B540F2" w:rsidRDefault="001B431C">
      <w:pPr>
        <w:rPr>
          <w:rFonts w:cstheme="minorHAnsi"/>
        </w:rPr>
      </w:pPr>
      <w:r w:rsidRPr="001B431C">
        <w:rPr>
          <w:rFonts w:cstheme="minorHAnsi"/>
          <w:noProof/>
        </w:rPr>
        <w:lastRenderedPageBreak/>
        <w:drawing>
          <wp:inline distT="0" distB="0" distL="0" distR="0" wp14:anchorId="27C8E10B" wp14:editId="08EAD773">
            <wp:extent cx="9777730" cy="5225415"/>
            <wp:effectExtent l="0" t="0" r="0" b="0"/>
            <wp:docPr id="261240678"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77730" cy="5225415"/>
                    </a:xfrm>
                    <a:prstGeom prst="rect">
                      <a:avLst/>
                    </a:prstGeom>
                    <a:noFill/>
                    <a:ln>
                      <a:noFill/>
                    </a:ln>
                  </pic:spPr>
                </pic:pic>
              </a:graphicData>
            </a:graphic>
          </wp:inline>
        </w:drawing>
      </w:r>
    </w:p>
    <w:p w14:paraId="7B42EC1A" w14:textId="69333757" w:rsidR="0049595E" w:rsidRDefault="00FF535B">
      <w:pPr>
        <w:rPr>
          <w:rFonts w:cstheme="minorHAnsi"/>
        </w:rPr>
      </w:pPr>
      <w:r w:rsidRPr="00FF535B">
        <w:rPr>
          <w:rFonts w:cstheme="minorHAnsi"/>
          <w:noProof/>
        </w:rPr>
        <w:lastRenderedPageBreak/>
        <w:drawing>
          <wp:inline distT="0" distB="0" distL="0" distR="0" wp14:anchorId="518C758E" wp14:editId="159BD2DB">
            <wp:extent cx="9777730" cy="4741545"/>
            <wp:effectExtent l="0" t="0" r="0" b="1905"/>
            <wp:docPr id="17843128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777730" cy="4741545"/>
                    </a:xfrm>
                    <a:prstGeom prst="rect">
                      <a:avLst/>
                    </a:prstGeom>
                    <a:noFill/>
                    <a:ln>
                      <a:noFill/>
                    </a:ln>
                  </pic:spPr>
                </pic:pic>
              </a:graphicData>
            </a:graphic>
          </wp:inline>
        </w:drawing>
      </w:r>
    </w:p>
    <w:p w14:paraId="369828D8" w14:textId="77777777" w:rsidR="0049595E" w:rsidRDefault="0049595E">
      <w:pPr>
        <w:rPr>
          <w:rFonts w:cstheme="minorHAnsi"/>
        </w:rPr>
      </w:pPr>
    </w:p>
    <w:p w14:paraId="3BE98777" w14:textId="77777777" w:rsidR="0049595E" w:rsidRDefault="0049595E">
      <w:pPr>
        <w:rPr>
          <w:rFonts w:cstheme="minorHAnsi"/>
        </w:rPr>
      </w:pPr>
    </w:p>
    <w:p w14:paraId="06B8284B" w14:textId="77777777" w:rsidR="00AA2600" w:rsidRDefault="00AA2600">
      <w:pPr>
        <w:rPr>
          <w:rFonts w:cstheme="minorHAnsi"/>
        </w:rPr>
      </w:pPr>
    </w:p>
    <w:p w14:paraId="486CD67C" w14:textId="7E75CBF6" w:rsidR="0049595E" w:rsidRDefault="0049595E">
      <w:pPr>
        <w:rPr>
          <w:rFonts w:cstheme="minorHAnsi"/>
        </w:rPr>
      </w:pPr>
    </w:p>
    <w:p w14:paraId="33053294" w14:textId="77777777" w:rsidR="00AF12BA" w:rsidRDefault="00AF12BA">
      <w:pPr>
        <w:rPr>
          <w:rFonts w:cstheme="minorHAnsi"/>
        </w:rPr>
      </w:pPr>
    </w:p>
    <w:p w14:paraId="4E2DB2B6" w14:textId="77777777" w:rsidR="004C4212" w:rsidRDefault="004C4212">
      <w:pPr>
        <w:rPr>
          <w:rFonts w:cstheme="minorHAnsi"/>
        </w:rPr>
        <w:sectPr w:rsidR="004C4212" w:rsidSect="006A37D0">
          <w:pgSz w:w="16838" w:h="11906" w:orient="landscape"/>
          <w:pgMar w:top="720" w:right="720" w:bottom="720" w:left="720" w:header="706" w:footer="706" w:gutter="0"/>
          <w:cols w:space="708"/>
          <w:docGrid w:linePitch="360"/>
        </w:sectPr>
      </w:pPr>
    </w:p>
    <w:p w14:paraId="31B0BD6C" w14:textId="645F9F57" w:rsidR="00277880" w:rsidRPr="001B5DF0" w:rsidRDefault="00277880" w:rsidP="00605CA4">
      <w:pPr>
        <w:spacing w:after="60"/>
        <w:rPr>
          <w:rFonts w:cstheme="minorHAnsi"/>
          <w:b/>
          <w:bCs/>
        </w:rPr>
      </w:pPr>
      <w:r w:rsidRPr="001B5DF0">
        <w:rPr>
          <w:rFonts w:cstheme="minorHAnsi"/>
          <w:b/>
          <w:bCs/>
        </w:rPr>
        <w:lastRenderedPageBreak/>
        <w:t>Príloha číslo 3: INVESTIČNÝ PLÁN – Projekty financované z eurofondov</w:t>
      </w:r>
    </w:p>
    <w:p w14:paraId="49AD8DAB" w14:textId="7D9283F5" w:rsidR="004C4212" w:rsidRDefault="00605CA4">
      <w:r w:rsidRPr="00605CA4">
        <w:rPr>
          <w:noProof/>
        </w:rPr>
        <w:drawing>
          <wp:inline distT="0" distB="0" distL="0" distR="0" wp14:anchorId="13849A40" wp14:editId="128E6856">
            <wp:extent cx="5805577" cy="9197791"/>
            <wp:effectExtent l="0" t="0" r="5080" b="3810"/>
            <wp:docPr id="1025733830"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26583" cy="9231072"/>
                    </a:xfrm>
                    <a:prstGeom prst="rect">
                      <a:avLst/>
                    </a:prstGeom>
                    <a:noFill/>
                    <a:ln>
                      <a:noFill/>
                    </a:ln>
                  </pic:spPr>
                </pic:pic>
              </a:graphicData>
            </a:graphic>
          </wp:inline>
        </w:drawing>
      </w:r>
    </w:p>
    <w:sectPr w:rsidR="004C4212" w:rsidSect="004C4212">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AD442" w14:textId="77777777" w:rsidR="0065143B" w:rsidRDefault="0065143B" w:rsidP="00134ADC">
      <w:pPr>
        <w:spacing w:after="0" w:line="240" w:lineRule="auto"/>
      </w:pPr>
      <w:r>
        <w:separator/>
      </w:r>
    </w:p>
  </w:endnote>
  <w:endnote w:type="continuationSeparator" w:id="0">
    <w:p w14:paraId="66FACA50" w14:textId="77777777" w:rsidR="0065143B" w:rsidRDefault="0065143B" w:rsidP="00134ADC">
      <w:pPr>
        <w:spacing w:after="0" w:line="240" w:lineRule="auto"/>
      </w:pPr>
      <w:r>
        <w:continuationSeparator/>
      </w:r>
    </w:p>
  </w:endnote>
  <w:endnote w:type="continuationNotice" w:id="1">
    <w:p w14:paraId="5C45B91B" w14:textId="77777777" w:rsidR="0065143B" w:rsidRDefault="00651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Aptos Narrow">
    <w:charset w:val="00"/>
    <w:family w:val="swiss"/>
    <w:pitch w:val="variable"/>
    <w:sig w:usb0="20000287" w:usb1="00000003" w:usb2="00000000" w:usb3="00000000" w:csb0="000001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698946"/>
      <w:docPartObj>
        <w:docPartGallery w:val="Page Numbers (Bottom of Page)"/>
        <w:docPartUnique/>
      </w:docPartObj>
    </w:sdtPr>
    <w:sdtEndPr/>
    <w:sdtContent>
      <w:p w14:paraId="4CB18FE6" w14:textId="4476DC12" w:rsidR="006928A4" w:rsidRDefault="006928A4">
        <w:pPr>
          <w:pStyle w:val="Pta"/>
          <w:jc w:val="center"/>
        </w:pPr>
        <w:r>
          <w:t>[</w:t>
        </w:r>
        <w:r>
          <w:fldChar w:fldCharType="begin"/>
        </w:r>
        <w:r>
          <w:instrText>PAGE   \* MERGEFORMAT</w:instrText>
        </w:r>
        <w:r>
          <w:fldChar w:fldCharType="separate"/>
        </w:r>
        <w:r>
          <w:t>2</w:t>
        </w:r>
        <w:r>
          <w:fldChar w:fldCharType="end"/>
        </w:r>
        <w:r>
          <w:t>]</w:t>
        </w:r>
      </w:p>
    </w:sdtContent>
  </w:sdt>
  <w:p w14:paraId="00178270" w14:textId="77777777" w:rsidR="00134ADC" w:rsidRDefault="00134A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D1E1" w14:textId="77777777" w:rsidR="0065143B" w:rsidRDefault="0065143B" w:rsidP="00134ADC">
      <w:pPr>
        <w:spacing w:after="0" w:line="240" w:lineRule="auto"/>
      </w:pPr>
      <w:r>
        <w:separator/>
      </w:r>
    </w:p>
  </w:footnote>
  <w:footnote w:type="continuationSeparator" w:id="0">
    <w:p w14:paraId="277BD0D2" w14:textId="77777777" w:rsidR="0065143B" w:rsidRDefault="0065143B" w:rsidP="00134ADC">
      <w:pPr>
        <w:spacing w:after="0" w:line="240" w:lineRule="auto"/>
      </w:pPr>
      <w:r>
        <w:continuationSeparator/>
      </w:r>
    </w:p>
  </w:footnote>
  <w:footnote w:type="continuationNotice" w:id="1">
    <w:p w14:paraId="23E7C2A6" w14:textId="77777777" w:rsidR="0065143B" w:rsidRDefault="006514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C9F"/>
    <w:multiLevelType w:val="hybridMultilevel"/>
    <w:tmpl w:val="A4781A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D7CD2"/>
    <w:multiLevelType w:val="multilevel"/>
    <w:tmpl w:val="8D70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B1DF6"/>
    <w:multiLevelType w:val="hybridMultilevel"/>
    <w:tmpl w:val="551C7BF0"/>
    <w:lvl w:ilvl="0" w:tplc="58065E2A">
      <w:start w:val="1"/>
      <w:numFmt w:val="bullet"/>
      <w:lvlText w:val="-"/>
      <w:lvlJc w:val="left"/>
      <w:pPr>
        <w:ind w:left="720" w:hanging="360"/>
      </w:pPr>
      <w:rPr>
        <w:rFonts w:ascii="Calibri" w:eastAsiaTheme="minorEastAsia"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82391"/>
    <w:multiLevelType w:val="hybridMultilevel"/>
    <w:tmpl w:val="970E5FC0"/>
    <w:lvl w:ilvl="0" w:tplc="3B78E422">
      <w:start w:val="3"/>
      <w:numFmt w:val="bullet"/>
      <w:lvlText w:val="-"/>
      <w:lvlJc w:val="left"/>
      <w:pPr>
        <w:ind w:left="410" w:hanging="360"/>
      </w:pPr>
      <w:rPr>
        <w:rFonts w:ascii="Calibri" w:eastAsiaTheme="minorHAnsi" w:hAnsi="Calibri" w:cs="Calibri" w:hint="default"/>
      </w:rPr>
    </w:lvl>
    <w:lvl w:ilvl="1" w:tplc="041B0003" w:tentative="1">
      <w:start w:val="1"/>
      <w:numFmt w:val="bullet"/>
      <w:lvlText w:val="o"/>
      <w:lvlJc w:val="left"/>
      <w:pPr>
        <w:ind w:left="1130" w:hanging="360"/>
      </w:pPr>
      <w:rPr>
        <w:rFonts w:ascii="Courier New" w:hAnsi="Courier New" w:cs="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cs="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cs="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4" w15:restartNumberingAfterBreak="0">
    <w:nsid w:val="0A5A510A"/>
    <w:multiLevelType w:val="multilevel"/>
    <w:tmpl w:val="5458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E5ACC"/>
    <w:multiLevelType w:val="hybridMultilevel"/>
    <w:tmpl w:val="2884A5B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E77990"/>
    <w:multiLevelType w:val="hybridMultilevel"/>
    <w:tmpl w:val="CAC43A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FC342B"/>
    <w:multiLevelType w:val="multilevel"/>
    <w:tmpl w:val="3FD0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A77C34"/>
    <w:multiLevelType w:val="multilevel"/>
    <w:tmpl w:val="4D4E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111899"/>
    <w:multiLevelType w:val="hybridMultilevel"/>
    <w:tmpl w:val="BF640C54"/>
    <w:lvl w:ilvl="0" w:tplc="58065E2A">
      <w:start w:val="1"/>
      <w:numFmt w:val="bullet"/>
      <w:lvlText w:val="-"/>
      <w:lvlJc w:val="left"/>
      <w:pPr>
        <w:ind w:left="720" w:hanging="360"/>
      </w:pPr>
      <w:rPr>
        <w:rFonts w:ascii="Calibri" w:eastAsiaTheme="minorEastAsia"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0DE0D0D"/>
    <w:multiLevelType w:val="hybridMultilevel"/>
    <w:tmpl w:val="D83E6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C1E5D"/>
    <w:multiLevelType w:val="multilevel"/>
    <w:tmpl w:val="157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2A4609"/>
    <w:multiLevelType w:val="hybridMultilevel"/>
    <w:tmpl w:val="154C51F4"/>
    <w:lvl w:ilvl="0" w:tplc="515CB052">
      <w:start w:val="1"/>
      <w:numFmt w:val="upperRoman"/>
      <w:lvlText w:val="%1."/>
      <w:lvlJc w:val="left"/>
      <w:pPr>
        <w:ind w:left="1080" w:hanging="720"/>
      </w:pPr>
      <w:rPr>
        <w:rFonts w:hint="default"/>
      </w:rPr>
    </w:lvl>
    <w:lvl w:ilvl="1" w:tplc="0409000D">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42612"/>
    <w:multiLevelType w:val="multilevel"/>
    <w:tmpl w:val="510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A21E01"/>
    <w:multiLevelType w:val="hybridMultilevel"/>
    <w:tmpl w:val="EA429E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AE45E8"/>
    <w:multiLevelType w:val="multilevel"/>
    <w:tmpl w:val="3486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94616F"/>
    <w:multiLevelType w:val="multilevel"/>
    <w:tmpl w:val="7A48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C44BF3"/>
    <w:multiLevelType w:val="hybridMultilevel"/>
    <w:tmpl w:val="D0C6FD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5EC39B8"/>
    <w:multiLevelType w:val="hybridMultilevel"/>
    <w:tmpl w:val="1A2C7B9E"/>
    <w:lvl w:ilvl="0" w:tplc="0409000D">
      <w:start w:val="1"/>
      <w:numFmt w:val="bullet"/>
      <w:lvlText w:val=""/>
      <w:lvlJc w:val="left"/>
      <w:pPr>
        <w:ind w:left="72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C35584"/>
    <w:multiLevelType w:val="hybridMultilevel"/>
    <w:tmpl w:val="F09085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95805B9"/>
    <w:multiLevelType w:val="multilevel"/>
    <w:tmpl w:val="64E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C37F6F"/>
    <w:multiLevelType w:val="hybridMultilevel"/>
    <w:tmpl w:val="DEC012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9791F"/>
    <w:multiLevelType w:val="multilevel"/>
    <w:tmpl w:val="C98E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A838E0"/>
    <w:multiLevelType w:val="multilevel"/>
    <w:tmpl w:val="E05CEC60"/>
    <w:lvl w:ilvl="0">
      <w:start w:val="1"/>
      <w:numFmt w:val="decimal"/>
      <w:lvlText w:val="%1."/>
      <w:lvlJc w:val="left"/>
      <w:pPr>
        <w:ind w:left="720" w:hanging="360"/>
      </w:pPr>
      <w:rPr>
        <w:rFonts w:hint="default"/>
      </w:rPr>
    </w:lvl>
    <w:lvl w:ilvl="1">
      <w:start w:val="3"/>
      <w:numFmt w:val="decimal"/>
      <w:isLgl/>
      <w:lvlText w:val="%1.%2"/>
      <w:lvlJc w:val="left"/>
      <w:pPr>
        <w:ind w:left="1084" w:hanging="375"/>
      </w:pPr>
      <w:rPr>
        <w:rFonts w:ascii="Calibri" w:hAnsi="Calibri" w:hint="default"/>
      </w:rPr>
    </w:lvl>
    <w:lvl w:ilvl="2">
      <w:start w:val="1"/>
      <w:numFmt w:val="decimal"/>
      <w:isLgl/>
      <w:lvlText w:val="%1.%2.%3"/>
      <w:lvlJc w:val="left"/>
      <w:pPr>
        <w:ind w:left="1778" w:hanging="720"/>
      </w:pPr>
      <w:rPr>
        <w:rFonts w:ascii="Calibri" w:hAnsi="Calibri" w:hint="default"/>
      </w:rPr>
    </w:lvl>
    <w:lvl w:ilvl="3">
      <w:start w:val="1"/>
      <w:numFmt w:val="decimal"/>
      <w:isLgl/>
      <w:lvlText w:val="%1.%2.%3.%4"/>
      <w:lvlJc w:val="left"/>
      <w:pPr>
        <w:ind w:left="2487" w:hanging="1080"/>
      </w:pPr>
      <w:rPr>
        <w:rFonts w:ascii="Calibri" w:hAnsi="Calibri" w:hint="default"/>
      </w:rPr>
    </w:lvl>
    <w:lvl w:ilvl="4">
      <w:start w:val="1"/>
      <w:numFmt w:val="decimal"/>
      <w:isLgl/>
      <w:lvlText w:val="%1.%2.%3.%4.%5"/>
      <w:lvlJc w:val="left"/>
      <w:pPr>
        <w:ind w:left="2836" w:hanging="1080"/>
      </w:pPr>
      <w:rPr>
        <w:rFonts w:ascii="Calibri" w:hAnsi="Calibri" w:hint="default"/>
      </w:rPr>
    </w:lvl>
    <w:lvl w:ilvl="5">
      <w:start w:val="1"/>
      <w:numFmt w:val="decimal"/>
      <w:isLgl/>
      <w:lvlText w:val="%1.%2.%3.%4.%5.%6"/>
      <w:lvlJc w:val="left"/>
      <w:pPr>
        <w:ind w:left="3545" w:hanging="1440"/>
      </w:pPr>
      <w:rPr>
        <w:rFonts w:ascii="Calibri" w:hAnsi="Calibri" w:hint="default"/>
      </w:rPr>
    </w:lvl>
    <w:lvl w:ilvl="6">
      <w:start w:val="1"/>
      <w:numFmt w:val="decimal"/>
      <w:isLgl/>
      <w:lvlText w:val="%1.%2.%3.%4.%5.%6.%7"/>
      <w:lvlJc w:val="left"/>
      <w:pPr>
        <w:ind w:left="3894" w:hanging="1440"/>
      </w:pPr>
      <w:rPr>
        <w:rFonts w:ascii="Calibri" w:hAnsi="Calibri" w:hint="default"/>
      </w:rPr>
    </w:lvl>
    <w:lvl w:ilvl="7">
      <w:start w:val="1"/>
      <w:numFmt w:val="decimal"/>
      <w:isLgl/>
      <w:lvlText w:val="%1.%2.%3.%4.%5.%6.%7.%8"/>
      <w:lvlJc w:val="left"/>
      <w:pPr>
        <w:ind w:left="4603" w:hanging="1800"/>
      </w:pPr>
      <w:rPr>
        <w:rFonts w:ascii="Calibri" w:hAnsi="Calibri" w:hint="default"/>
      </w:rPr>
    </w:lvl>
    <w:lvl w:ilvl="8">
      <w:start w:val="1"/>
      <w:numFmt w:val="decimal"/>
      <w:isLgl/>
      <w:lvlText w:val="%1.%2.%3.%4.%5.%6.%7.%8.%9"/>
      <w:lvlJc w:val="left"/>
      <w:pPr>
        <w:ind w:left="5312" w:hanging="2160"/>
      </w:pPr>
      <w:rPr>
        <w:rFonts w:ascii="Calibri" w:hAnsi="Calibri" w:hint="default"/>
      </w:rPr>
    </w:lvl>
  </w:abstractNum>
  <w:abstractNum w:abstractNumId="24" w15:restartNumberingAfterBreak="0">
    <w:nsid w:val="51225E6A"/>
    <w:multiLevelType w:val="multilevel"/>
    <w:tmpl w:val="9C72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F717BB"/>
    <w:multiLevelType w:val="hybridMultilevel"/>
    <w:tmpl w:val="30A0CE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6721C06"/>
    <w:multiLevelType w:val="multilevel"/>
    <w:tmpl w:val="90C6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4A7113"/>
    <w:multiLevelType w:val="hybridMultilevel"/>
    <w:tmpl w:val="4A9471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ABF22D8"/>
    <w:multiLevelType w:val="multilevel"/>
    <w:tmpl w:val="C3D8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D54C01"/>
    <w:multiLevelType w:val="hybridMultilevel"/>
    <w:tmpl w:val="5F8606EA"/>
    <w:lvl w:ilvl="0" w:tplc="58065E2A">
      <w:start w:val="1"/>
      <w:numFmt w:val="bullet"/>
      <w:lvlText w:val="-"/>
      <w:lvlJc w:val="left"/>
      <w:pPr>
        <w:ind w:left="720" w:hanging="360"/>
      </w:pPr>
      <w:rPr>
        <w:rFonts w:ascii="Calibri" w:eastAsiaTheme="minorEastAsia" w:hAnsi="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56E0158"/>
    <w:multiLevelType w:val="hybridMultilevel"/>
    <w:tmpl w:val="95D8FC14"/>
    <w:lvl w:ilvl="0" w:tplc="53126DCC">
      <w:start w:val="1"/>
      <w:numFmt w:val="decimal"/>
      <w:lvlText w:val="%1."/>
      <w:lvlJc w:val="left"/>
      <w:pPr>
        <w:ind w:left="1288" w:hanging="360"/>
      </w:pPr>
      <w:rPr>
        <w:rFonts w:ascii="Calibri" w:hAnsi="Calibri" w:cs="Calibri" w:hint="default"/>
        <w:b w:val="0"/>
        <w:bCs w:val="0"/>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31" w15:restartNumberingAfterBreak="0">
    <w:nsid w:val="69342B2A"/>
    <w:multiLevelType w:val="hybridMultilevel"/>
    <w:tmpl w:val="3C54EC7A"/>
    <w:lvl w:ilvl="0" w:tplc="9210E7A8">
      <w:start w:val="1"/>
      <w:numFmt w:val="upperRoman"/>
      <w:lvlText w:val="%1."/>
      <w:lvlJc w:val="left"/>
      <w:pPr>
        <w:ind w:left="1080" w:hanging="720"/>
      </w:pPr>
      <w:rPr>
        <w:rFonts w:hint="default"/>
      </w:rPr>
    </w:lvl>
    <w:lvl w:ilvl="1" w:tplc="041B0019">
      <w:start w:val="1"/>
      <w:numFmt w:val="lowerLetter"/>
      <w:lvlText w:val="%2."/>
      <w:lvlJc w:val="left"/>
      <w:pPr>
        <w:ind w:left="1440" w:hanging="360"/>
      </w:pPr>
    </w:lvl>
    <w:lvl w:ilvl="2" w:tplc="C0785C3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3B4295"/>
    <w:multiLevelType w:val="multilevel"/>
    <w:tmpl w:val="018A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E20210"/>
    <w:multiLevelType w:val="hybridMultilevel"/>
    <w:tmpl w:val="91D8A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D070204"/>
    <w:multiLevelType w:val="hybridMultilevel"/>
    <w:tmpl w:val="91CCE8EA"/>
    <w:lvl w:ilvl="0" w:tplc="95C07D3A">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5742C75"/>
    <w:multiLevelType w:val="hybridMultilevel"/>
    <w:tmpl w:val="757ED2B2"/>
    <w:lvl w:ilvl="0" w:tplc="041B0001">
      <w:start w:val="1"/>
      <w:numFmt w:val="bullet"/>
      <w:lvlText w:val=""/>
      <w:lvlJc w:val="left"/>
      <w:pPr>
        <w:ind w:left="1474" w:hanging="360"/>
      </w:pPr>
      <w:rPr>
        <w:rFonts w:ascii="Symbol" w:hAnsi="Symbol" w:hint="default"/>
      </w:rPr>
    </w:lvl>
    <w:lvl w:ilvl="1" w:tplc="041B0003">
      <w:start w:val="1"/>
      <w:numFmt w:val="bullet"/>
      <w:lvlText w:val="o"/>
      <w:lvlJc w:val="left"/>
      <w:pPr>
        <w:ind w:left="2194" w:hanging="360"/>
      </w:pPr>
      <w:rPr>
        <w:rFonts w:ascii="Courier New" w:hAnsi="Courier New" w:cs="Courier New" w:hint="default"/>
      </w:rPr>
    </w:lvl>
    <w:lvl w:ilvl="2" w:tplc="041B0005">
      <w:start w:val="1"/>
      <w:numFmt w:val="bullet"/>
      <w:lvlText w:val=""/>
      <w:lvlJc w:val="left"/>
      <w:pPr>
        <w:ind w:left="2914" w:hanging="360"/>
      </w:pPr>
      <w:rPr>
        <w:rFonts w:ascii="Wingdings" w:hAnsi="Wingdings" w:hint="default"/>
      </w:rPr>
    </w:lvl>
    <w:lvl w:ilvl="3" w:tplc="041B0001">
      <w:start w:val="1"/>
      <w:numFmt w:val="bullet"/>
      <w:lvlText w:val=""/>
      <w:lvlJc w:val="left"/>
      <w:pPr>
        <w:ind w:left="3634" w:hanging="360"/>
      </w:pPr>
      <w:rPr>
        <w:rFonts w:ascii="Symbol" w:hAnsi="Symbol" w:hint="default"/>
      </w:rPr>
    </w:lvl>
    <w:lvl w:ilvl="4" w:tplc="041B0003" w:tentative="1">
      <w:start w:val="1"/>
      <w:numFmt w:val="bullet"/>
      <w:lvlText w:val="o"/>
      <w:lvlJc w:val="left"/>
      <w:pPr>
        <w:ind w:left="4354" w:hanging="360"/>
      </w:pPr>
      <w:rPr>
        <w:rFonts w:ascii="Courier New" w:hAnsi="Courier New" w:cs="Courier New" w:hint="default"/>
      </w:rPr>
    </w:lvl>
    <w:lvl w:ilvl="5" w:tplc="041B0005" w:tentative="1">
      <w:start w:val="1"/>
      <w:numFmt w:val="bullet"/>
      <w:lvlText w:val=""/>
      <w:lvlJc w:val="left"/>
      <w:pPr>
        <w:ind w:left="5074" w:hanging="360"/>
      </w:pPr>
      <w:rPr>
        <w:rFonts w:ascii="Wingdings" w:hAnsi="Wingdings" w:hint="default"/>
      </w:rPr>
    </w:lvl>
    <w:lvl w:ilvl="6" w:tplc="041B0001" w:tentative="1">
      <w:start w:val="1"/>
      <w:numFmt w:val="bullet"/>
      <w:lvlText w:val=""/>
      <w:lvlJc w:val="left"/>
      <w:pPr>
        <w:ind w:left="5794" w:hanging="360"/>
      </w:pPr>
      <w:rPr>
        <w:rFonts w:ascii="Symbol" w:hAnsi="Symbol" w:hint="default"/>
      </w:rPr>
    </w:lvl>
    <w:lvl w:ilvl="7" w:tplc="041B0003" w:tentative="1">
      <w:start w:val="1"/>
      <w:numFmt w:val="bullet"/>
      <w:lvlText w:val="o"/>
      <w:lvlJc w:val="left"/>
      <w:pPr>
        <w:ind w:left="6514" w:hanging="360"/>
      </w:pPr>
      <w:rPr>
        <w:rFonts w:ascii="Courier New" w:hAnsi="Courier New" w:cs="Courier New" w:hint="default"/>
      </w:rPr>
    </w:lvl>
    <w:lvl w:ilvl="8" w:tplc="041B0005" w:tentative="1">
      <w:start w:val="1"/>
      <w:numFmt w:val="bullet"/>
      <w:lvlText w:val=""/>
      <w:lvlJc w:val="left"/>
      <w:pPr>
        <w:ind w:left="7234" w:hanging="360"/>
      </w:pPr>
      <w:rPr>
        <w:rFonts w:ascii="Wingdings" w:hAnsi="Wingdings" w:hint="default"/>
      </w:rPr>
    </w:lvl>
  </w:abstractNum>
  <w:abstractNum w:abstractNumId="36" w15:restartNumberingAfterBreak="0">
    <w:nsid w:val="77A25020"/>
    <w:multiLevelType w:val="multilevel"/>
    <w:tmpl w:val="626C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2E04C4"/>
    <w:multiLevelType w:val="multilevel"/>
    <w:tmpl w:val="22F8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5E4BD8"/>
    <w:multiLevelType w:val="multilevel"/>
    <w:tmpl w:val="D50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4882269">
    <w:abstractNumId w:val="23"/>
  </w:num>
  <w:num w:numId="2" w16cid:durableId="1208176304">
    <w:abstractNumId w:val="35"/>
  </w:num>
  <w:num w:numId="3" w16cid:durableId="2001076962">
    <w:abstractNumId w:val="12"/>
  </w:num>
  <w:num w:numId="4" w16cid:durableId="938679028">
    <w:abstractNumId w:val="21"/>
  </w:num>
  <w:num w:numId="5" w16cid:durableId="911769455">
    <w:abstractNumId w:val="18"/>
  </w:num>
  <w:num w:numId="6" w16cid:durableId="739058818">
    <w:abstractNumId w:val="10"/>
  </w:num>
  <w:num w:numId="7" w16cid:durableId="437725746">
    <w:abstractNumId w:val="34"/>
  </w:num>
  <w:num w:numId="8" w16cid:durableId="992029745">
    <w:abstractNumId w:val="0"/>
  </w:num>
  <w:num w:numId="9" w16cid:durableId="523254963">
    <w:abstractNumId w:val="31"/>
  </w:num>
  <w:num w:numId="10" w16cid:durableId="1463646006">
    <w:abstractNumId w:val="3"/>
  </w:num>
  <w:num w:numId="11" w16cid:durableId="337930558">
    <w:abstractNumId w:val="14"/>
  </w:num>
  <w:num w:numId="12" w16cid:durableId="1603563098">
    <w:abstractNumId w:val="25"/>
  </w:num>
  <w:num w:numId="13" w16cid:durableId="790635388">
    <w:abstractNumId w:val="5"/>
  </w:num>
  <w:num w:numId="14" w16cid:durableId="1615475650">
    <w:abstractNumId w:val="29"/>
  </w:num>
  <w:num w:numId="15" w16cid:durableId="1964069660">
    <w:abstractNumId w:val="9"/>
  </w:num>
  <w:num w:numId="16" w16cid:durableId="616302758">
    <w:abstractNumId w:val="2"/>
  </w:num>
  <w:num w:numId="17" w16cid:durableId="627006153">
    <w:abstractNumId w:val="13"/>
  </w:num>
  <w:num w:numId="18" w16cid:durableId="648048473">
    <w:abstractNumId w:val="4"/>
  </w:num>
  <w:num w:numId="19" w16cid:durableId="427433052">
    <w:abstractNumId w:val="1"/>
  </w:num>
  <w:num w:numId="20" w16cid:durableId="1010641429">
    <w:abstractNumId w:val="15"/>
  </w:num>
  <w:num w:numId="21" w16cid:durableId="1379083462">
    <w:abstractNumId w:val="11"/>
  </w:num>
  <w:num w:numId="22" w16cid:durableId="1214804934">
    <w:abstractNumId w:val="37"/>
  </w:num>
  <w:num w:numId="23" w16cid:durableId="938374127">
    <w:abstractNumId w:val="24"/>
  </w:num>
  <w:num w:numId="24" w16cid:durableId="1909029938">
    <w:abstractNumId w:val="38"/>
  </w:num>
  <w:num w:numId="25" w16cid:durableId="914782360">
    <w:abstractNumId w:val="28"/>
  </w:num>
  <w:num w:numId="26" w16cid:durableId="1840002517">
    <w:abstractNumId w:val="16"/>
  </w:num>
  <w:num w:numId="27" w16cid:durableId="2066637612">
    <w:abstractNumId w:val="36"/>
  </w:num>
  <w:num w:numId="28" w16cid:durableId="744183423">
    <w:abstractNumId w:val="20"/>
  </w:num>
  <w:num w:numId="29" w16cid:durableId="247733348">
    <w:abstractNumId w:val="8"/>
  </w:num>
  <w:num w:numId="30" w16cid:durableId="1290821580">
    <w:abstractNumId w:val="22"/>
  </w:num>
  <w:num w:numId="31" w16cid:durableId="1878196971">
    <w:abstractNumId w:val="26"/>
  </w:num>
  <w:num w:numId="32" w16cid:durableId="205606979">
    <w:abstractNumId w:val="7"/>
  </w:num>
  <w:num w:numId="33" w16cid:durableId="18703205">
    <w:abstractNumId w:val="32"/>
  </w:num>
  <w:num w:numId="34" w16cid:durableId="1769429243">
    <w:abstractNumId w:val="30"/>
  </w:num>
  <w:num w:numId="35" w16cid:durableId="1631856497">
    <w:abstractNumId w:val="17"/>
  </w:num>
  <w:num w:numId="36" w16cid:durableId="1822691300">
    <w:abstractNumId w:val="19"/>
  </w:num>
  <w:num w:numId="37" w16cid:durableId="221335786">
    <w:abstractNumId w:val="33"/>
  </w:num>
  <w:num w:numId="38" w16cid:durableId="772439016">
    <w:abstractNumId w:val="27"/>
  </w:num>
  <w:num w:numId="39" w16cid:durableId="185264664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8D"/>
    <w:rsid w:val="00002323"/>
    <w:rsid w:val="00002803"/>
    <w:rsid w:val="00005734"/>
    <w:rsid w:val="000068C3"/>
    <w:rsid w:val="000102A3"/>
    <w:rsid w:val="00010BEF"/>
    <w:rsid w:val="00010E73"/>
    <w:rsid w:val="00011378"/>
    <w:rsid w:val="00011C51"/>
    <w:rsid w:val="00012036"/>
    <w:rsid w:val="00012274"/>
    <w:rsid w:val="00012CFE"/>
    <w:rsid w:val="00013302"/>
    <w:rsid w:val="00013FA4"/>
    <w:rsid w:val="000148BE"/>
    <w:rsid w:val="000158E3"/>
    <w:rsid w:val="00016002"/>
    <w:rsid w:val="00016049"/>
    <w:rsid w:val="00016219"/>
    <w:rsid w:val="00020D17"/>
    <w:rsid w:val="000219F3"/>
    <w:rsid w:val="0002293F"/>
    <w:rsid w:val="000268B2"/>
    <w:rsid w:val="000274BB"/>
    <w:rsid w:val="000279D4"/>
    <w:rsid w:val="00030F6E"/>
    <w:rsid w:val="000316DE"/>
    <w:rsid w:val="00031B03"/>
    <w:rsid w:val="00032550"/>
    <w:rsid w:val="00032570"/>
    <w:rsid w:val="00032A4E"/>
    <w:rsid w:val="00033CD5"/>
    <w:rsid w:val="000345AC"/>
    <w:rsid w:val="00034A19"/>
    <w:rsid w:val="00035A78"/>
    <w:rsid w:val="00037B84"/>
    <w:rsid w:val="00037D26"/>
    <w:rsid w:val="000420A9"/>
    <w:rsid w:val="00042F59"/>
    <w:rsid w:val="000441E0"/>
    <w:rsid w:val="0004468B"/>
    <w:rsid w:val="00046F48"/>
    <w:rsid w:val="000479CB"/>
    <w:rsid w:val="00051844"/>
    <w:rsid w:val="00053A74"/>
    <w:rsid w:val="0005542D"/>
    <w:rsid w:val="000604AF"/>
    <w:rsid w:val="0006075A"/>
    <w:rsid w:val="00062935"/>
    <w:rsid w:val="000634C8"/>
    <w:rsid w:val="00063526"/>
    <w:rsid w:val="0006582E"/>
    <w:rsid w:val="00066173"/>
    <w:rsid w:val="000663A8"/>
    <w:rsid w:val="000678D5"/>
    <w:rsid w:val="00071F27"/>
    <w:rsid w:val="00072884"/>
    <w:rsid w:val="00074CCC"/>
    <w:rsid w:val="00077830"/>
    <w:rsid w:val="000817D1"/>
    <w:rsid w:val="000822CD"/>
    <w:rsid w:val="00083EDA"/>
    <w:rsid w:val="000846F9"/>
    <w:rsid w:val="000852E3"/>
    <w:rsid w:val="00085A95"/>
    <w:rsid w:val="0009150E"/>
    <w:rsid w:val="000936F9"/>
    <w:rsid w:val="00094486"/>
    <w:rsid w:val="0009522E"/>
    <w:rsid w:val="00096FAB"/>
    <w:rsid w:val="000976A6"/>
    <w:rsid w:val="000A008F"/>
    <w:rsid w:val="000A39F3"/>
    <w:rsid w:val="000A3F48"/>
    <w:rsid w:val="000A43AC"/>
    <w:rsid w:val="000A4D8B"/>
    <w:rsid w:val="000A7BFB"/>
    <w:rsid w:val="000B05D2"/>
    <w:rsid w:val="000B16DB"/>
    <w:rsid w:val="000B1E78"/>
    <w:rsid w:val="000B219F"/>
    <w:rsid w:val="000B24DA"/>
    <w:rsid w:val="000B528A"/>
    <w:rsid w:val="000B5C22"/>
    <w:rsid w:val="000B5E77"/>
    <w:rsid w:val="000B7306"/>
    <w:rsid w:val="000B7B5C"/>
    <w:rsid w:val="000C70AF"/>
    <w:rsid w:val="000D19C5"/>
    <w:rsid w:val="000D2781"/>
    <w:rsid w:val="000D2804"/>
    <w:rsid w:val="000D5278"/>
    <w:rsid w:val="000D6209"/>
    <w:rsid w:val="000D7545"/>
    <w:rsid w:val="000E0A60"/>
    <w:rsid w:val="000E19B9"/>
    <w:rsid w:val="000E2621"/>
    <w:rsid w:val="000E5DF0"/>
    <w:rsid w:val="000F057C"/>
    <w:rsid w:val="000F0EF3"/>
    <w:rsid w:val="000F18BE"/>
    <w:rsid w:val="000F1C1D"/>
    <w:rsid w:val="000F3D2A"/>
    <w:rsid w:val="000F4E7B"/>
    <w:rsid w:val="000F512F"/>
    <w:rsid w:val="000F5391"/>
    <w:rsid w:val="000F5533"/>
    <w:rsid w:val="0010199E"/>
    <w:rsid w:val="00101A63"/>
    <w:rsid w:val="001023A1"/>
    <w:rsid w:val="00102C26"/>
    <w:rsid w:val="00103726"/>
    <w:rsid w:val="00105D9B"/>
    <w:rsid w:val="001071AC"/>
    <w:rsid w:val="00111255"/>
    <w:rsid w:val="0011362A"/>
    <w:rsid w:val="0011452E"/>
    <w:rsid w:val="00115163"/>
    <w:rsid w:val="00123B12"/>
    <w:rsid w:val="001242A1"/>
    <w:rsid w:val="00125751"/>
    <w:rsid w:val="00125B3D"/>
    <w:rsid w:val="001276C0"/>
    <w:rsid w:val="0013067B"/>
    <w:rsid w:val="001311B5"/>
    <w:rsid w:val="00134011"/>
    <w:rsid w:val="00134ADC"/>
    <w:rsid w:val="00134BE2"/>
    <w:rsid w:val="001366E6"/>
    <w:rsid w:val="00137BA8"/>
    <w:rsid w:val="00140161"/>
    <w:rsid w:val="00140B6B"/>
    <w:rsid w:val="00142534"/>
    <w:rsid w:val="00146E5C"/>
    <w:rsid w:val="00150B26"/>
    <w:rsid w:val="00152C18"/>
    <w:rsid w:val="00154EB7"/>
    <w:rsid w:val="00157692"/>
    <w:rsid w:val="001607EE"/>
    <w:rsid w:val="00161699"/>
    <w:rsid w:val="001657EF"/>
    <w:rsid w:val="00167696"/>
    <w:rsid w:val="0016775F"/>
    <w:rsid w:val="001703D8"/>
    <w:rsid w:val="0017116C"/>
    <w:rsid w:val="001742DB"/>
    <w:rsid w:val="00174B25"/>
    <w:rsid w:val="001756D2"/>
    <w:rsid w:val="00176530"/>
    <w:rsid w:val="001807CD"/>
    <w:rsid w:val="001808F2"/>
    <w:rsid w:val="0018244C"/>
    <w:rsid w:val="001856C8"/>
    <w:rsid w:val="001856CA"/>
    <w:rsid w:val="00185D1C"/>
    <w:rsid w:val="0018613A"/>
    <w:rsid w:val="001922B7"/>
    <w:rsid w:val="001938A1"/>
    <w:rsid w:val="001A016D"/>
    <w:rsid w:val="001A091A"/>
    <w:rsid w:val="001A15A7"/>
    <w:rsid w:val="001A16D8"/>
    <w:rsid w:val="001A241E"/>
    <w:rsid w:val="001A4EC2"/>
    <w:rsid w:val="001A5BC7"/>
    <w:rsid w:val="001A6C3B"/>
    <w:rsid w:val="001B0BE8"/>
    <w:rsid w:val="001B1DA0"/>
    <w:rsid w:val="001B1E7A"/>
    <w:rsid w:val="001B24B8"/>
    <w:rsid w:val="001B3BD9"/>
    <w:rsid w:val="001B3CFA"/>
    <w:rsid w:val="001B431C"/>
    <w:rsid w:val="001B5063"/>
    <w:rsid w:val="001B5DF0"/>
    <w:rsid w:val="001B6150"/>
    <w:rsid w:val="001B697E"/>
    <w:rsid w:val="001C2E20"/>
    <w:rsid w:val="001C5D30"/>
    <w:rsid w:val="001C625D"/>
    <w:rsid w:val="001D145A"/>
    <w:rsid w:val="001D299F"/>
    <w:rsid w:val="001D4CC2"/>
    <w:rsid w:val="001D7F63"/>
    <w:rsid w:val="001E09F2"/>
    <w:rsid w:val="001E0D1B"/>
    <w:rsid w:val="001E23C2"/>
    <w:rsid w:val="001E254F"/>
    <w:rsid w:val="001E34C2"/>
    <w:rsid w:val="001E3937"/>
    <w:rsid w:val="001E529C"/>
    <w:rsid w:val="001E5A00"/>
    <w:rsid w:val="001E61E3"/>
    <w:rsid w:val="001E6B73"/>
    <w:rsid w:val="001E718D"/>
    <w:rsid w:val="001E7931"/>
    <w:rsid w:val="001E7E1B"/>
    <w:rsid w:val="001F12A6"/>
    <w:rsid w:val="001F42B0"/>
    <w:rsid w:val="001F5B6F"/>
    <w:rsid w:val="0020040F"/>
    <w:rsid w:val="002052D6"/>
    <w:rsid w:val="002066F1"/>
    <w:rsid w:val="002079EE"/>
    <w:rsid w:val="002101B8"/>
    <w:rsid w:val="00212748"/>
    <w:rsid w:val="0021446C"/>
    <w:rsid w:val="00215582"/>
    <w:rsid w:val="00215D21"/>
    <w:rsid w:val="00221DCF"/>
    <w:rsid w:val="00223EF9"/>
    <w:rsid w:val="002309F1"/>
    <w:rsid w:val="00233886"/>
    <w:rsid w:val="00235990"/>
    <w:rsid w:val="0023641D"/>
    <w:rsid w:val="00237184"/>
    <w:rsid w:val="002401BE"/>
    <w:rsid w:val="00241571"/>
    <w:rsid w:val="00241BA4"/>
    <w:rsid w:val="00241EE4"/>
    <w:rsid w:val="00242101"/>
    <w:rsid w:val="00243644"/>
    <w:rsid w:val="0024546D"/>
    <w:rsid w:val="00246D3C"/>
    <w:rsid w:val="0024790C"/>
    <w:rsid w:val="002506A2"/>
    <w:rsid w:val="0025207C"/>
    <w:rsid w:val="002600C4"/>
    <w:rsid w:val="00260123"/>
    <w:rsid w:val="00260DBE"/>
    <w:rsid w:val="00260F04"/>
    <w:rsid w:val="0026101F"/>
    <w:rsid w:val="00261C66"/>
    <w:rsid w:val="002623EA"/>
    <w:rsid w:val="00263131"/>
    <w:rsid w:val="00263911"/>
    <w:rsid w:val="0026506A"/>
    <w:rsid w:val="002655F1"/>
    <w:rsid w:val="00266768"/>
    <w:rsid w:val="0026762D"/>
    <w:rsid w:val="0026783E"/>
    <w:rsid w:val="00271D9A"/>
    <w:rsid w:val="00273EC7"/>
    <w:rsid w:val="002749C1"/>
    <w:rsid w:val="00276612"/>
    <w:rsid w:val="00276626"/>
    <w:rsid w:val="00277880"/>
    <w:rsid w:val="00280107"/>
    <w:rsid w:val="00281CBF"/>
    <w:rsid w:val="002823FC"/>
    <w:rsid w:val="00282667"/>
    <w:rsid w:val="00283FE5"/>
    <w:rsid w:val="00284278"/>
    <w:rsid w:val="002927E1"/>
    <w:rsid w:val="00294815"/>
    <w:rsid w:val="00296AFE"/>
    <w:rsid w:val="002A0121"/>
    <w:rsid w:val="002A0540"/>
    <w:rsid w:val="002A0E32"/>
    <w:rsid w:val="002A14F0"/>
    <w:rsid w:val="002A1A8A"/>
    <w:rsid w:val="002A232D"/>
    <w:rsid w:val="002A37BB"/>
    <w:rsid w:val="002A4198"/>
    <w:rsid w:val="002A59BA"/>
    <w:rsid w:val="002A5DFB"/>
    <w:rsid w:val="002A60BC"/>
    <w:rsid w:val="002A6A0B"/>
    <w:rsid w:val="002B08B4"/>
    <w:rsid w:val="002B09C7"/>
    <w:rsid w:val="002B0F24"/>
    <w:rsid w:val="002B332C"/>
    <w:rsid w:val="002B3930"/>
    <w:rsid w:val="002B3CE1"/>
    <w:rsid w:val="002B636D"/>
    <w:rsid w:val="002B6C25"/>
    <w:rsid w:val="002B6D76"/>
    <w:rsid w:val="002B6DD3"/>
    <w:rsid w:val="002B7079"/>
    <w:rsid w:val="002B7B5C"/>
    <w:rsid w:val="002B7D33"/>
    <w:rsid w:val="002C0BE8"/>
    <w:rsid w:val="002C1C27"/>
    <w:rsid w:val="002C5F4C"/>
    <w:rsid w:val="002D06F2"/>
    <w:rsid w:val="002D39CB"/>
    <w:rsid w:val="002D415C"/>
    <w:rsid w:val="002D485D"/>
    <w:rsid w:val="002D5F33"/>
    <w:rsid w:val="002D7253"/>
    <w:rsid w:val="002D7506"/>
    <w:rsid w:val="002D75C4"/>
    <w:rsid w:val="002E01B1"/>
    <w:rsid w:val="002E0945"/>
    <w:rsid w:val="002E21CF"/>
    <w:rsid w:val="002E257E"/>
    <w:rsid w:val="002E2639"/>
    <w:rsid w:val="002E2697"/>
    <w:rsid w:val="002E35E6"/>
    <w:rsid w:val="002E4DD0"/>
    <w:rsid w:val="002F0DD6"/>
    <w:rsid w:val="002F29A9"/>
    <w:rsid w:val="002F2BC9"/>
    <w:rsid w:val="002F3731"/>
    <w:rsid w:val="002F3CD1"/>
    <w:rsid w:val="002F40DE"/>
    <w:rsid w:val="002F5812"/>
    <w:rsid w:val="00300886"/>
    <w:rsid w:val="0030573A"/>
    <w:rsid w:val="00305F07"/>
    <w:rsid w:val="003066B7"/>
    <w:rsid w:val="003072E9"/>
    <w:rsid w:val="00307660"/>
    <w:rsid w:val="00307AA1"/>
    <w:rsid w:val="003104D9"/>
    <w:rsid w:val="00310504"/>
    <w:rsid w:val="00310F6E"/>
    <w:rsid w:val="00310FBD"/>
    <w:rsid w:val="00312A3C"/>
    <w:rsid w:val="00312D06"/>
    <w:rsid w:val="00313A67"/>
    <w:rsid w:val="00314D21"/>
    <w:rsid w:val="003155E1"/>
    <w:rsid w:val="00317207"/>
    <w:rsid w:val="00321778"/>
    <w:rsid w:val="00321BEF"/>
    <w:rsid w:val="00322C30"/>
    <w:rsid w:val="00326320"/>
    <w:rsid w:val="00331C47"/>
    <w:rsid w:val="00334976"/>
    <w:rsid w:val="003354D0"/>
    <w:rsid w:val="00342684"/>
    <w:rsid w:val="00343140"/>
    <w:rsid w:val="00343EAD"/>
    <w:rsid w:val="00346527"/>
    <w:rsid w:val="003466F6"/>
    <w:rsid w:val="00350987"/>
    <w:rsid w:val="00352AD0"/>
    <w:rsid w:val="003564BE"/>
    <w:rsid w:val="00356BB1"/>
    <w:rsid w:val="00357DE9"/>
    <w:rsid w:val="00362392"/>
    <w:rsid w:val="00363331"/>
    <w:rsid w:val="0036496C"/>
    <w:rsid w:val="00365016"/>
    <w:rsid w:val="00366E5F"/>
    <w:rsid w:val="00367996"/>
    <w:rsid w:val="00372583"/>
    <w:rsid w:val="00373146"/>
    <w:rsid w:val="0037445A"/>
    <w:rsid w:val="003752D3"/>
    <w:rsid w:val="003753C3"/>
    <w:rsid w:val="00375A3A"/>
    <w:rsid w:val="003764A8"/>
    <w:rsid w:val="00380164"/>
    <w:rsid w:val="00381052"/>
    <w:rsid w:val="003819FF"/>
    <w:rsid w:val="00382246"/>
    <w:rsid w:val="003838FC"/>
    <w:rsid w:val="00385247"/>
    <w:rsid w:val="00385917"/>
    <w:rsid w:val="0038601B"/>
    <w:rsid w:val="003877FE"/>
    <w:rsid w:val="00387CE3"/>
    <w:rsid w:val="00391029"/>
    <w:rsid w:val="00391223"/>
    <w:rsid w:val="003935C6"/>
    <w:rsid w:val="003A4342"/>
    <w:rsid w:val="003A4F07"/>
    <w:rsid w:val="003A5F19"/>
    <w:rsid w:val="003A67C2"/>
    <w:rsid w:val="003A707C"/>
    <w:rsid w:val="003B0247"/>
    <w:rsid w:val="003B0CD4"/>
    <w:rsid w:val="003B1745"/>
    <w:rsid w:val="003B17EF"/>
    <w:rsid w:val="003B30F4"/>
    <w:rsid w:val="003B3406"/>
    <w:rsid w:val="003B534B"/>
    <w:rsid w:val="003B75FB"/>
    <w:rsid w:val="003C07C6"/>
    <w:rsid w:val="003C158B"/>
    <w:rsid w:val="003C404B"/>
    <w:rsid w:val="003C4BCD"/>
    <w:rsid w:val="003C62E7"/>
    <w:rsid w:val="003C644A"/>
    <w:rsid w:val="003C79D3"/>
    <w:rsid w:val="003D1287"/>
    <w:rsid w:val="003D21D9"/>
    <w:rsid w:val="003D2BD8"/>
    <w:rsid w:val="003D36D3"/>
    <w:rsid w:val="003D3877"/>
    <w:rsid w:val="003D4805"/>
    <w:rsid w:val="003D7E82"/>
    <w:rsid w:val="003E2140"/>
    <w:rsid w:val="003E29BD"/>
    <w:rsid w:val="003E4705"/>
    <w:rsid w:val="003E47E1"/>
    <w:rsid w:val="003E74E0"/>
    <w:rsid w:val="003E77F7"/>
    <w:rsid w:val="003F158F"/>
    <w:rsid w:val="003F1C41"/>
    <w:rsid w:val="003F24BC"/>
    <w:rsid w:val="003F526F"/>
    <w:rsid w:val="003F6455"/>
    <w:rsid w:val="003F76DD"/>
    <w:rsid w:val="003F7BA8"/>
    <w:rsid w:val="00401F6F"/>
    <w:rsid w:val="00402DB7"/>
    <w:rsid w:val="00403213"/>
    <w:rsid w:val="00407120"/>
    <w:rsid w:val="004100BF"/>
    <w:rsid w:val="00411FA9"/>
    <w:rsid w:val="00413156"/>
    <w:rsid w:val="004147B1"/>
    <w:rsid w:val="00416BCE"/>
    <w:rsid w:val="00420376"/>
    <w:rsid w:val="00421141"/>
    <w:rsid w:val="00423A24"/>
    <w:rsid w:val="00424DDF"/>
    <w:rsid w:val="00424F2F"/>
    <w:rsid w:val="00425286"/>
    <w:rsid w:val="00425625"/>
    <w:rsid w:val="00427052"/>
    <w:rsid w:val="00431B4B"/>
    <w:rsid w:val="0043328A"/>
    <w:rsid w:val="004345E4"/>
    <w:rsid w:val="00434606"/>
    <w:rsid w:val="00434C8C"/>
    <w:rsid w:val="004361A8"/>
    <w:rsid w:val="0043714C"/>
    <w:rsid w:val="00440020"/>
    <w:rsid w:val="0044010C"/>
    <w:rsid w:val="00441533"/>
    <w:rsid w:val="00444810"/>
    <w:rsid w:val="004457F3"/>
    <w:rsid w:val="0044613D"/>
    <w:rsid w:val="00447676"/>
    <w:rsid w:val="004506A4"/>
    <w:rsid w:val="00450995"/>
    <w:rsid w:val="00454ED5"/>
    <w:rsid w:val="004571C0"/>
    <w:rsid w:val="004612C5"/>
    <w:rsid w:val="00462021"/>
    <w:rsid w:val="0046496C"/>
    <w:rsid w:val="00470F08"/>
    <w:rsid w:val="00472DA9"/>
    <w:rsid w:val="00472F49"/>
    <w:rsid w:val="00473598"/>
    <w:rsid w:val="00476948"/>
    <w:rsid w:val="00477137"/>
    <w:rsid w:val="00477C20"/>
    <w:rsid w:val="004806EA"/>
    <w:rsid w:val="004807C9"/>
    <w:rsid w:val="00481499"/>
    <w:rsid w:val="004847AE"/>
    <w:rsid w:val="00485638"/>
    <w:rsid w:val="00493685"/>
    <w:rsid w:val="0049595E"/>
    <w:rsid w:val="004A0FE8"/>
    <w:rsid w:val="004A1B06"/>
    <w:rsid w:val="004A27E3"/>
    <w:rsid w:val="004A40EE"/>
    <w:rsid w:val="004A4657"/>
    <w:rsid w:val="004A49BF"/>
    <w:rsid w:val="004A5769"/>
    <w:rsid w:val="004A59C3"/>
    <w:rsid w:val="004A6D8E"/>
    <w:rsid w:val="004B0D05"/>
    <w:rsid w:val="004B2141"/>
    <w:rsid w:val="004B2D90"/>
    <w:rsid w:val="004B3AB5"/>
    <w:rsid w:val="004B514B"/>
    <w:rsid w:val="004B5936"/>
    <w:rsid w:val="004B6EC4"/>
    <w:rsid w:val="004B79B8"/>
    <w:rsid w:val="004C0602"/>
    <w:rsid w:val="004C0C83"/>
    <w:rsid w:val="004C1003"/>
    <w:rsid w:val="004C159B"/>
    <w:rsid w:val="004C1818"/>
    <w:rsid w:val="004C4212"/>
    <w:rsid w:val="004C58B2"/>
    <w:rsid w:val="004C5B46"/>
    <w:rsid w:val="004C5FB2"/>
    <w:rsid w:val="004C5FE1"/>
    <w:rsid w:val="004C628F"/>
    <w:rsid w:val="004C7CD4"/>
    <w:rsid w:val="004D01F3"/>
    <w:rsid w:val="004D03BD"/>
    <w:rsid w:val="004D0BDB"/>
    <w:rsid w:val="004D1210"/>
    <w:rsid w:val="004D52AF"/>
    <w:rsid w:val="004D68AC"/>
    <w:rsid w:val="004D703B"/>
    <w:rsid w:val="004D7228"/>
    <w:rsid w:val="004E0281"/>
    <w:rsid w:val="004E0CFE"/>
    <w:rsid w:val="004E1ED5"/>
    <w:rsid w:val="004E239D"/>
    <w:rsid w:val="004E297F"/>
    <w:rsid w:val="004E3214"/>
    <w:rsid w:val="004E3B52"/>
    <w:rsid w:val="004E6B99"/>
    <w:rsid w:val="004F16C1"/>
    <w:rsid w:val="004F2FB0"/>
    <w:rsid w:val="004F3688"/>
    <w:rsid w:val="004F41CE"/>
    <w:rsid w:val="004F4EDA"/>
    <w:rsid w:val="004F5361"/>
    <w:rsid w:val="004F6771"/>
    <w:rsid w:val="0050091B"/>
    <w:rsid w:val="00500A30"/>
    <w:rsid w:val="00500B5B"/>
    <w:rsid w:val="00501ACF"/>
    <w:rsid w:val="00502EEB"/>
    <w:rsid w:val="0050404C"/>
    <w:rsid w:val="00510536"/>
    <w:rsid w:val="005107E2"/>
    <w:rsid w:val="00510807"/>
    <w:rsid w:val="00510C59"/>
    <w:rsid w:val="00511053"/>
    <w:rsid w:val="005119B2"/>
    <w:rsid w:val="0051317B"/>
    <w:rsid w:val="005138AC"/>
    <w:rsid w:val="005142A2"/>
    <w:rsid w:val="0051660F"/>
    <w:rsid w:val="00520065"/>
    <w:rsid w:val="00520561"/>
    <w:rsid w:val="00520D13"/>
    <w:rsid w:val="00521A08"/>
    <w:rsid w:val="00522B3C"/>
    <w:rsid w:val="00522CD0"/>
    <w:rsid w:val="0052397A"/>
    <w:rsid w:val="00525408"/>
    <w:rsid w:val="0052625C"/>
    <w:rsid w:val="00526A79"/>
    <w:rsid w:val="00530378"/>
    <w:rsid w:val="00530AE3"/>
    <w:rsid w:val="00532157"/>
    <w:rsid w:val="00533CEF"/>
    <w:rsid w:val="005345EC"/>
    <w:rsid w:val="00535ABE"/>
    <w:rsid w:val="00535B33"/>
    <w:rsid w:val="00536207"/>
    <w:rsid w:val="00536921"/>
    <w:rsid w:val="00537ACE"/>
    <w:rsid w:val="00540169"/>
    <w:rsid w:val="0054056F"/>
    <w:rsid w:val="00540A42"/>
    <w:rsid w:val="0054116A"/>
    <w:rsid w:val="00541398"/>
    <w:rsid w:val="00541C4F"/>
    <w:rsid w:val="00542922"/>
    <w:rsid w:val="005461D9"/>
    <w:rsid w:val="0054649D"/>
    <w:rsid w:val="005467EB"/>
    <w:rsid w:val="00546F2B"/>
    <w:rsid w:val="00551939"/>
    <w:rsid w:val="0055421A"/>
    <w:rsid w:val="00554450"/>
    <w:rsid w:val="005547A1"/>
    <w:rsid w:val="005547C7"/>
    <w:rsid w:val="00554F73"/>
    <w:rsid w:val="005552AA"/>
    <w:rsid w:val="0055749B"/>
    <w:rsid w:val="0056194F"/>
    <w:rsid w:val="00563D18"/>
    <w:rsid w:val="00564ED2"/>
    <w:rsid w:val="00567D4D"/>
    <w:rsid w:val="005704E6"/>
    <w:rsid w:val="005708C3"/>
    <w:rsid w:val="00570A89"/>
    <w:rsid w:val="00573040"/>
    <w:rsid w:val="005742F2"/>
    <w:rsid w:val="0057501C"/>
    <w:rsid w:val="00576522"/>
    <w:rsid w:val="00576DAA"/>
    <w:rsid w:val="00577286"/>
    <w:rsid w:val="005774A3"/>
    <w:rsid w:val="005778DF"/>
    <w:rsid w:val="00577E25"/>
    <w:rsid w:val="00580BB3"/>
    <w:rsid w:val="00580E4D"/>
    <w:rsid w:val="00581E24"/>
    <w:rsid w:val="00584367"/>
    <w:rsid w:val="0058475B"/>
    <w:rsid w:val="00590892"/>
    <w:rsid w:val="00590DF4"/>
    <w:rsid w:val="00591ED5"/>
    <w:rsid w:val="0059212E"/>
    <w:rsid w:val="00595006"/>
    <w:rsid w:val="00595471"/>
    <w:rsid w:val="0059639F"/>
    <w:rsid w:val="005A0602"/>
    <w:rsid w:val="005A0934"/>
    <w:rsid w:val="005A1A53"/>
    <w:rsid w:val="005A1B29"/>
    <w:rsid w:val="005A1B9E"/>
    <w:rsid w:val="005A24D5"/>
    <w:rsid w:val="005A3369"/>
    <w:rsid w:val="005A33B3"/>
    <w:rsid w:val="005A3B18"/>
    <w:rsid w:val="005A57F6"/>
    <w:rsid w:val="005A678E"/>
    <w:rsid w:val="005A6D23"/>
    <w:rsid w:val="005B1F11"/>
    <w:rsid w:val="005B412D"/>
    <w:rsid w:val="005B5CE6"/>
    <w:rsid w:val="005B6AC0"/>
    <w:rsid w:val="005C0508"/>
    <w:rsid w:val="005C1827"/>
    <w:rsid w:val="005C267D"/>
    <w:rsid w:val="005C26D1"/>
    <w:rsid w:val="005C404B"/>
    <w:rsid w:val="005C4332"/>
    <w:rsid w:val="005C465D"/>
    <w:rsid w:val="005C5C0F"/>
    <w:rsid w:val="005C7AE2"/>
    <w:rsid w:val="005D0FBF"/>
    <w:rsid w:val="005D1632"/>
    <w:rsid w:val="005D23FC"/>
    <w:rsid w:val="005D2A5D"/>
    <w:rsid w:val="005D2B88"/>
    <w:rsid w:val="005D41E9"/>
    <w:rsid w:val="005D644D"/>
    <w:rsid w:val="005E1BD6"/>
    <w:rsid w:val="005E22B2"/>
    <w:rsid w:val="005E2493"/>
    <w:rsid w:val="005E300F"/>
    <w:rsid w:val="005E3DDF"/>
    <w:rsid w:val="005E3FD4"/>
    <w:rsid w:val="005E4F96"/>
    <w:rsid w:val="005E65A8"/>
    <w:rsid w:val="005E7FA0"/>
    <w:rsid w:val="005F0EE7"/>
    <w:rsid w:val="005F205E"/>
    <w:rsid w:val="005F25D4"/>
    <w:rsid w:val="005F2F0C"/>
    <w:rsid w:val="005F34C5"/>
    <w:rsid w:val="005F54E6"/>
    <w:rsid w:val="005F5A79"/>
    <w:rsid w:val="005F5F8D"/>
    <w:rsid w:val="005F60A2"/>
    <w:rsid w:val="005F7307"/>
    <w:rsid w:val="0060000A"/>
    <w:rsid w:val="00600423"/>
    <w:rsid w:val="00600F95"/>
    <w:rsid w:val="00603202"/>
    <w:rsid w:val="00605173"/>
    <w:rsid w:val="00605CA4"/>
    <w:rsid w:val="00605FF0"/>
    <w:rsid w:val="00606DAC"/>
    <w:rsid w:val="006071EB"/>
    <w:rsid w:val="006079AF"/>
    <w:rsid w:val="006079E5"/>
    <w:rsid w:val="0061247C"/>
    <w:rsid w:val="00612E0D"/>
    <w:rsid w:val="00617E75"/>
    <w:rsid w:val="00621BEF"/>
    <w:rsid w:val="00622351"/>
    <w:rsid w:val="006231C6"/>
    <w:rsid w:val="006239B1"/>
    <w:rsid w:val="00624027"/>
    <w:rsid w:val="00624A77"/>
    <w:rsid w:val="00626787"/>
    <w:rsid w:val="00626A38"/>
    <w:rsid w:val="006270CE"/>
    <w:rsid w:val="00630B1D"/>
    <w:rsid w:val="00630BFF"/>
    <w:rsid w:val="006310FC"/>
    <w:rsid w:val="00632BB9"/>
    <w:rsid w:val="0063358E"/>
    <w:rsid w:val="00634654"/>
    <w:rsid w:val="0063487B"/>
    <w:rsid w:val="00634DA5"/>
    <w:rsid w:val="0063616E"/>
    <w:rsid w:val="00636D11"/>
    <w:rsid w:val="00637156"/>
    <w:rsid w:val="006413C3"/>
    <w:rsid w:val="0064162F"/>
    <w:rsid w:val="006417AB"/>
    <w:rsid w:val="00641FCE"/>
    <w:rsid w:val="006427F8"/>
    <w:rsid w:val="0064648B"/>
    <w:rsid w:val="006477EE"/>
    <w:rsid w:val="00647B00"/>
    <w:rsid w:val="00647D59"/>
    <w:rsid w:val="00647DC1"/>
    <w:rsid w:val="0065105E"/>
    <w:rsid w:val="0065143B"/>
    <w:rsid w:val="00652FDF"/>
    <w:rsid w:val="0065317C"/>
    <w:rsid w:val="00653619"/>
    <w:rsid w:val="00654B1D"/>
    <w:rsid w:val="00657BFF"/>
    <w:rsid w:val="006604EF"/>
    <w:rsid w:val="00662711"/>
    <w:rsid w:val="0066524A"/>
    <w:rsid w:val="00667217"/>
    <w:rsid w:val="006676E4"/>
    <w:rsid w:val="00667EA9"/>
    <w:rsid w:val="00670743"/>
    <w:rsid w:val="00671063"/>
    <w:rsid w:val="00673947"/>
    <w:rsid w:val="006756D4"/>
    <w:rsid w:val="00675C9F"/>
    <w:rsid w:val="006766AC"/>
    <w:rsid w:val="00676C1A"/>
    <w:rsid w:val="0067706B"/>
    <w:rsid w:val="00677D72"/>
    <w:rsid w:val="00680EB4"/>
    <w:rsid w:val="00681F9D"/>
    <w:rsid w:val="00683D5B"/>
    <w:rsid w:val="00683F8E"/>
    <w:rsid w:val="006840EC"/>
    <w:rsid w:val="0068416D"/>
    <w:rsid w:val="00684C53"/>
    <w:rsid w:val="00686127"/>
    <w:rsid w:val="006875A2"/>
    <w:rsid w:val="006876D7"/>
    <w:rsid w:val="00687AF7"/>
    <w:rsid w:val="00690C65"/>
    <w:rsid w:val="00690ECB"/>
    <w:rsid w:val="00691218"/>
    <w:rsid w:val="00691E34"/>
    <w:rsid w:val="006928A4"/>
    <w:rsid w:val="00693692"/>
    <w:rsid w:val="00693E97"/>
    <w:rsid w:val="0069550B"/>
    <w:rsid w:val="0069567D"/>
    <w:rsid w:val="00696911"/>
    <w:rsid w:val="00697752"/>
    <w:rsid w:val="00697D3C"/>
    <w:rsid w:val="006A1B58"/>
    <w:rsid w:val="006A1BC5"/>
    <w:rsid w:val="006A1DB0"/>
    <w:rsid w:val="006A2170"/>
    <w:rsid w:val="006A2193"/>
    <w:rsid w:val="006A29DA"/>
    <w:rsid w:val="006A35BB"/>
    <w:rsid w:val="006A37D0"/>
    <w:rsid w:val="006A3C32"/>
    <w:rsid w:val="006A5EAA"/>
    <w:rsid w:val="006A6847"/>
    <w:rsid w:val="006A6D97"/>
    <w:rsid w:val="006A7031"/>
    <w:rsid w:val="006A752F"/>
    <w:rsid w:val="006B1953"/>
    <w:rsid w:val="006B2F56"/>
    <w:rsid w:val="006B337E"/>
    <w:rsid w:val="006B70B7"/>
    <w:rsid w:val="006B714A"/>
    <w:rsid w:val="006B7261"/>
    <w:rsid w:val="006C06A6"/>
    <w:rsid w:val="006C66BB"/>
    <w:rsid w:val="006D0D76"/>
    <w:rsid w:val="006D397B"/>
    <w:rsid w:val="006D641C"/>
    <w:rsid w:val="006D765D"/>
    <w:rsid w:val="006E0801"/>
    <w:rsid w:val="006E4082"/>
    <w:rsid w:val="006E463C"/>
    <w:rsid w:val="006E4683"/>
    <w:rsid w:val="006E58F7"/>
    <w:rsid w:val="006E657B"/>
    <w:rsid w:val="006E7187"/>
    <w:rsid w:val="006E7AC9"/>
    <w:rsid w:val="006F1455"/>
    <w:rsid w:val="006F1C16"/>
    <w:rsid w:val="006F458C"/>
    <w:rsid w:val="006F6CCC"/>
    <w:rsid w:val="007007B4"/>
    <w:rsid w:val="00701135"/>
    <w:rsid w:val="0070143A"/>
    <w:rsid w:val="007019BD"/>
    <w:rsid w:val="00704414"/>
    <w:rsid w:val="0070590C"/>
    <w:rsid w:val="00705C82"/>
    <w:rsid w:val="007063D8"/>
    <w:rsid w:val="00710DCC"/>
    <w:rsid w:val="00710FF5"/>
    <w:rsid w:val="00711BB5"/>
    <w:rsid w:val="007124C0"/>
    <w:rsid w:val="0071336E"/>
    <w:rsid w:val="00714E50"/>
    <w:rsid w:val="00715FFF"/>
    <w:rsid w:val="007160A3"/>
    <w:rsid w:val="00716A5E"/>
    <w:rsid w:val="00716EBE"/>
    <w:rsid w:val="00716FCB"/>
    <w:rsid w:val="00720973"/>
    <w:rsid w:val="00720F05"/>
    <w:rsid w:val="0072334D"/>
    <w:rsid w:val="007247EC"/>
    <w:rsid w:val="00726A2B"/>
    <w:rsid w:val="00726A6F"/>
    <w:rsid w:val="0073185D"/>
    <w:rsid w:val="007322F7"/>
    <w:rsid w:val="007353A7"/>
    <w:rsid w:val="0073582D"/>
    <w:rsid w:val="00735A22"/>
    <w:rsid w:val="007360F4"/>
    <w:rsid w:val="00743859"/>
    <w:rsid w:val="007438C2"/>
    <w:rsid w:val="00743FB0"/>
    <w:rsid w:val="00746C02"/>
    <w:rsid w:val="007504E8"/>
    <w:rsid w:val="007511DB"/>
    <w:rsid w:val="00751F73"/>
    <w:rsid w:val="0075277C"/>
    <w:rsid w:val="00752EC1"/>
    <w:rsid w:val="00754206"/>
    <w:rsid w:val="0075741F"/>
    <w:rsid w:val="007624FD"/>
    <w:rsid w:val="0076250B"/>
    <w:rsid w:val="00762590"/>
    <w:rsid w:val="00763196"/>
    <w:rsid w:val="00763507"/>
    <w:rsid w:val="00763B53"/>
    <w:rsid w:val="00764565"/>
    <w:rsid w:val="00765A67"/>
    <w:rsid w:val="00766281"/>
    <w:rsid w:val="00770B34"/>
    <w:rsid w:val="00770E38"/>
    <w:rsid w:val="00772635"/>
    <w:rsid w:val="0077389E"/>
    <w:rsid w:val="00775F12"/>
    <w:rsid w:val="0078387B"/>
    <w:rsid w:val="00784C42"/>
    <w:rsid w:val="00785290"/>
    <w:rsid w:val="00786709"/>
    <w:rsid w:val="00786D48"/>
    <w:rsid w:val="0078776B"/>
    <w:rsid w:val="007879F9"/>
    <w:rsid w:val="0079268F"/>
    <w:rsid w:val="00794113"/>
    <w:rsid w:val="00794A14"/>
    <w:rsid w:val="00796A72"/>
    <w:rsid w:val="00797E62"/>
    <w:rsid w:val="007A1409"/>
    <w:rsid w:val="007A1FD6"/>
    <w:rsid w:val="007A23FF"/>
    <w:rsid w:val="007A347F"/>
    <w:rsid w:val="007A52EA"/>
    <w:rsid w:val="007A5BA7"/>
    <w:rsid w:val="007A6CAD"/>
    <w:rsid w:val="007B3D3A"/>
    <w:rsid w:val="007B665D"/>
    <w:rsid w:val="007B6C12"/>
    <w:rsid w:val="007B7668"/>
    <w:rsid w:val="007C089A"/>
    <w:rsid w:val="007C5213"/>
    <w:rsid w:val="007C549D"/>
    <w:rsid w:val="007C65CC"/>
    <w:rsid w:val="007D0880"/>
    <w:rsid w:val="007D3280"/>
    <w:rsid w:val="007D5766"/>
    <w:rsid w:val="007D608D"/>
    <w:rsid w:val="007D7B99"/>
    <w:rsid w:val="007E203E"/>
    <w:rsid w:val="007E2ADD"/>
    <w:rsid w:val="007E3C0B"/>
    <w:rsid w:val="007E4496"/>
    <w:rsid w:val="007E5364"/>
    <w:rsid w:val="007E55A8"/>
    <w:rsid w:val="007E784F"/>
    <w:rsid w:val="007E7EC2"/>
    <w:rsid w:val="007F0813"/>
    <w:rsid w:val="007F33DA"/>
    <w:rsid w:val="007F38EA"/>
    <w:rsid w:val="007F42F8"/>
    <w:rsid w:val="007F6504"/>
    <w:rsid w:val="007F6533"/>
    <w:rsid w:val="007F6DDB"/>
    <w:rsid w:val="007F6E0A"/>
    <w:rsid w:val="007F7524"/>
    <w:rsid w:val="007F78CF"/>
    <w:rsid w:val="008000FF"/>
    <w:rsid w:val="008003CF"/>
    <w:rsid w:val="00802C6B"/>
    <w:rsid w:val="00803031"/>
    <w:rsid w:val="0080390D"/>
    <w:rsid w:val="00810084"/>
    <w:rsid w:val="008121A1"/>
    <w:rsid w:val="008132E8"/>
    <w:rsid w:val="00813C82"/>
    <w:rsid w:val="0081488F"/>
    <w:rsid w:val="00815911"/>
    <w:rsid w:val="0081673A"/>
    <w:rsid w:val="008171C1"/>
    <w:rsid w:val="008204FE"/>
    <w:rsid w:val="00820FB0"/>
    <w:rsid w:val="00822C85"/>
    <w:rsid w:val="00826BD7"/>
    <w:rsid w:val="00830B63"/>
    <w:rsid w:val="00833135"/>
    <w:rsid w:val="00833604"/>
    <w:rsid w:val="0083524B"/>
    <w:rsid w:val="008365A1"/>
    <w:rsid w:val="00837D19"/>
    <w:rsid w:val="00841861"/>
    <w:rsid w:val="00842062"/>
    <w:rsid w:val="00842A48"/>
    <w:rsid w:val="008430AF"/>
    <w:rsid w:val="00843392"/>
    <w:rsid w:val="008457A3"/>
    <w:rsid w:val="00846440"/>
    <w:rsid w:val="00846C3B"/>
    <w:rsid w:val="0085037A"/>
    <w:rsid w:val="00850422"/>
    <w:rsid w:val="00853206"/>
    <w:rsid w:val="00854151"/>
    <w:rsid w:val="008558F6"/>
    <w:rsid w:val="00855D7B"/>
    <w:rsid w:val="00856A9C"/>
    <w:rsid w:val="00861C7D"/>
    <w:rsid w:val="00862405"/>
    <w:rsid w:val="00870550"/>
    <w:rsid w:val="00872127"/>
    <w:rsid w:val="008723EC"/>
    <w:rsid w:val="008747AA"/>
    <w:rsid w:val="008747D8"/>
    <w:rsid w:val="00874BC4"/>
    <w:rsid w:val="008770F3"/>
    <w:rsid w:val="0088102E"/>
    <w:rsid w:val="0088249A"/>
    <w:rsid w:val="00882C80"/>
    <w:rsid w:val="0088385D"/>
    <w:rsid w:val="0088523A"/>
    <w:rsid w:val="00890752"/>
    <w:rsid w:val="008909BC"/>
    <w:rsid w:val="008909ED"/>
    <w:rsid w:val="00890ABE"/>
    <w:rsid w:val="0089191B"/>
    <w:rsid w:val="00893119"/>
    <w:rsid w:val="008932CB"/>
    <w:rsid w:val="0089403C"/>
    <w:rsid w:val="00895513"/>
    <w:rsid w:val="008964BF"/>
    <w:rsid w:val="008968C2"/>
    <w:rsid w:val="008A2365"/>
    <w:rsid w:val="008A3914"/>
    <w:rsid w:val="008A42D5"/>
    <w:rsid w:val="008A4D01"/>
    <w:rsid w:val="008A5920"/>
    <w:rsid w:val="008A6FCB"/>
    <w:rsid w:val="008A7371"/>
    <w:rsid w:val="008A73EB"/>
    <w:rsid w:val="008A7FCF"/>
    <w:rsid w:val="008B1AD0"/>
    <w:rsid w:val="008B2C23"/>
    <w:rsid w:val="008B3DC9"/>
    <w:rsid w:val="008B4417"/>
    <w:rsid w:val="008B4B2F"/>
    <w:rsid w:val="008B549E"/>
    <w:rsid w:val="008B671F"/>
    <w:rsid w:val="008C03FF"/>
    <w:rsid w:val="008C05D5"/>
    <w:rsid w:val="008C081B"/>
    <w:rsid w:val="008C1777"/>
    <w:rsid w:val="008C28FD"/>
    <w:rsid w:val="008C3D0F"/>
    <w:rsid w:val="008C3D18"/>
    <w:rsid w:val="008C4D28"/>
    <w:rsid w:val="008C55E1"/>
    <w:rsid w:val="008C5ACE"/>
    <w:rsid w:val="008C5C18"/>
    <w:rsid w:val="008C691D"/>
    <w:rsid w:val="008C75FD"/>
    <w:rsid w:val="008D1405"/>
    <w:rsid w:val="008D2AE6"/>
    <w:rsid w:val="008D387C"/>
    <w:rsid w:val="008D40A0"/>
    <w:rsid w:val="008D5587"/>
    <w:rsid w:val="008D5CB3"/>
    <w:rsid w:val="008D5F14"/>
    <w:rsid w:val="008E1E6E"/>
    <w:rsid w:val="008E3EEB"/>
    <w:rsid w:val="008E4238"/>
    <w:rsid w:val="008E468B"/>
    <w:rsid w:val="008E4EC2"/>
    <w:rsid w:val="008E5DE1"/>
    <w:rsid w:val="008F382D"/>
    <w:rsid w:val="008F3E38"/>
    <w:rsid w:val="008F4C3A"/>
    <w:rsid w:val="00900D63"/>
    <w:rsid w:val="009014EB"/>
    <w:rsid w:val="00902F78"/>
    <w:rsid w:val="00903F90"/>
    <w:rsid w:val="00905ACE"/>
    <w:rsid w:val="009124C2"/>
    <w:rsid w:val="0091638A"/>
    <w:rsid w:val="00920BBE"/>
    <w:rsid w:val="00920CBE"/>
    <w:rsid w:val="009218E5"/>
    <w:rsid w:val="00922733"/>
    <w:rsid w:val="00923600"/>
    <w:rsid w:val="0092409F"/>
    <w:rsid w:val="009240CC"/>
    <w:rsid w:val="00927389"/>
    <w:rsid w:val="00930959"/>
    <w:rsid w:val="00931050"/>
    <w:rsid w:val="00933291"/>
    <w:rsid w:val="009342BF"/>
    <w:rsid w:val="009404F1"/>
    <w:rsid w:val="0094159E"/>
    <w:rsid w:val="009416A3"/>
    <w:rsid w:val="00941F86"/>
    <w:rsid w:val="00942091"/>
    <w:rsid w:val="00946A73"/>
    <w:rsid w:val="00947149"/>
    <w:rsid w:val="00952A12"/>
    <w:rsid w:val="00952EF1"/>
    <w:rsid w:val="0095370C"/>
    <w:rsid w:val="00953CA3"/>
    <w:rsid w:val="00954988"/>
    <w:rsid w:val="00954B31"/>
    <w:rsid w:val="00962261"/>
    <w:rsid w:val="00962777"/>
    <w:rsid w:val="00963605"/>
    <w:rsid w:val="00964586"/>
    <w:rsid w:val="0096461C"/>
    <w:rsid w:val="009659E9"/>
    <w:rsid w:val="00967112"/>
    <w:rsid w:val="00970E09"/>
    <w:rsid w:val="00974018"/>
    <w:rsid w:val="00974042"/>
    <w:rsid w:val="00974237"/>
    <w:rsid w:val="009749F0"/>
    <w:rsid w:val="00975BF8"/>
    <w:rsid w:val="00975CD0"/>
    <w:rsid w:val="00977BB8"/>
    <w:rsid w:val="00980690"/>
    <w:rsid w:val="00980CA8"/>
    <w:rsid w:val="00981B66"/>
    <w:rsid w:val="00987506"/>
    <w:rsid w:val="00987D70"/>
    <w:rsid w:val="009927CF"/>
    <w:rsid w:val="00992D21"/>
    <w:rsid w:val="009957AD"/>
    <w:rsid w:val="0099729F"/>
    <w:rsid w:val="009A0BD1"/>
    <w:rsid w:val="009A1917"/>
    <w:rsid w:val="009A376A"/>
    <w:rsid w:val="009A3990"/>
    <w:rsid w:val="009A4C25"/>
    <w:rsid w:val="009A5522"/>
    <w:rsid w:val="009A7E59"/>
    <w:rsid w:val="009B0FD8"/>
    <w:rsid w:val="009B2C2E"/>
    <w:rsid w:val="009B3CF4"/>
    <w:rsid w:val="009B402B"/>
    <w:rsid w:val="009B4A9A"/>
    <w:rsid w:val="009B588E"/>
    <w:rsid w:val="009B5CF0"/>
    <w:rsid w:val="009B7971"/>
    <w:rsid w:val="009C0CA8"/>
    <w:rsid w:val="009C26CB"/>
    <w:rsid w:val="009C2CB2"/>
    <w:rsid w:val="009C5D4C"/>
    <w:rsid w:val="009C7D53"/>
    <w:rsid w:val="009D1974"/>
    <w:rsid w:val="009D2E75"/>
    <w:rsid w:val="009D3CA4"/>
    <w:rsid w:val="009D4C90"/>
    <w:rsid w:val="009D5111"/>
    <w:rsid w:val="009D5629"/>
    <w:rsid w:val="009D5DB2"/>
    <w:rsid w:val="009D6B06"/>
    <w:rsid w:val="009E1AFF"/>
    <w:rsid w:val="009E245B"/>
    <w:rsid w:val="009E4AAB"/>
    <w:rsid w:val="009E7BD4"/>
    <w:rsid w:val="009E7C10"/>
    <w:rsid w:val="009F0D61"/>
    <w:rsid w:val="009F1750"/>
    <w:rsid w:val="009F1E21"/>
    <w:rsid w:val="009F3D32"/>
    <w:rsid w:val="009F4D00"/>
    <w:rsid w:val="009F539D"/>
    <w:rsid w:val="009F5890"/>
    <w:rsid w:val="009F752E"/>
    <w:rsid w:val="009F77E9"/>
    <w:rsid w:val="00A00CAC"/>
    <w:rsid w:val="00A02DAE"/>
    <w:rsid w:val="00A05A05"/>
    <w:rsid w:val="00A067A2"/>
    <w:rsid w:val="00A073D0"/>
    <w:rsid w:val="00A07E11"/>
    <w:rsid w:val="00A1066F"/>
    <w:rsid w:val="00A11439"/>
    <w:rsid w:val="00A11D15"/>
    <w:rsid w:val="00A12A66"/>
    <w:rsid w:val="00A12E6C"/>
    <w:rsid w:val="00A139B9"/>
    <w:rsid w:val="00A1555A"/>
    <w:rsid w:val="00A1573D"/>
    <w:rsid w:val="00A15DF4"/>
    <w:rsid w:val="00A1708F"/>
    <w:rsid w:val="00A177A7"/>
    <w:rsid w:val="00A20D84"/>
    <w:rsid w:val="00A22017"/>
    <w:rsid w:val="00A23366"/>
    <w:rsid w:val="00A25D28"/>
    <w:rsid w:val="00A270A1"/>
    <w:rsid w:val="00A27956"/>
    <w:rsid w:val="00A27A9E"/>
    <w:rsid w:val="00A32E4E"/>
    <w:rsid w:val="00A41344"/>
    <w:rsid w:val="00A427D7"/>
    <w:rsid w:val="00A43301"/>
    <w:rsid w:val="00A453D2"/>
    <w:rsid w:val="00A456F3"/>
    <w:rsid w:val="00A50052"/>
    <w:rsid w:val="00A55690"/>
    <w:rsid w:val="00A60DCB"/>
    <w:rsid w:val="00A61750"/>
    <w:rsid w:val="00A70F72"/>
    <w:rsid w:val="00A7103C"/>
    <w:rsid w:val="00A71F9B"/>
    <w:rsid w:val="00A7640B"/>
    <w:rsid w:val="00A77E79"/>
    <w:rsid w:val="00A8456B"/>
    <w:rsid w:val="00A849C2"/>
    <w:rsid w:val="00A85493"/>
    <w:rsid w:val="00A85E95"/>
    <w:rsid w:val="00A85EB4"/>
    <w:rsid w:val="00A867B0"/>
    <w:rsid w:val="00A86B99"/>
    <w:rsid w:val="00A90291"/>
    <w:rsid w:val="00A909B7"/>
    <w:rsid w:val="00A931E8"/>
    <w:rsid w:val="00A934DA"/>
    <w:rsid w:val="00A94210"/>
    <w:rsid w:val="00A949B7"/>
    <w:rsid w:val="00A96018"/>
    <w:rsid w:val="00A97D90"/>
    <w:rsid w:val="00AA2600"/>
    <w:rsid w:val="00AA373E"/>
    <w:rsid w:val="00AA3971"/>
    <w:rsid w:val="00AB0886"/>
    <w:rsid w:val="00AB0F13"/>
    <w:rsid w:val="00AB11E2"/>
    <w:rsid w:val="00AB3849"/>
    <w:rsid w:val="00AB4E85"/>
    <w:rsid w:val="00AB5673"/>
    <w:rsid w:val="00AB6892"/>
    <w:rsid w:val="00AB7B02"/>
    <w:rsid w:val="00AC0EFE"/>
    <w:rsid w:val="00AC24B5"/>
    <w:rsid w:val="00AC3BB7"/>
    <w:rsid w:val="00AC4E8F"/>
    <w:rsid w:val="00AC59C0"/>
    <w:rsid w:val="00AC60D2"/>
    <w:rsid w:val="00AC6416"/>
    <w:rsid w:val="00AC7EA9"/>
    <w:rsid w:val="00AD036C"/>
    <w:rsid w:val="00AD20AE"/>
    <w:rsid w:val="00AD4638"/>
    <w:rsid w:val="00AD57F7"/>
    <w:rsid w:val="00AE1172"/>
    <w:rsid w:val="00AE310F"/>
    <w:rsid w:val="00AE47CD"/>
    <w:rsid w:val="00AE5B9E"/>
    <w:rsid w:val="00AE7A02"/>
    <w:rsid w:val="00AE7ACA"/>
    <w:rsid w:val="00AF1030"/>
    <w:rsid w:val="00AF12BA"/>
    <w:rsid w:val="00AF12C3"/>
    <w:rsid w:val="00AF2ECA"/>
    <w:rsid w:val="00AF4143"/>
    <w:rsid w:val="00B02D97"/>
    <w:rsid w:val="00B03F7E"/>
    <w:rsid w:val="00B062F4"/>
    <w:rsid w:val="00B06B22"/>
    <w:rsid w:val="00B11C4E"/>
    <w:rsid w:val="00B12727"/>
    <w:rsid w:val="00B127C6"/>
    <w:rsid w:val="00B131FF"/>
    <w:rsid w:val="00B14086"/>
    <w:rsid w:val="00B1766F"/>
    <w:rsid w:val="00B20AC9"/>
    <w:rsid w:val="00B210D1"/>
    <w:rsid w:val="00B24902"/>
    <w:rsid w:val="00B2535F"/>
    <w:rsid w:val="00B25D10"/>
    <w:rsid w:val="00B25D61"/>
    <w:rsid w:val="00B31957"/>
    <w:rsid w:val="00B338BC"/>
    <w:rsid w:val="00B34FA6"/>
    <w:rsid w:val="00B35493"/>
    <w:rsid w:val="00B35CCE"/>
    <w:rsid w:val="00B362A6"/>
    <w:rsid w:val="00B36AA0"/>
    <w:rsid w:val="00B370D6"/>
    <w:rsid w:val="00B3768A"/>
    <w:rsid w:val="00B3792C"/>
    <w:rsid w:val="00B37A18"/>
    <w:rsid w:val="00B423F8"/>
    <w:rsid w:val="00B429CA"/>
    <w:rsid w:val="00B436D6"/>
    <w:rsid w:val="00B466BF"/>
    <w:rsid w:val="00B50CF7"/>
    <w:rsid w:val="00B5289A"/>
    <w:rsid w:val="00B53BCF"/>
    <w:rsid w:val="00B540F2"/>
    <w:rsid w:val="00B54624"/>
    <w:rsid w:val="00B554BE"/>
    <w:rsid w:val="00B61761"/>
    <w:rsid w:val="00B62687"/>
    <w:rsid w:val="00B62FE3"/>
    <w:rsid w:val="00B6395D"/>
    <w:rsid w:val="00B63A99"/>
    <w:rsid w:val="00B66E2C"/>
    <w:rsid w:val="00B70BA0"/>
    <w:rsid w:val="00B73789"/>
    <w:rsid w:val="00B73C06"/>
    <w:rsid w:val="00B76018"/>
    <w:rsid w:val="00B76229"/>
    <w:rsid w:val="00B801AC"/>
    <w:rsid w:val="00B80916"/>
    <w:rsid w:val="00B8306B"/>
    <w:rsid w:val="00B83872"/>
    <w:rsid w:val="00B84404"/>
    <w:rsid w:val="00B855ED"/>
    <w:rsid w:val="00B85DEF"/>
    <w:rsid w:val="00B870C5"/>
    <w:rsid w:val="00B92CFC"/>
    <w:rsid w:val="00B950CB"/>
    <w:rsid w:val="00B95B16"/>
    <w:rsid w:val="00B96ECE"/>
    <w:rsid w:val="00B973C4"/>
    <w:rsid w:val="00BA113E"/>
    <w:rsid w:val="00BA15D7"/>
    <w:rsid w:val="00BA381E"/>
    <w:rsid w:val="00BA3A0A"/>
    <w:rsid w:val="00BA6535"/>
    <w:rsid w:val="00BA69BE"/>
    <w:rsid w:val="00BB0100"/>
    <w:rsid w:val="00BB0450"/>
    <w:rsid w:val="00BB0982"/>
    <w:rsid w:val="00BB1C38"/>
    <w:rsid w:val="00BB2603"/>
    <w:rsid w:val="00BB2747"/>
    <w:rsid w:val="00BB3980"/>
    <w:rsid w:val="00BB3C9D"/>
    <w:rsid w:val="00BB4F10"/>
    <w:rsid w:val="00BC0B0A"/>
    <w:rsid w:val="00BC285A"/>
    <w:rsid w:val="00BC5058"/>
    <w:rsid w:val="00BC5213"/>
    <w:rsid w:val="00BC60A6"/>
    <w:rsid w:val="00BC67BE"/>
    <w:rsid w:val="00BC7743"/>
    <w:rsid w:val="00BD0948"/>
    <w:rsid w:val="00BD0CCF"/>
    <w:rsid w:val="00BD3B41"/>
    <w:rsid w:val="00BD3C26"/>
    <w:rsid w:val="00BD7FC7"/>
    <w:rsid w:val="00BE03BF"/>
    <w:rsid w:val="00BE12E3"/>
    <w:rsid w:val="00BE14B8"/>
    <w:rsid w:val="00BE29DC"/>
    <w:rsid w:val="00BE2A1F"/>
    <w:rsid w:val="00BE34E1"/>
    <w:rsid w:val="00BE6111"/>
    <w:rsid w:val="00BE635C"/>
    <w:rsid w:val="00BE6580"/>
    <w:rsid w:val="00BE7CA6"/>
    <w:rsid w:val="00BF2403"/>
    <w:rsid w:val="00BF256F"/>
    <w:rsid w:val="00BF5B85"/>
    <w:rsid w:val="00BF7BB9"/>
    <w:rsid w:val="00C017B9"/>
    <w:rsid w:val="00C01D05"/>
    <w:rsid w:val="00C04704"/>
    <w:rsid w:val="00C058AB"/>
    <w:rsid w:val="00C10A06"/>
    <w:rsid w:val="00C10BD3"/>
    <w:rsid w:val="00C10DE1"/>
    <w:rsid w:val="00C11DAF"/>
    <w:rsid w:val="00C141DD"/>
    <w:rsid w:val="00C15ED3"/>
    <w:rsid w:val="00C160E8"/>
    <w:rsid w:val="00C168EF"/>
    <w:rsid w:val="00C2049D"/>
    <w:rsid w:val="00C20A59"/>
    <w:rsid w:val="00C21088"/>
    <w:rsid w:val="00C22813"/>
    <w:rsid w:val="00C2405B"/>
    <w:rsid w:val="00C243E6"/>
    <w:rsid w:val="00C260C9"/>
    <w:rsid w:val="00C26398"/>
    <w:rsid w:val="00C26EF0"/>
    <w:rsid w:val="00C275DC"/>
    <w:rsid w:val="00C27962"/>
    <w:rsid w:val="00C306BA"/>
    <w:rsid w:val="00C3138C"/>
    <w:rsid w:val="00C375B5"/>
    <w:rsid w:val="00C40162"/>
    <w:rsid w:val="00C40383"/>
    <w:rsid w:val="00C417DD"/>
    <w:rsid w:val="00C41960"/>
    <w:rsid w:val="00C43D1F"/>
    <w:rsid w:val="00C441ED"/>
    <w:rsid w:val="00C44658"/>
    <w:rsid w:val="00C450A0"/>
    <w:rsid w:val="00C46A9C"/>
    <w:rsid w:val="00C47022"/>
    <w:rsid w:val="00C5168C"/>
    <w:rsid w:val="00C56078"/>
    <w:rsid w:val="00C56A00"/>
    <w:rsid w:val="00C6214F"/>
    <w:rsid w:val="00C62828"/>
    <w:rsid w:val="00C63B87"/>
    <w:rsid w:val="00C65724"/>
    <w:rsid w:val="00C664BA"/>
    <w:rsid w:val="00C6692E"/>
    <w:rsid w:val="00C66CC2"/>
    <w:rsid w:val="00C71B53"/>
    <w:rsid w:val="00C73852"/>
    <w:rsid w:val="00C74A5F"/>
    <w:rsid w:val="00C77C3C"/>
    <w:rsid w:val="00C80242"/>
    <w:rsid w:val="00C81BAE"/>
    <w:rsid w:val="00C826F5"/>
    <w:rsid w:val="00C8280C"/>
    <w:rsid w:val="00C83C6F"/>
    <w:rsid w:val="00C85CD0"/>
    <w:rsid w:val="00C86BAB"/>
    <w:rsid w:val="00C9007D"/>
    <w:rsid w:val="00C90963"/>
    <w:rsid w:val="00C92226"/>
    <w:rsid w:val="00C92D43"/>
    <w:rsid w:val="00C96274"/>
    <w:rsid w:val="00CA2621"/>
    <w:rsid w:val="00CA268C"/>
    <w:rsid w:val="00CA578B"/>
    <w:rsid w:val="00CA5802"/>
    <w:rsid w:val="00CA5FA5"/>
    <w:rsid w:val="00CA6370"/>
    <w:rsid w:val="00CA6D65"/>
    <w:rsid w:val="00CA6F39"/>
    <w:rsid w:val="00CB015C"/>
    <w:rsid w:val="00CB1D31"/>
    <w:rsid w:val="00CB289D"/>
    <w:rsid w:val="00CB360B"/>
    <w:rsid w:val="00CB5AEA"/>
    <w:rsid w:val="00CB60E6"/>
    <w:rsid w:val="00CB7BCC"/>
    <w:rsid w:val="00CC1101"/>
    <w:rsid w:val="00CC785E"/>
    <w:rsid w:val="00CC7E23"/>
    <w:rsid w:val="00CC7EA5"/>
    <w:rsid w:val="00CD09E2"/>
    <w:rsid w:val="00CD1433"/>
    <w:rsid w:val="00CD1C7D"/>
    <w:rsid w:val="00CD2463"/>
    <w:rsid w:val="00CD2B4E"/>
    <w:rsid w:val="00CD3D19"/>
    <w:rsid w:val="00CD4B69"/>
    <w:rsid w:val="00CD56D8"/>
    <w:rsid w:val="00CD656B"/>
    <w:rsid w:val="00CD7FCD"/>
    <w:rsid w:val="00CE1913"/>
    <w:rsid w:val="00CE589B"/>
    <w:rsid w:val="00CE77C8"/>
    <w:rsid w:val="00CF00E1"/>
    <w:rsid w:val="00CF1585"/>
    <w:rsid w:val="00CF17B4"/>
    <w:rsid w:val="00CF1E8D"/>
    <w:rsid w:val="00CF2C68"/>
    <w:rsid w:val="00CF401B"/>
    <w:rsid w:val="00CF4801"/>
    <w:rsid w:val="00CF717E"/>
    <w:rsid w:val="00D025DE"/>
    <w:rsid w:val="00D026B9"/>
    <w:rsid w:val="00D0446E"/>
    <w:rsid w:val="00D0459E"/>
    <w:rsid w:val="00D0498D"/>
    <w:rsid w:val="00D07D97"/>
    <w:rsid w:val="00D10BB8"/>
    <w:rsid w:val="00D12631"/>
    <w:rsid w:val="00D13E87"/>
    <w:rsid w:val="00D1416E"/>
    <w:rsid w:val="00D148B5"/>
    <w:rsid w:val="00D15B86"/>
    <w:rsid w:val="00D20EC5"/>
    <w:rsid w:val="00D22B87"/>
    <w:rsid w:val="00D22D33"/>
    <w:rsid w:val="00D2442C"/>
    <w:rsid w:val="00D24971"/>
    <w:rsid w:val="00D26758"/>
    <w:rsid w:val="00D30B31"/>
    <w:rsid w:val="00D3172C"/>
    <w:rsid w:val="00D33920"/>
    <w:rsid w:val="00D3426C"/>
    <w:rsid w:val="00D34B81"/>
    <w:rsid w:val="00D365A5"/>
    <w:rsid w:val="00D40167"/>
    <w:rsid w:val="00D44AF0"/>
    <w:rsid w:val="00D4555B"/>
    <w:rsid w:val="00D45572"/>
    <w:rsid w:val="00D45913"/>
    <w:rsid w:val="00D45965"/>
    <w:rsid w:val="00D46777"/>
    <w:rsid w:val="00D5096F"/>
    <w:rsid w:val="00D5294B"/>
    <w:rsid w:val="00D52C77"/>
    <w:rsid w:val="00D562CB"/>
    <w:rsid w:val="00D57D41"/>
    <w:rsid w:val="00D610D4"/>
    <w:rsid w:val="00D62D2C"/>
    <w:rsid w:val="00D63006"/>
    <w:rsid w:val="00D63F9F"/>
    <w:rsid w:val="00D6674B"/>
    <w:rsid w:val="00D6693B"/>
    <w:rsid w:val="00D66B63"/>
    <w:rsid w:val="00D66CE6"/>
    <w:rsid w:val="00D709C8"/>
    <w:rsid w:val="00D8087D"/>
    <w:rsid w:val="00D81925"/>
    <w:rsid w:val="00D853FD"/>
    <w:rsid w:val="00D8700E"/>
    <w:rsid w:val="00D9027D"/>
    <w:rsid w:val="00D919E7"/>
    <w:rsid w:val="00D91F8B"/>
    <w:rsid w:val="00D92368"/>
    <w:rsid w:val="00D942DC"/>
    <w:rsid w:val="00D95A2B"/>
    <w:rsid w:val="00D971EF"/>
    <w:rsid w:val="00DA04D5"/>
    <w:rsid w:val="00DA0AED"/>
    <w:rsid w:val="00DA0F3F"/>
    <w:rsid w:val="00DA4A09"/>
    <w:rsid w:val="00DA5B86"/>
    <w:rsid w:val="00DA5D41"/>
    <w:rsid w:val="00DB7022"/>
    <w:rsid w:val="00DC0310"/>
    <w:rsid w:val="00DC264B"/>
    <w:rsid w:val="00DC29BE"/>
    <w:rsid w:val="00DC3FDA"/>
    <w:rsid w:val="00DC643F"/>
    <w:rsid w:val="00DC6A3B"/>
    <w:rsid w:val="00DC6DA7"/>
    <w:rsid w:val="00DD0ACE"/>
    <w:rsid w:val="00DD15CB"/>
    <w:rsid w:val="00DD1777"/>
    <w:rsid w:val="00DD4BC2"/>
    <w:rsid w:val="00DD6B62"/>
    <w:rsid w:val="00DE11D7"/>
    <w:rsid w:val="00DE2E42"/>
    <w:rsid w:val="00DE4D99"/>
    <w:rsid w:val="00DE6314"/>
    <w:rsid w:val="00DF07E9"/>
    <w:rsid w:val="00DF2FA0"/>
    <w:rsid w:val="00DF3371"/>
    <w:rsid w:val="00DF47BD"/>
    <w:rsid w:val="00DF4C5E"/>
    <w:rsid w:val="00DF51CA"/>
    <w:rsid w:val="00DF5327"/>
    <w:rsid w:val="00DF69F1"/>
    <w:rsid w:val="00E00E55"/>
    <w:rsid w:val="00E01D64"/>
    <w:rsid w:val="00E0293E"/>
    <w:rsid w:val="00E04F38"/>
    <w:rsid w:val="00E066BB"/>
    <w:rsid w:val="00E07919"/>
    <w:rsid w:val="00E12A51"/>
    <w:rsid w:val="00E162C4"/>
    <w:rsid w:val="00E16547"/>
    <w:rsid w:val="00E169F7"/>
    <w:rsid w:val="00E175B6"/>
    <w:rsid w:val="00E24E44"/>
    <w:rsid w:val="00E267BD"/>
    <w:rsid w:val="00E26B9F"/>
    <w:rsid w:val="00E300BA"/>
    <w:rsid w:val="00E310BA"/>
    <w:rsid w:val="00E315A0"/>
    <w:rsid w:val="00E3256D"/>
    <w:rsid w:val="00E3312E"/>
    <w:rsid w:val="00E41562"/>
    <w:rsid w:val="00E424F0"/>
    <w:rsid w:val="00E4380E"/>
    <w:rsid w:val="00E50249"/>
    <w:rsid w:val="00E51E6C"/>
    <w:rsid w:val="00E53C98"/>
    <w:rsid w:val="00E54E6D"/>
    <w:rsid w:val="00E5697C"/>
    <w:rsid w:val="00E60FCF"/>
    <w:rsid w:val="00E62741"/>
    <w:rsid w:val="00E62C1F"/>
    <w:rsid w:val="00E62D9D"/>
    <w:rsid w:val="00E62EDD"/>
    <w:rsid w:val="00E63F6E"/>
    <w:rsid w:val="00E66B9E"/>
    <w:rsid w:val="00E713A3"/>
    <w:rsid w:val="00E7192C"/>
    <w:rsid w:val="00E73031"/>
    <w:rsid w:val="00E74BC8"/>
    <w:rsid w:val="00E75317"/>
    <w:rsid w:val="00E76B3D"/>
    <w:rsid w:val="00E777BE"/>
    <w:rsid w:val="00E77EEA"/>
    <w:rsid w:val="00E80D78"/>
    <w:rsid w:val="00E822A6"/>
    <w:rsid w:val="00E8238C"/>
    <w:rsid w:val="00E82860"/>
    <w:rsid w:val="00E8571A"/>
    <w:rsid w:val="00E858A0"/>
    <w:rsid w:val="00E87AAA"/>
    <w:rsid w:val="00E87B8A"/>
    <w:rsid w:val="00E87DCB"/>
    <w:rsid w:val="00E90016"/>
    <w:rsid w:val="00E90D7B"/>
    <w:rsid w:val="00E911E9"/>
    <w:rsid w:val="00E91C46"/>
    <w:rsid w:val="00E93C94"/>
    <w:rsid w:val="00E9531C"/>
    <w:rsid w:val="00E9543C"/>
    <w:rsid w:val="00E96FD0"/>
    <w:rsid w:val="00E97D41"/>
    <w:rsid w:val="00EA107C"/>
    <w:rsid w:val="00EA1DAE"/>
    <w:rsid w:val="00EA207D"/>
    <w:rsid w:val="00EA3962"/>
    <w:rsid w:val="00EA42C1"/>
    <w:rsid w:val="00EA4FFE"/>
    <w:rsid w:val="00EA7C27"/>
    <w:rsid w:val="00EB28A3"/>
    <w:rsid w:val="00EB33B9"/>
    <w:rsid w:val="00EB43B3"/>
    <w:rsid w:val="00EB4D92"/>
    <w:rsid w:val="00EB5AFB"/>
    <w:rsid w:val="00EB7BDA"/>
    <w:rsid w:val="00EC3412"/>
    <w:rsid w:val="00EC570A"/>
    <w:rsid w:val="00EC6147"/>
    <w:rsid w:val="00EC61AF"/>
    <w:rsid w:val="00ED1681"/>
    <w:rsid w:val="00ED2FF9"/>
    <w:rsid w:val="00ED6B49"/>
    <w:rsid w:val="00ED7309"/>
    <w:rsid w:val="00EE2B40"/>
    <w:rsid w:val="00EE3F07"/>
    <w:rsid w:val="00EE5F61"/>
    <w:rsid w:val="00EE66B2"/>
    <w:rsid w:val="00EE6CAB"/>
    <w:rsid w:val="00EE7A0E"/>
    <w:rsid w:val="00EF21B8"/>
    <w:rsid w:val="00EF3CEE"/>
    <w:rsid w:val="00EF4FA3"/>
    <w:rsid w:val="00EF584F"/>
    <w:rsid w:val="00EF6997"/>
    <w:rsid w:val="00F00A21"/>
    <w:rsid w:val="00F04243"/>
    <w:rsid w:val="00F0479B"/>
    <w:rsid w:val="00F05240"/>
    <w:rsid w:val="00F07D43"/>
    <w:rsid w:val="00F11A33"/>
    <w:rsid w:val="00F11B4C"/>
    <w:rsid w:val="00F127F3"/>
    <w:rsid w:val="00F12990"/>
    <w:rsid w:val="00F13F7A"/>
    <w:rsid w:val="00F14EFD"/>
    <w:rsid w:val="00F15174"/>
    <w:rsid w:val="00F1538D"/>
    <w:rsid w:val="00F15D0D"/>
    <w:rsid w:val="00F15FA4"/>
    <w:rsid w:val="00F170BD"/>
    <w:rsid w:val="00F17D0E"/>
    <w:rsid w:val="00F229D7"/>
    <w:rsid w:val="00F245CB"/>
    <w:rsid w:val="00F27629"/>
    <w:rsid w:val="00F279F3"/>
    <w:rsid w:val="00F32DDE"/>
    <w:rsid w:val="00F33B25"/>
    <w:rsid w:val="00F34EC5"/>
    <w:rsid w:val="00F36A9C"/>
    <w:rsid w:val="00F36B9A"/>
    <w:rsid w:val="00F410CC"/>
    <w:rsid w:val="00F42401"/>
    <w:rsid w:val="00F42965"/>
    <w:rsid w:val="00F4420A"/>
    <w:rsid w:val="00F44FE9"/>
    <w:rsid w:val="00F454AD"/>
    <w:rsid w:val="00F459BF"/>
    <w:rsid w:val="00F53815"/>
    <w:rsid w:val="00F54850"/>
    <w:rsid w:val="00F60E80"/>
    <w:rsid w:val="00F60EA1"/>
    <w:rsid w:val="00F624D6"/>
    <w:rsid w:val="00F643DF"/>
    <w:rsid w:val="00F6450C"/>
    <w:rsid w:val="00F65B8A"/>
    <w:rsid w:val="00F66CCE"/>
    <w:rsid w:val="00F67858"/>
    <w:rsid w:val="00F703E8"/>
    <w:rsid w:val="00F717C3"/>
    <w:rsid w:val="00F725EE"/>
    <w:rsid w:val="00F732A0"/>
    <w:rsid w:val="00F7345C"/>
    <w:rsid w:val="00F73E07"/>
    <w:rsid w:val="00F75D57"/>
    <w:rsid w:val="00F75D5C"/>
    <w:rsid w:val="00F775E4"/>
    <w:rsid w:val="00F77623"/>
    <w:rsid w:val="00F801B6"/>
    <w:rsid w:val="00F80AA7"/>
    <w:rsid w:val="00F819FD"/>
    <w:rsid w:val="00F831FF"/>
    <w:rsid w:val="00F84322"/>
    <w:rsid w:val="00F852B9"/>
    <w:rsid w:val="00F87847"/>
    <w:rsid w:val="00F878A7"/>
    <w:rsid w:val="00F918D8"/>
    <w:rsid w:val="00F91A59"/>
    <w:rsid w:val="00F93812"/>
    <w:rsid w:val="00F96D29"/>
    <w:rsid w:val="00FA2218"/>
    <w:rsid w:val="00FA2B12"/>
    <w:rsid w:val="00FA3696"/>
    <w:rsid w:val="00FA7528"/>
    <w:rsid w:val="00FB1490"/>
    <w:rsid w:val="00FB2549"/>
    <w:rsid w:val="00FB2ABF"/>
    <w:rsid w:val="00FB443E"/>
    <w:rsid w:val="00FB612B"/>
    <w:rsid w:val="00FC0E79"/>
    <w:rsid w:val="00FC55AD"/>
    <w:rsid w:val="00FC6792"/>
    <w:rsid w:val="00FC6F0D"/>
    <w:rsid w:val="00FC77AA"/>
    <w:rsid w:val="00FC7C91"/>
    <w:rsid w:val="00FC7CBB"/>
    <w:rsid w:val="00FD1ABE"/>
    <w:rsid w:val="00FD1B60"/>
    <w:rsid w:val="00FD7E09"/>
    <w:rsid w:val="00FE3C42"/>
    <w:rsid w:val="00FE4C52"/>
    <w:rsid w:val="00FE6125"/>
    <w:rsid w:val="00FE6941"/>
    <w:rsid w:val="00FE69DF"/>
    <w:rsid w:val="00FE6E39"/>
    <w:rsid w:val="00FE7325"/>
    <w:rsid w:val="00FE73D6"/>
    <w:rsid w:val="00FE7A86"/>
    <w:rsid w:val="00FE7EEF"/>
    <w:rsid w:val="00FF0509"/>
    <w:rsid w:val="00FF19E7"/>
    <w:rsid w:val="00FF535B"/>
    <w:rsid w:val="00FF6E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58D84"/>
  <w15:chartTrackingRefBased/>
  <w15:docId w15:val="{21E3E841-1F17-4FA2-BD7B-DF4A6796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280C"/>
  </w:style>
  <w:style w:type="paragraph" w:styleId="Nadpis1">
    <w:name w:val="heading 1"/>
    <w:basedOn w:val="Normlny"/>
    <w:link w:val="Nadpis1Char"/>
    <w:uiPriority w:val="9"/>
    <w:qFormat/>
    <w:rsid w:val="00C82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C8280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C8280C"/>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C8280C"/>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y"/>
    <w:next w:val="Normlny"/>
    <w:link w:val="Nadpis5Char"/>
    <w:uiPriority w:val="9"/>
    <w:semiHidden/>
    <w:unhideWhenUsed/>
    <w:qFormat/>
    <w:rsid w:val="008909ED"/>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dpis6">
    <w:name w:val="heading 6"/>
    <w:basedOn w:val="Normlny"/>
    <w:next w:val="Normlny"/>
    <w:link w:val="Nadpis6Char"/>
    <w:uiPriority w:val="9"/>
    <w:semiHidden/>
    <w:unhideWhenUsed/>
    <w:qFormat/>
    <w:rsid w:val="008909E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dpis7">
    <w:name w:val="heading 7"/>
    <w:basedOn w:val="Normlny"/>
    <w:next w:val="Normlny"/>
    <w:link w:val="Nadpis7Char"/>
    <w:uiPriority w:val="9"/>
    <w:semiHidden/>
    <w:unhideWhenUsed/>
    <w:qFormat/>
    <w:rsid w:val="008909ED"/>
    <w:pPr>
      <w:keepNext/>
      <w:keepLines/>
      <w:spacing w:before="40" w:after="0"/>
      <w:outlineLvl w:val="6"/>
    </w:pPr>
    <w:rPr>
      <w:rFonts w:eastAsiaTheme="majorEastAsia" w:cstheme="majorBidi"/>
      <w:color w:val="595959" w:themeColor="text1" w:themeTint="A6"/>
      <w:kern w:val="2"/>
      <w14:ligatures w14:val="standardContextual"/>
    </w:rPr>
  </w:style>
  <w:style w:type="paragraph" w:styleId="Nadpis8">
    <w:name w:val="heading 8"/>
    <w:basedOn w:val="Normlny"/>
    <w:next w:val="Normlny"/>
    <w:link w:val="Nadpis8Char"/>
    <w:uiPriority w:val="9"/>
    <w:semiHidden/>
    <w:unhideWhenUsed/>
    <w:qFormat/>
    <w:rsid w:val="008909ED"/>
    <w:pPr>
      <w:keepNext/>
      <w:keepLines/>
      <w:spacing w:after="0"/>
      <w:outlineLvl w:val="7"/>
    </w:pPr>
    <w:rPr>
      <w:rFonts w:eastAsiaTheme="majorEastAsia" w:cstheme="majorBidi"/>
      <w:i/>
      <w:iCs/>
      <w:color w:val="272727" w:themeColor="text1" w:themeTint="D8"/>
      <w:kern w:val="2"/>
      <w14:ligatures w14:val="standardContextual"/>
    </w:rPr>
  </w:style>
  <w:style w:type="paragraph" w:styleId="Nadpis9">
    <w:name w:val="heading 9"/>
    <w:basedOn w:val="Normlny"/>
    <w:next w:val="Normlny"/>
    <w:link w:val="Nadpis9Char"/>
    <w:uiPriority w:val="9"/>
    <w:semiHidden/>
    <w:unhideWhenUsed/>
    <w:qFormat/>
    <w:rsid w:val="008909ED"/>
    <w:pPr>
      <w:keepNext/>
      <w:keepLines/>
      <w:spacing w:after="0"/>
      <w:outlineLvl w:val="8"/>
    </w:pPr>
    <w:rPr>
      <w:rFonts w:eastAsiaTheme="majorEastAsia" w:cstheme="majorBidi"/>
      <w:color w:val="272727" w:themeColor="text1" w:themeTint="D8"/>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8280C"/>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C8280C"/>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C8280C"/>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C8280C"/>
    <w:rPr>
      <w:rFonts w:ascii="Times New Roman" w:eastAsia="Times New Roman" w:hAnsi="Times New Roman" w:cs="Times New Roman"/>
      <w:b/>
      <w:bCs/>
      <w:sz w:val="24"/>
      <w:szCs w:val="24"/>
      <w:lang w:eastAsia="sk-SK"/>
    </w:rPr>
  </w:style>
  <w:style w:type="paragraph" w:styleId="Textbubliny">
    <w:name w:val="Balloon Text"/>
    <w:basedOn w:val="Normlny"/>
    <w:link w:val="TextbublinyChar"/>
    <w:uiPriority w:val="99"/>
    <w:semiHidden/>
    <w:unhideWhenUsed/>
    <w:rsid w:val="00C8280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280C"/>
    <w:rPr>
      <w:rFonts w:ascii="Segoe UI" w:hAnsi="Segoe UI" w:cs="Segoe UI"/>
      <w:sz w:val="18"/>
      <w:szCs w:val="18"/>
    </w:rPr>
  </w:style>
  <w:style w:type="paragraph" w:customStyle="1" w:styleId="msonormal0">
    <w:name w:val="msonormal"/>
    <w:basedOn w:val="Normlny"/>
    <w:rsid w:val="00C8280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C8280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C8280C"/>
    <w:pPr>
      <w:spacing w:after="120" w:line="240" w:lineRule="auto"/>
    </w:pPr>
    <w:rPr>
      <w:rFonts w:ascii="Courier" w:eastAsia="Times New Roman" w:hAnsi="Courier" w:cs="Courier"/>
      <w:sz w:val="24"/>
      <w:szCs w:val="24"/>
      <w:lang w:eastAsia="cs-CZ"/>
    </w:rPr>
  </w:style>
  <w:style w:type="character" w:customStyle="1" w:styleId="ZkladntextChar">
    <w:name w:val="Základný text Char"/>
    <w:basedOn w:val="Predvolenpsmoodseku"/>
    <w:link w:val="Zkladntext"/>
    <w:rsid w:val="00C8280C"/>
    <w:rPr>
      <w:rFonts w:ascii="Courier" w:eastAsia="Times New Roman" w:hAnsi="Courier" w:cs="Courier"/>
      <w:sz w:val="24"/>
      <w:szCs w:val="24"/>
      <w:lang w:eastAsia="cs-CZ"/>
    </w:rPr>
  </w:style>
  <w:style w:type="paragraph" w:styleId="Zkladntext2">
    <w:name w:val="Body Text 2"/>
    <w:basedOn w:val="Normlny"/>
    <w:link w:val="Zkladntext2Char"/>
    <w:uiPriority w:val="99"/>
    <w:rsid w:val="00C8280C"/>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
    <w:uiPriority w:val="99"/>
    <w:rsid w:val="00C8280C"/>
    <w:rPr>
      <w:rFonts w:ascii="Times New Roman" w:eastAsia="Times New Roman" w:hAnsi="Times New Roman" w:cs="Times New Roman"/>
      <w:sz w:val="24"/>
      <w:szCs w:val="24"/>
      <w:lang w:eastAsia="cs-CZ"/>
    </w:rPr>
  </w:style>
  <w:style w:type="paragraph" w:customStyle="1" w:styleId="Default">
    <w:name w:val="Default"/>
    <w:rsid w:val="00C8280C"/>
    <w:pPr>
      <w:autoSpaceDE w:val="0"/>
      <w:autoSpaceDN w:val="0"/>
      <w:adjustRightInd w:val="0"/>
      <w:spacing w:after="0" w:line="240" w:lineRule="auto"/>
    </w:pPr>
    <w:rPr>
      <w:rFonts w:ascii="Book Antiqua" w:hAnsi="Book Antiqua" w:cs="Book Antiqua"/>
      <w:color w:val="000000"/>
      <w:sz w:val="24"/>
      <w:szCs w:val="24"/>
    </w:rPr>
  </w:style>
  <w:style w:type="paragraph" w:styleId="Odsekzoznamu">
    <w:name w:val="List Paragraph"/>
    <w:aliases w:val="body"/>
    <w:basedOn w:val="Normlny"/>
    <w:link w:val="OdsekzoznamuChar"/>
    <w:uiPriority w:val="34"/>
    <w:qFormat/>
    <w:rsid w:val="00C8280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
    <w:basedOn w:val="Predvolenpsmoodseku"/>
    <w:link w:val="Odsekzoznamu"/>
    <w:uiPriority w:val="34"/>
    <w:locked/>
    <w:rsid w:val="00C8280C"/>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C8280C"/>
    <w:rPr>
      <w:b/>
      <w:bCs/>
    </w:rPr>
  </w:style>
  <w:style w:type="character" w:customStyle="1" w:styleId="ObyajntextChar">
    <w:name w:val="Obyčajný text Char"/>
    <w:basedOn w:val="Predvolenpsmoodseku"/>
    <w:link w:val="Obyajntext"/>
    <w:uiPriority w:val="99"/>
    <w:semiHidden/>
    <w:rsid w:val="00C8280C"/>
    <w:rPr>
      <w:rFonts w:ascii="Calibri" w:hAnsi="Calibri"/>
      <w:szCs w:val="21"/>
    </w:rPr>
  </w:style>
  <w:style w:type="paragraph" w:styleId="Obyajntext">
    <w:name w:val="Plain Text"/>
    <w:basedOn w:val="Normlny"/>
    <w:link w:val="ObyajntextChar"/>
    <w:uiPriority w:val="99"/>
    <w:semiHidden/>
    <w:unhideWhenUsed/>
    <w:rsid w:val="00C8280C"/>
    <w:pPr>
      <w:spacing w:after="0" w:line="240" w:lineRule="auto"/>
    </w:pPr>
    <w:rPr>
      <w:rFonts w:ascii="Calibri" w:hAnsi="Calibri"/>
      <w:szCs w:val="21"/>
    </w:rPr>
  </w:style>
  <w:style w:type="character" w:customStyle="1" w:styleId="ObyajntextChar1">
    <w:name w:val="Obyčajný text Char1"/>
    <w:basedOn w:val="Predvolenpsmoodseku"/>
    <w:uiPriority w:val="99"/>
    <w:semiHidden/>
    <w:rsid w:val="00C8280C"/>
    <w:rPr>
      <w:rFonts w:ascii="Consolas" w:hAnsi="Consolas"/>
      <w:sz w:val="21"/>
      <w:szCs w:val="21"/>
    </w:rPr>
  </w:style>
  <w:style w:type="paragraph" w:styleId="Hlavika">
    <w:name w:val="header"/>
    <w:basedOn w:val="Normlny"/>
    <w:link w:val="HlavikaChar"/>
    <w:uiPriority w:val="99"/>
    <w:unhideWhenUsed/>
    <w:rsid w:val="00C8280C"/>
    <w:pPr>
      <w:tabs>
        <w:tab w:val="center" w:pos="4536"/>
        <w:tab w:val="right" w:pos="9072"/>
      </w:tabs>
      <w:spacing w:after="0" w:line="240" w:lineRule="auto"/>
    </w:pPr>
    <w:rPr>
      <w:rFonts w:ascii="Calibri" w:eastAsia="Times New Roman" w:hAnsi="Calibri" w:cs="Times New Roman"/>
    </w:rPr>
  </w:style>
  <w:style w:type="character" w:customStyle="1" w:styleId="HlavikaChar">
    <w:name w:val="Hlavička Char"/>
    <w:basedOn w:val="Predvolenpsmoodseku"/>
    <w:link w:val="Hlavika"/>
    <w:uiPriority w:val="99"/>
    <w:rsid w:val="00C8280C"/>
    <w:rPr>
      <w:rFonts w:ascii="Calibri" w:eastAsia="Times New Roman" w:hAnsi="Calibri" w:cs="Times New Roman"/>
    </w:rPr>
  </w:style>
  <w:style w:type="paragraph" w:styleId="Pta">
    <w:name w:val="footer"/>
    <w:basedOn w:val="Normlny"/>
    <w:link w:val="PtaChar"/>
    <w:uiPriority w:val="99"/>
    <w:unhideWhenUsed/>
    <w:rsid w:val="00C8280C"/>
    <w:pPr>
      <w:tabs>
        <w:tab w:val="center" w:pos="4536"/>
        <w:tab w:val="right" w:pos="9072"/>
      </w:tabs>
      <w:spacing w:after="0" w:line="240" w:lineRule="auto"/>
    </w:pPr>
    <w:rPr>
      <w:rFonts w:ascii="Calibri" w:eastAsia="Times New Roman" w:hAnsi="Calibri" w:cs="Times New Roman"/>
    </w:rPr>
  </w:style>
  <w:style w:type="character" w:customStyle="1" w:styleId="PtaChar">
    <w:name w:val="Päta Char"/>
    <w:basedOn w:val="Predvolenpsmoodseku"/>
    <w:link w:val="Pta"/>
    <w:uiPriority w:val="99"/>
    <w:rsid w:val="00C8280C"/>
    <w:rPr>
      <w:rFonts w:ascii="Calibri" w:eastAsia="Times New Roman" w:hAnsi="Calibri" w:cs="Times New Roman"/>
    </w:rPr>
  </w:style>
  <w:style w:type="paragraph" w:styleId="Bezriadkovania">
    <w:name w:val="No Spacing"/>
    <w:uiPriority w:val="1"/>
    <w:qFormat/>
    <w:rsid w:val="00C8280C"/>
    <w:pPr>
      <w:spacing w:after="0" w:line="240" w:lineRule="auto"/>
    </w:pPr>
    <w:rPr>
      <w:rFonts w:ascii="Calibri" w:eastAsia="Times New Roman" w:hAnsi="Calibri" w:cs="Times New Roman"/>
    </w:rPr>
  </w:style>
  <w:style w:type="table" w:styleId="Mriekatabuky">
    <w:name w:val="Table Grid"/>
    <w:basedOn w:val="Normlnatabuka"/>
    <w:uiPriority w:val="39"/>
    <w:rsid w:val="00C82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vysvetlivkyChar">
    <w:name w:val="Text vysvetlivky Char"/>
    <w:basedOn w:val="Predvolenpsmoodseku"/>
    <w:link w:val="Textvysvetlivky"/>
    <w:uiPriority w:val="99"/>
    <w:semiHidden/>
    <w:rsid w:val="00C8280C"/>
    <w:rPr>
      <w:rFonts w:ascii="Calibri" w:eastAsia="Times New Roman" w:hAnsi="Calibri" w:cs="Times New Roman"/>
      <w:sz w:val="20"/>
      <w:szCs w:val="20"/>
    </w:rPr>
  </w:style>
  <w:style w:type="paragraph" w:styleId="Textvysvetlivky">
    <w:name w:val="endnote text"/>
    <w:basedOn w:val="Normlny"/>
    <w:link w:val="TextvysvetlivkyChar"/>
    <w:uiPriority w:val="99"/>
    <w:semiHidden/>
    <w:unhideWhenUsed/>
    <w:rsid w:val="00C8280C"/>
    <w:pPr>
      <w:spacing w:after="0" w:line="240" w:lineRule="auto"/>
    </w:pPr>
    <w:rPr>
      <w:rFonts w:ascii="Calibri" w:eastAsia="Times New Roman" w:hAnsi="Calibri" w:cs="Times New Roman"/>
      <w:sz w:val="20"/>
      <w:szCs w:val="20"/>
    </w:rPr>
  </w:style>
  <w:style w:type="character" w:customStyle="1" w:styleId="TextvysvetlivkyChar1">
    <w:name w:val="Text vysvetlivky Char1"/>
    <w:basedOn w:val="Predvolenpsmoodseku"/>
    <w:uiPriority w:val="99"/>
    <w:semiHidden/>
    <w:rsid w:val="00C8280C"/>
    <w:rPr>
      <w:sz w:val="20"/>
      <w:szCs w:val="20"/>
    </w:rPr>
  </w:style>
  <w:style w:type="paragraph" w:styleId="Textpoznmkypodiarou">
    <w:name w:val="footnote text"/>
    <w:basedOn w:val="Normlny"/>
    <w:link w:val="TextpoznmkypodiarouChar"/>
    <w:uiPriority w:val="99"/>
    <w:semiHidden/>
    <w:unhideWhenUsed/>
    <w:rsid w:val="00C8280C"/>
    <w:pPr>
      <w:spacing w:after="0" w:line="240" w:lineRule="auto"/>
    </w:pPr>
    <w:rPr>
      <w:rFonts w:ascii="Calibri" w:eastAsia="Times New Roman" w:hAnsi="Calibri" w:cs="Times New Roman"/>
      <w:sz w:val="20"/>
      <w:szCs w:val="20"/>
    </w:rPr>
  </w:style>
  <w:style w:type="character" w:customStyle="1" w:styleId="TextpoznmkypodiarouChar">
    <w:name w:val="Text poznámky pod čiarou Char"/>
    <w:basedOn w:val="Predvolenpsmoodseku"/>
    <w:link w:val="Textpoznmkypodiarou"/>
    <w:uiPriority w:val="99"/>
    <w:semiHidden/>
    <w:rsid w:val="00C8280C"/>
    <w:rPr>
      <w:rFonts w:ascii="Calibri" w:eastAsia="Times New Roman" w:hAnsi="Calibri" w:cs="Times New Roman"/>
      <w:sz w:val="20"/>
      <w:szCs w:val="20"/>
    </w:rPr>
  </w:style>
  <w:style w:type="character" w:styleId="Odkaznavysvetlivku">
    <w:name w:val="endnote reference"/>
    <w:basedOn w:val="Predvolenpsmoodseku"/>
    <w:uiPriority w:val="99"/>
    <w:semiHidden/>
    <w:unhideWhenUsed/>
    <w:rsid w:val="00C8280C"/>
    <w:rPr>
      <w:vertAlign w:val="superscript"/>
    </w:rPr>
  </w:style>
  <w:style w:type="character" w:styleId="Odkaznapoznmkupodiarou">
    <w:name w:val="footnote reference"/>
    <w:basedOn w:val="Predvolenpsmoodseku"/>
    <w:uiPriority w:val="99"/>
    <w:semiHidden/>
    <w:unhideWhenUsed/>
    <w:rsid w:val="00C8280C"/>
    <w:rPr>
      <w:vertAlign w:val="superscript"/>
    </w:rPr>
  </w:style>
  <w:style w:type="table" w:customStyle="1" w:styleId="Tabukasmriekou5tmavzvraznenie51">
    <w:name w:val="Tabuľka s mriežkou 5 – tmavá – zvýraznenie 51"/>
    <w:basedOn w:val="Normlnatabuka"/>
    <w:uiPriority w:val="50"/>
    <w:rsid w:val="00C828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ukasmriekou4zvraznenie51">
    <w:name w:val="Tabuľka s mriežkou 4 – zvýraznenie 51"/>
    <w:basedOn w:val="Normlnatabuka"/>
    <w:uiPriority w:val="49"/>
    <w:rsid w:val="00C828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ukasozoznamom4zvraznenie51">
    <w:name w:val="Tabuľka so zoznamom 4 – zvýraznenie 51"/>
    <w:basedOn w:val="Normlnatabuka"/>
    <w:uiPriority w:val="49"/>
    <w:rsid w:val="00C828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ukasmriekou5tmavzvraznenie11">
    <w:name w:val="Tabuľka s mriežkou 5 – tmavá – zvýraznenie 11"/>
    <w:basedOn w:val="Normlnatabuka"/>
    <w:uiPriority w:val="50"/>
    <w:rsid w:val="00C828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ukasmriekou3zvraznenie51">
    <w:name w:val="Tabuľka s mriežkou 3 – zvýraznenie 51"/>
    <w:basedOn w:val="Normlnatabuka"/>
    <w:uiPriority w:val="48"/>
    <w:rsid w:val="00C828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ukasmriekou2zvraznenie11">
    <w:name w:val="Tabuľka s mriežkou 2 – zvýraznenie 11"/>
    <w:basedOn w:val="Normlnatabuka"/>
    <w:uiPriority w:val="47"/>
    <w:rsid w:val="00C8280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dkaznakomentr">
    <w:name w:val="annotation reference"/>
    <w:basedOn w:val="Predvolenpsmoodseku"/>
    <w:uiPriority w:val="99"/>
    <w:semiHidden/>
    <w:unhideWhenUsed/>
    <w:rsid w:val="00C8280C"/>
    <w:rPr>
      <w:sz w:val="16"/>
      <w:szCs w:val="16"/>
    </w:rPr>
  </w:style>
  <w:style w:type="paragraph" w:styleId="Textkomentra">
    <w:name w:val="annotation text"/>
    <w:basedOn w:val="Normlny"/>
    <w:link w:val="TextkomentraChar"/>
    <w:uiPriority w:val="99"/>
    <w:semiHidden/>
    <w:unhideWhenUsed/>
    <w:rsid w:val="00C8280C"/>
    <w:pPr>
      <w:spacing w:line="240" w:lineRule="auto"/>
    </w:pPr>
    <w:rPr>
      <w:sz w:val="20"/>
      <w:szCs w:val="20"/>
    </w:rPr>
  </w:style>
  <w:style w:type="character" w:customStyle="1" w:styleId="TextkomentraChar">
    <w:name w:val="Text komentára Char"/>
    <w:basedOn w:val="Predvolenpsmoodseku"/>
    <w:link w:val="Textkomentra"/>
    <w:uiPriority w:val="99"/>
    <w:semiHidden/>
    <w:rsid w:val="00C8280C"/>
    <w:rPr>
      <w:sz w:val="20"/>
      <w:szCs w:val="20"/>
    </w:rPr>
  </w:style>
  <w:style w:type="paragraph" w:styleId="Predmetkomentra">
    <w:name w:val="annotation subject"/>
    <w:basedOn w:val="Textkomentra"/>
    <w:next w:val="Textkomentra"/>
    <w:link w:val="PredmetkomentraChar"/>
    <w:uiPriority w:val="99"/>
    <w:semiHidden/>
    <w:unhideWhenUsed/>
    <w:rsid w:val="00C8280C"/>
    <w:rPr>
      <w:b/>
      <w:bCs/>
    </w:rPr>
  </w:style>
  <w:style w:type="character" w:customStyle="1" w:styleId="PredmetkomentraChar">
    <w:name w:val="Predmet komentára Char"/>
    <w:basedOn w:val="TextkomentraChar"/>
    <w:link w:val="Predmetkomentra"/>
    <w:uiPriority w:val="99"/>
    <w:semiHidden/>
    <w:rsid w:val="00C8280C"/>
    <w:rPr>
      <w:b/>
      <w:bCs/>
      <w:sz w:val="20"/>
      <w:szCs w:val="20"/>
    </w:rPr>
  </w:style>
  <w:style w:type="character" w:customStyle="1" w:styleId="normaltextrun">
    <w:name w:val="normaltextrun"/>
    <w:basedOn w:val="Predvolenpsmoodseku"/>
    <w:rsid w:val="00C8280C"/>
  </w:style>
  <w:style w:type="character" w:customStyle="1" w:styleId="eop">
    <w:name w:val="eop"/>
    <w:basedOn w:val="Predvolenpsmoodseku"/>
    <w:rsid w:val="00C8280C"/>
  </w:style>
  <w:style w:type="paragraph" w:customStyle="1" w:styleId="paragraph">
    <w:name w:val="paragraph"/>
    <w:basedOn w:val="Normlny"/>
    <w:rsid w:val="00C8280C"/>
    <w:pPr>
      <w:autoSpaceDN w:val="0"/>
      <w:spacing w:before="100" w:after="100" w:line="240" w:lineRule="auto"/>
    </w:pPr>
    <w:rPr>
      <w:rFonts w:ascii="Times New Roman" w:eastAsia="Times New Roman" w:hAnsi="Times New Roman" w:cs="Times New Roman"/>
      <w:sz w:val="24"/>
      <w:szCs w:val="24"/>
      <w:lang w:eastAsia="sk-SK"/>
    </w:rPr>
  </w:style>
  <w:style w:type="character" w:customStyle="1" w:styleId="spellingerror">
    <w:name w:val="spellingerror"/>
    <w:basedOn w:val="Predvolenpsmoodseku"/>
    <w:rsid w:val="00C8280C"/>
  </w:style>
  <w:style w:type="character" w:styleId="Hypertextovprepojenie">
    <w:name w:val="Hyperlink"/>
    <w:basedOn w:val="Predvolenpsmoodseku"/>
    <w:uiPriority w:val="99"/>
    <w:unhideWhenUsed/>
    <w:rsid w:val="001E09F2"/>
    <w:rPr>
      <w:color w:val="0563C1" w:themeColor="hyperlink"/>
      <w:u w:val="single"/>
    </w:rPr>
  </w:style>
  <w:style w:type="character" w:styleId="Nevyrieenzmienka">
    <w:name w:val="Unresolved Mention"/>
    <w:basedOn w:val="Predvolenpsmoodseku"/>
    <w:uiPriority w:val="99"/>
    <w:semiHidden/>
    <w:unhideWhenUsed/>
    <w:rsid w:val="001E09F2"/>
    <w:rPr>
      <w:color w:val="605E5C"/>
      <w:shd w:val="clear" w:color="auto" w:fill="E1DFDD"/>
    </w:rPr>
  </w:style>
  <w:style w:type="numbering" w:customStyle="1" w:styleId="Bezzoznamu1">
    <w:name w:val="Bez zoznamu1"/>
    <w:next w:val="Bezzoznamu"/>
    <w:uiPriority w:val="99"/>
    <w:semiHidden/>
    <w:unhideWhenUsed/>
    <w:rsid w:val="001A241E"/>
  </w:style>
  <w:style w:type="numbering" w:customStyle="1" w:styleId="Bezzoznamu2">
    <w:name w:val="Bez zoznamu2"/>
    <w:next w:val="Bezzoznamu"/>
    <w:uiPriority w:val="99"/>
    <w:semiHidden/>
    <w:unhideWhenUsed/>
    <w:rsid w:val="00A453D2"/>
  </w:style>
  <w:style w:type="table" w:customStyle="1" w:styleId="Mriekatabuky1">
    <w:name w:val="Mriežka tabuľky1"/>
    <w:basedOn w:val="Normlnatabuka"/>
    <w:next w:val="Mriekatabuky"/>
    <w:uiPriority w:val="39"/>
    <w:rsid w:val="00A453D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
    <w:name w:val="Bez zoznamu3"/>
    <w:next w:val="Bezzoznamu"/>
    <w:uiPriority w:val="99"/>
    <w:semiHidden/>
    <w:unhideWhenUsed/>
    <w:rsid w:val="003C644A"/>
  </w:style>
  <w:style w:type="numbering" w:customStyle="1" w:styleId="Bezzoznamu4">
    <w:name w:val="Bez zoznamu4"/>
    <w:next w:val="Bezzoznamu"/>
    <w:uiPriority w:val="99"/>
    <w:semiHidden/>
    <w:unhideWhenUsed/>
    <w:rsid w:val="00AC7EA9"/>
  </w:style>
  <w:style w:type="numbering" w:customStyle="1" w:styleId="Bezzoznamu5">
    <w:name w:val="Bez zoznamu5"/>
    <w:next w:val="Bezzoznamu"/>
    <w:uiPriority w:val="99"/>
    <w:semiHidden/>
    <w:unhideWhenUsed/>
    <w:rsid w:val="00427052"/>
  </w:style>
  <w:style w:type="character" w:customStyle="1" w:styleId="Nadpis5Char">
    <w:name w:val="Nadpis 5 Char"/>
    <w:basedOn w:val="Predvolenpsmoodseku"/>
    <w:link w:val="Nadpis5"/>
    <w:uiPriority w:val="9"/>
    <w:semiHidden/>
    <w:rsid w:val="008909ED"/>
    <w:rPr>
      <w:rFonts w:eastAsiaTheme="majorEastAsia" w:cstheme="majorBidi"/>
      <w:color w:val="2F5496" w:themeColor="accent1" w:themeShade="BF"/>
      <w:kern w:val="2"/>
      <w14:ligatures w14:val="standardContextual"/>
    </w:rPr>
  </w:style>
  <w:style w:type="character" w:customStyle="1" w:styleId="Nadpis6Char">
    <w:name w:val="Nadpis 6 Char"/>
    <w:basedOn w:val="Predvolenpsmoodseku"/>
    <w:link w:val="Nadpis6"/>
    <w:uiPriority w:val="9"/>
    <w:semiHidden/>
    <w:rsid w:val="008909ED"/>
    <w:rPr>
      <w:rFonts w:eastAsiaTheme="majorEastAsia" w:cstheme="majorBidi"/>
      <w:i/>
      <w:iCs/>
      <w:color w:val="595959" w:themeColor="text1" w:themeTint="A6"/>
      <w:kern w:val="2"/>
      <w14:ligatures w14:val="standardContextual"/>
    </w:rPr>
  </w:style>
  <w:style w:type="character" w:customStyle="1" w:styleId="Nadpis7Char">
    <w:name w:val="Nadpis 7 Char"/>
    <w:basedOn w:val="Predvolenpsmoodseku"/>
    <w:link w:val="Nadpis7"/>
    <w:uiPriority w:val="9"/>
    <w:semiHidden/>
    <w:rsid w:val="008909ED"/>
    <w:rPr>
      <w:rFonts w:eastAsiaTheme="majorEastAsia" w:cstheme="majorBidi"/>
      <w:color w:val="595959" w:themeColor="text1" w:themeTint="A6"/>
      <w:kern w:val="2"/>
      <w14:ligatures w14:val="standardContextual"/>
    </w:rPr>
  </w:style>
  <w:style w:type="character" w:customStyle="1" w:styleId="Nadpis8Char">
    <w:name w:val="Nadpis 8 Char"/>
    <w:basedOn w:val="Predvolenpsmoodseku"/>
    <w:link w:val="Nadpis8"/>
    <w:uiPriority w:val="9"/>
    <w:semiHidden/>
    <w:rsid w:val="008909ED"/>
    <w:rPr>
      <w:rFonts w:eastAsiaTheme="majorEastAsia" w:cstheme="majorBidi"/>
      <w:i/>
      <w:iCs/>
      <w:color w:val="272727" w:themeColor="text1" w:themeTint="D8"/>
      <w:kern w:val="2"/>
      <w14:ligatures w14:val="standardContextual"/>
    </w:rPr>
  </w:style>
  <w:style w:type="character" w:customStyle="1" w:styleId="Nadpis9Char">
    <w:name w:val="Nadpis 9 Char"/>
    <w:basedOn w:val="Predvolenpsmoodseku"/>
    <w:link w:val="Nadpis9"/>
    <w:uiPriority w:val="9"/>
    <w:semiHidden/>
    <w:rsid w:val="008909ED"/>
    <w:rPr>
      <w:rFonts w:eastAsiaTheme="majorEastAsia" w:cstheme="majorBidi"/>
      <w:color w:val="272727" w:themeColor="text1" w:themeTint="D8"/>
      <w:kern w:val="2"/>
      <w14:ligatures w14:val="standardContextual"/>
    </w:rPr>
  </w:style>
  <w:style w:type="paragraph" w:styleId="Nzov">
    <w:name w:val="Title"/>
    <w:basedOn w:val="Normlny"/>
    <w:next w:val="Normlny"/>
    <w:link w:val="NzovChar"/>
    <w:uiPriority w:val="10"/>
    <w:qFormat/>
    <w:rsid w:val="008909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ovChar">
    <w:name w:val="Názov Char"/>
    <w:basedOn w:val="Predvolenpsmoodseku"/>
    <w:link w:val="Nzov"/>
    <w:uiPriority w:val="10"/>
    <w:rsid w:val="008909ED"/>
    <w:rPr>
      <w:rFonts w:asciiTheme="majorHAnsi" w:eastAsiaTheme="majorEastAsia" w:hAnsiTheme="majorHAnsi" w:cstheme="majorBidi"/>
      <w:spacing w:val="-10"/>
      <w:kern w:val="28"/>
      <w:sz w:val="56"/>
      <w:szCs w:val="56"/>
      <w14:ligatures w14:val="standardContextual"/>
    </w:rPr>
  </w:style>
  <w:style w:type="paragraph" w:styleId="Podtitul">
    <w:name w:val="Subtitle"/>
    <w:basedOn w:val="Normlny"/>
    <w:next w:val="Normlny"/>
    <w:link w:val="PodtitulChar"/>
    <w:uiPriority w:val="11"/>
    <w:qFormat/>
    <w:rsid w:val="008909E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titulChar">
    <w:name w:val="Podtitul Char"/>
    <w:basedOn w:val="Predvolenpsmoodseku"/>
    <w:link w:val="Podtitul"/>
    <w:uiPriority w:val="11"/>
    <w:rsid w:val="008909ED"/>
    <w:rPr>
      <w:rFonts w:eastAsiaTheme="majorEastAsia" w:cstheme="majorBidi"/>
      <w:color w:val="595959" w:themeColor="text1" w:themeTint="A6"/>
      <w:spacing w:val="15"/>
      <w:kern w:val="2"/>
      <w:sz w:val="28"/>
      <w:szCs w:val="28"/>
      <w14:ligatures w14:val="standardContextual"/>
    </w:rPr>
  </w:style>
  <w:style w:type="paragraph" w:styleId="Citcia">
    <w:name w:val="Quote"/>
    <w:basedOn w:val="Normlny"/>
    <w:next w:val="Normlny"/>
    <w:link w:val="CitciaChar"/>
    <w:uiPriority w:val="29"/>
    <w:qFormat/>
    <w:rsid w:val="008909ED"/>
    <w:pPr>
      <w:spacing w:before="160"/>
      <w:jc w:val="center"/>
    </w:pPr>
    <w:rPr>
      <w:i/>
      <w:iCs/>
      <w:color w:val="404040" w:themeColor="text1" w:themeTint="BF"/>
      <w:kern w:val="2"/>
      <w14:ligatures w14:val="standardContextual"/>
    </w:rPr>
  </w:style>
  <w:style w:type="character" w:customStyle="1" w:styleId="CitciaChar">
    <w:name w:val="Citácia Char"/>
    <w:basedOn w:val="Predvolenpsmoodseku"/>
    <w:link w:val="Citcia"/>
    <w:uiPriority w:val="29"/>
    <w:rsid w:val="008909ED"/>
    <w:rPr>
      <w:i/>
      <w:iCs/>
      <w:color w:val="404040" w:themeColor="text1" w:themeTint="BF"/>
      <w:kern w:val="2"/>
      <w14:ligatures w14:val="standardContextual"/>
    </w:rPr>
  </w:style>
  <w:style w:type="character" w:styleId="Intenzvnezvraznenie">
    <w:name w:val="Intense Emphasis"/>
    <w:basedOn w:val="Predvolenpsmoodseku"/>
    <w:uiPriority w:val="21"/>
    <w:qFormat/>
    <w:rsid w:val="008909ED"/>
    <w:rPr>
      <w:i/>
      <w:iCs/>
      <w:color w:val="2F5496" w:themeColor="accent1" w:themeShade="BF"/>
    </w:rPr>
  </w:style>
  <w:style w:type="paragraph" w:styleId="Zvraznencitcia">
    <w:name w:val="Intense Quote"/>
    <w:basedOn w:val="Normlny"/>
    <w:next w:val="Normlny"/>
    <w:link w:val="ZvraznencitciaChar"/>
    <w:uiPriority w:val="30"/>
    <w:qFormat/>
    <w:rsid w:val="00890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ZvraznencitciaChar">
    <w:name w:val="Zvýraznená citácia Char"/>
    <w:basedOn w:val="Predvolenpsmoodseku"/>
    <w:link w:val="Zvraznencitcia"/>
    <w:uiPriority w:val="30"/>
    <w:rsid w:val="008909ED"/>
    <w:rPr>
      <w:i/>
      <w:iCs/>
      <w:color w:val="2F5496" w:themeColor="accent1" w:themeShade="BF"/>
      <w:kern w:val="2"/>
      <w14:ligatures w14:val="standardContextual"/>
    </w:rPr>
  </w:style>
  <w:style w:type="character" w:styleId="Zvraznenodkaz">
    <w:name w:val="Intense Reference"/>
    <w:basedOn w:val="Predvolenpsmoodseku"/>
    <w:uiPriority w:val="32"/>
    <w:qFormat/>
    <w:rsid w:val="008909ED"/>
    <w:rPr>
      <w:b/>
      <w:bCs/>
      <w:smallCaps/>
      <w:color w:val="2F5496" w:themeColor="accent1" w:themeShade="BF"/>
      <w:spacing w:val="5"/>
    </w:rPr>
  </w:style>
  <w:style w:type="numbering" w:customStyle="1" w:styleId="Bezzoznamu6">
    <w:name w:val="Bez zoznamu6"/>
    <w:next w:val="Bezzoznamu"/>
    <w:uiPriority w:val="99"/>
    <w:semiHidden/>
    <w:unhideWhenUsed/>
    <w:rsid w:val="00A10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886">
      <w:bodyDiv w:val="1"/>
      <w:marLeft w:val="0"/>
      <w:marRight w:val="0"/>
      <w:marTop w:val="0"/>
      <w:marBottom w:val="0"/>
      <w:divBdr>
        <w:top w:val="none" w:sz="0" w:space="0" w:color="auto"/>
        <w:left w:val="none" w:sz="0" w:space="0" w:color="auto"/>
        <w:bottom w:val="none" w:sz="0" w:space="0" w:color="auto"/>
        <w:right w:val="none" w:sz="0" w:space="0" w:color="auto"/>
      </w:divBdr>
    </w:div>
    <w:div w:id="56366846">
      <w:bodyDiv w:val="1"/>
      <w:marLeft w:val="0"/>
      <w:marRight w:val="0"/>
      <w:marTop w:val="0"/>
      <w:marBottom w:val="0"/>
      <w:divBdr>
        <w:top w:val="none" w:sz="0" w:space="0" w:color="auto"/>
        <w:left w:val="none" w:sz="0" w:space="0" w:color="auto"/>
        <w:bottom w:val="none" w:sz="0" w:space="0" w:color="auto"/>
        <w:right w:val="none" w:sz="0" w:space="0" w:color="auto"/>
      </w:divBdr>
    </w:div>
    <w:div w:id="91971069">
      <w:bodyDiv w:val="1"/>
      <w:marLeft w:val="0"/>
      <w:marRight w:val="0"/>
      <w:marTop w:val="0"/>
      <w:marBottom w:val="0"/>
      <w:divBdr>
        <w:top w:val="none" w:sz="0" w:space="0" w:color="auto"/>
        <w:left w:val="none" w:sz="0" w:space="0" w:color="auto"/>
        <w:bottom w:val="none" w:sz="0" w:space="0" w:color="auto"/>
        <w:right w:val="none" w:sz="0" w:space="0" w:color="auto"/>
      </w:divBdr>
    </w:div>
    <w:div w:id="142619975">
      <w:bodyDiv w:val="1"/>
      <w:marLeft w:val="0"/>
      <w:marRight w:val="0"/>
      <w:marTop w:val="0"/>
      <w:marBottom w:val="0"/>
      <w:divBdr>
        <w:top w:val="none" w:sz="0" w:space="0" w:color="auto"/>
        <w:left w:val="none" w:sz="0" w:space="0" w:color="auto"/>
        <w:bottom w:val="none" w:sz="0" w:space="0" w:color="auto"/>
        <w:right w:val="none" w:sz="0" w:space="0" w:color="auto"/>
      </w:divBdr>
    </w:div>
    <w:div w:id="157156488">
      <w:bodyDiv w:val="1"/>
      <w:marLeft w:val="0"/>
      <w:marRight w:val="0"/>
      <w:marTop w:val="0"/>
      <w:marBottom w:val="0"/>
      <w:divBdr>
        <w:top w:val="none" w:sz="0" w:space="0" w:color="auto"/>
        <w:left w:val="none" w:sz="0" w:space="0" w:color="auto"/>
        <w:bottom w:val="none" w:sz="0" w:space="0" w:color="auto"/>
        <w:right w:val="none" w:sz="0" w:space="0" w:color="auto"/>
      </w:divBdr>
    </w:div>
    <w:div w:id="308091543">
      <w:bodyDiv w:val="1"/>
      <w:marLeft w:val="0"/>
      <w:marRight w:val="0"/>
      <w:marTop w:val="0"/>
      <w:marBottom w:val="0"/>
      <w:divBdr>
        <w:top w:val="none" w:sz="0" w:space="0" w:color="auto"/>
        <w:left w:val="none" w:sz="0" w:space="0" w:color="auto"/>
        <w:bottom w:val="none" w:sz="0" w:space="0" w:color="auto"/>
        <w:right w:val="none" w:sz="0" w:space="0" w:color="auto"/>
      </w:divBdr>
    </w:div>
    <w:div w:id="348411255">
      <w:bodyDiv w:val="1"/>
      <w:marLeft w:val="0"/>
      <w:marRight w:val="0"/>
      <w:marTop w:val="0"/>
      <w:marBottom w:val="0"/>
      <w:divBdr>
        <w:top w:val="none" w:sz="0" w:space="0" w:color="auto"/>
        <w:left w:val="none" w:sz="0" w:space="0" w:color="auto"/>
        <w:bottom w:val="none" w:sz="0" w:space="0" w:color="auto"/>
        <w:right w:val="none" w:sz="0" w:space="0" w:color="auto"/>
      </w:divBdr>
    </w:div>
    <w:div w:id="363599663">
      <w:bodyDiv w:val="1"/>
      <w:marLeft w:val="0"/>
      <w:marRight w:val="0"/>
      <w:marTop w:val="0"/>
      <w:marBottom w:val="0"/>
      <w:divBdr>
        <w:top w:val="none" w:sz="0" w:space="0" w:color="auto"/>
        <w:left w:val="none" w:sz="0" w:space="0" w:color="auto"/>
        <w:bottom w:val="none" w:sz="0" w:space="0" w:color="auto"/>
        <w:right w:val="none" w:sz="0" w:space="0" w:color="auto"/>
      </w:divBdr>
    </w:div>
    <w:div w:id="494759105">
      <w:bodyDiv w:val="1"/>
      <w:marLeft w:val="0"/>
      <w:marRight w:val="0"/>
      <w:marTop w:val="0"/>
      <w:marBottom w:val="0"/>
      <w:divBdr>
        <w:top w:val="none" w:sz="0" w:space="0" w:color="auto"/>
        <w:left w:val="none" w:sz="0" w:space="0" w:color="auto"/>
        <w:bottom w:val="none" w:sz="0" w:space="0" w:color="auto"/>
        <w:right w:val="none" w:sz="0" w:space="0" w:color="auto"/>
      </w:divBdr>
    </w:div>
    <w:div w:id="567417776">
      <w:bodyDiv w:val="1"/>
      <w:marLeft w:val="0"/>
      <w:marRight w:val="0"/>
      <w:marTop w:val="0"/>
      <w:marBottom w:val="0"/>
      <w:divBdr>
        <w:top w:val="none" w:sz="0" w:space="0" w:color="auto"/>
        <w:left w:val="none" w:sz="0" w:space="0" w:color="auto"/>
        <w:bottom w:val="none" w:sz="0" w:space="0" w:color="auto"/>
        <w:right w:val="none" w:sz="0" w:space="0" w:color="auto"/>
      </w:divBdr>
    </w:div>
    <w:div w:id="618487119">
      <w:bodyDiv w:val="1"/>
      <w:marLeft w:val="0"/>
      <w:marRight w:val="0"/>
      <w:marTop w:val="0"/>
      <w:marBottom w:val="0"/>
      <w:divBdr>
        <w:top w:val="none" w:sz="0" w:space="0" w:color="auto"/>
        <w:left w:val="none" w:sz="0" w:space="0" w:color="auto"/>
        <w:bottom w:val="none" w:sz="0" w:space="0" w:color="auto"/>
        <w:right w:val="none" w:sz="0" w:space="0" w:color="auto"/>
      </w:divBdr>
    </w:div>
    <w:div w:id="714742608">
      <w:bodyDiv w:val="1"/>
      <w:marLeft w:val="0"/>
      <w:marRight w:val="0"/>
      <w:marTop w:val="0"/>
      <w:marBottom w:val="0"/>
      <w:divBdr>
        <w:top w:val="none" w:sz="0" w:space="0" w:color="auto"/>
        <w:left w:val="none" w:sz="0" w:space="0" w:color="auto"/>
        <w:bottom w:val="none" w:sz="0" w:space="0" w:color="auto"/>
        <w:right w:val="none" w:sz="0" w:space="0" w:color="auto"/>
      </w:divBdr>
    </w:div>
    <w:div w:id="873227129">
      <w:bodyDiv w:val="1"/>
      <w:marLeft w:val="0"/>
      <w:marRight w:val="0"/>
      <w:marTop w:val="0"/>
      <w:marBottom w:val="0"/>
      <w:divBdr>
        <w:top w:val="none" w:sz="0" w:space="0" w:color="auto"/>
        <w:left w:val="none" w:sz="0" w:space="0" w:color="auto"/>
        <w:bottom w:val="none" w:sz="0" w:space="0" w:color="auto"/>
        <w:right w:val="none" w:sz="0" w:space="0" w:color="auto"/>
      </w:divBdr>
    </w:div>
    <w:div w:id="899442719">
      <w:bodyDiv w:val="1"/>
      <w:marLeft w:val="0"/>
      <w:marRight w:val="0"/>
      <w:marTop w:val="0"/>
      <w:marBottom w:val="0"/>
      <w:divBdr>
        <w:top w:val="none" w:sz="0" w:space="0" w:color="auto"/>
        <w:left w:val="none" w:sz="0" w:space="0" w:color="auto"/>
        <w:bottom w:val="none" w:sz="0" w:space="0" w:color="auto"/>
        <w:right w:val="none" w:sz="0" w:space="0" w:color="auto"/>
      </w:divBdr>
    </w:div>
    <w:div w:id="940408211">
      <w:bodyDiv w:val="1"/>
      <w:marLeft w:val="0"/>
      <w:marRight w:val="0"/>
      <w:marTop w:val="0"/>
      <w:marBottom w:val="0"/>
      <w:divBdr>
        <w:top w:val="none" w:sz="0" w:space="0" w:color="auto"/>
        <w:left w:val="none" w:sz="0" w:space="0" w:color="auto"/>
        <w:bottom w:val="none" w:sz="0" w:space="0" w:color="auto"/>
        <w:right w:val="none" w:sz="0" w:space="0" w:color="auto"/>
      </w:divBdr>
    </w:div>
    <w:div w:id="1014919452">
      <w:bodyDiv w:val="1"/>
      <w:marLeft w:val="0"/>
      <w:marRight w:val="0"/>
      <w:marTop w:val="0"/>
      <w:marBottom w:val="0"/>
      <w:divBdr>
        <w:top w:val="none" w:sz="0" w:space="0" w:color="auto"/>
        <w:left w:val="none" w:sz="0" w:space="0" w:color="auto"/>
        <w:bottom w:val="none" w:sz="0" w:space="0" w:color="auto"/>
        <w:right w:val="none" w:sz="0" w:space="0" w:color="auto"/>
      </w:divBdr>
    </w:div>
    <w:div w:id="1039282501">
      <w:bodyDiv w:val="1"/>
      <w:marLeft w:val="0"/>
      <w:marRight w:val="0"/>
      <w:marTop w:val="0"/>
      <w:marBottom w:val="0"/>
      <w:divBdr>
        <w:top w:val="none" w:sz="0" w:space="0" w:color="auto"/>
        <w:left w:val="none" w:sz="0" w:space="0" w:color="auto"/>
        <w:bottom w:val="none" w:sz="0" w:space="0" w:color="auto"/>
        <w:right w:val="none" w:sz="0" w:space="0" w:color="auto"/>
      </w:divBdr>
    </w:div>
    <w:div w:id="1075323187">
      <w:bodyDiv w:val="1"/>
      <w:marLeft w:val="0"/>
      <w:marRight w:val="0"/>
      <w:marTop w:val="0"/>
      <w:marBottom w:val="0"/>
      <w:divBdr>
        <w:top w:val="none" w:sz="0" w:space="0" w:color="auto"/>
        <w:left w:val="none" w:sz="0" w:space="0" w:color="auto"/>
        <w:bottom w:val="none" w:sz="0" w:space="0" w:color="auto"/>
        <w:right w:val="none" w:sz="0" w:space="0" w:color="auto"/>
      </w:divBdr>
    </w:div>
    <w:div w:id="1129283039">
      <w:bodyDiv w:val="1"/>
      <w:marLeft w:val="0"/>
      <w:marRight w:val="0"/>
      <w:marTop w:val="0"/>
      <w:marBottom w:val="0"/>
      <w:divBdr>
        <w:top w:val="none" w:sz="0" w:space="0" w:color="auto"/>
        <w:left w:val="none" w:sz="0" w:space="0" w:color="auto"/>
        <w:bottom w:val="none" w:sz="0" w:space="0" w:color="auto"/>
        <w:right w:val="none" w:sz="0" w:space="0" w:color="auto"/>
      </w:divBdr>
    </w:div>
    <w:div w:id="1130827662">
      <w:bodyDiv w:val="1"/>
      <w:marLeft w:val="0"/>
      <w:marRight w:val="0"/>
      <w:marTop w:val="0"/>
      <w:marBottom w:val="0"/>
      <w:divBdr>
        <w:top w:val="none" w:sz="0" w:space="0" w:color="auto"/>
        <w:left w:val="none" w:sz="0" w:space="0" w:color="auto"/>
        <w:bottom w:val="none" w:sz="0" w:space="0" w:color="auto"/>
        <w:right w:val="none" w:sz="0" w:space="0" w:color="auto"/>
      </w:divBdr>
    </w:div>
    <w:div w:id="1265113142">
      <w:bodyDiv w:val="1"/>
      <w:marLeft w:val="0"/>
      <w:marRight w:val="0"/>
      <w:marTop w:val="0"/>
      <w:marBottom w:val="0"/>
      <w:divBdr>
        <w:top w:val="none" w:sz="0" w:space="0" w:color="auto"/>
        <w:left w:val="none" w:sz="0" w:space="0" w:color="auto"/>
        <w:bottom w:val="none" w:sz="0" w:space="0" w:color="auto"/>
        <w:right w:val="none" w:sz="0" w:space="0" w:color="auto"/>
      </w:divBdr>
    </w:div>
    <w:div w:id="1312757320">
      <w:bodyDiv w:val="1"/>
      <w:marLeft w:val="0"/>
      <w:marRight w:val="0"/>
      <w:marTop w:val="0"/>
      <w:marBottom w:val="0"/>
      <w:divBdr>
        <w:top w:val="none" w:sz="0" w:space="0" w:color="auto"/>
        <w:left w:val="none" w:sz="0" w:space="0" w:color="auto"/>
        <w:bottom w:val="none" w:sz="0" w:space="0" w:color="auto"/>
        <w:right w:val="none" w:sz="0" w:space="0" w:color="auto"/>
      </w:divBdr>
    </w:div>
    <w:div w:id="1357585142">
      <w:bodyDiv w:val="1"/>
      <w:marLeft w:val="0"/>
      <w:marRight w:val="0"/>
      <w:marTop w:val="0"/>
      <w:marBottom w:val="0"/>
      <w:divBdr>
        <w:top w:val="none" w:sz="0" w:space="0" w:color="auto"/>
        <w:left w:val="none" w:sz="0" w:space="0" w:color="auto"/>
        <w:bottom w:val="none" w:sz="0" w:space="0" w:color="auto"/>
        <w:right w:val="none" w:sz="0" w:space="0" w:color="auto"/>
      </w:divBdr>
    </w:div>
    <w:div w:id="1357996560">
      <w:bodyDiv w:val="1"/>
      <w:marLeft w:val="0"/>
      <w:marRight w:val="0"/>
      <w:marTop w:val="0"/>
      <w:marBottom w:val="0"/>
      <w:divBdr>
        <w:top w:val="none" w:sz="0" w:space="0" w:color="auto"/>
        <w:left w:val="none" w:sz="0" w:space="0" w:color="auto"/>
        <w:bottom w:val="none" w:sz="0" w:space="0" w:color="auto"/>
        <w:right w:val="none" w:sz="0" w:space="0" w:color="auto"/>
      </w:divBdr>
    </w:div>
    <w:div w:id="1462384993">
      <w:bodyDiv w:val="1"/>
      <w:marLeft w:val="0"/>
      <w:marRight w:val="0"/>
      <w:marTop w:val="0"/>
      <w:marBottom w:val="0"/>
      <w:divBdr>
        <w:top w:val="none" w:sz="0" w:space="0" w:color="auto"/>
        <w:left w:val="none" w:sz="0" w:space="0" w:color="auto"/>
        <w:bottom w:val="none" w:sz="0" w:space="0" w:color="auto"/>
        <w:right w:val="none" w:sz="0" w:space="0" w:color="auto"/>
      </w:divBdr>
    </w:div>
    <w:div w:id="1519196368">
      <w:bodyDiv w:val="1"/>
      <w:marLeft w:val="0"/>
      <w:marRight w:val="0"/>
      <w:marTop w:val="0"/>
      <w:marBottom w:val="0"/>
      <w:divBdr>
        <w:top w:val="none" w:sz="0" w:space="0" w:color="auto"/>
        <w:left w:val="none" w:sz="0" w:space="0" w:color="auto"/>
        <w:bottom w:val="none" w:sz="0" w:space="0" w:color="auto"/>
        <w:right w:val="none" w:sz="0" w:space="0" w:color="auto"/>
      </w:divBdr>
    </w:div>
    <w:div w:id="1563907673">
      <w:bodyDiv w:val="1"/>
      <w:marLeft w:val="0"/>
      <w:marRight w:val="0"/>
      <w:marTop w:val="0"/>
      <w:marBottom w:val="0"/>
      <w:divBdr>
        <w:top w:val="none" w:sz="0" w:space="0" w:color="auto"/>
        <w:left w:val="none" w:sz="0" w:space="0" w:color="auto"/>
        <w:bottom w:val="none" w:sz="0" w:space="0" w:color="auto"/>
        <w:right w:val="none" w:sz="0" w:space="0" w:color="auto"/>
      </w:divBdr>
    </w:div>
    <w:div w:id="1577668801">
      <w:bodyDiv w:val="1"/>
      <w:marLeft w:val="0"/>
      <w:marRight w:val="0"/>
      <w:marTop w:val="0"/>
      <w:marBottom w:val="0"/>
      <w:divBdr>
        <w:top w:val="none" w:sz="0" w:space="0" w:color="auto"/>
        <w:left w:val="none" w:sz="0" w:space="0" w:color="auto"/>
        <w:bottom w:val="none" w:sz="0" w:space="0" w:color="auto"/>
        <w:right w:val="none" w:sz="0" w:space="0" w:color="auto"/>
      </w:divBdr>
    </w:div>
    <w:div w:id="1617521803">
      <w:bodyDiv w:val="1"/>
      <w:marLeft w:val="0"/>
      <w:marRight w:val="0"/>
      <w:marTop w:val="0"/>
      <w:marBottom w:val="0"/>
      <w:divBdr>
        <w:top w:val="none" w:sz="0" w:space="0" w:color="auto"/>
        <w:left w:val="none" w:sz="0" w:space="0" w:color="auto"/>
        <w:bottom w:val="none" w:sz="0" w:space="0" w:color="auto"/>
        <w:right w:val="none" w:sz="0" w:space="0" w:color="auto"/>
      </w:divBdr>
    </w:div>
    <w:div w:id="1621298483">
      <w:bodyDiv w:val="1"/>
      <w:marLeft w:val="0"/>
      <w:marRight w:val="0"/>
      <w:marTop w:val="0"/>
      <w:marBottom w:val="0"/>
      <w:divBdr>
        <w:top w:val="none" w:sz="0" w:space="0" w:color="auto"/>
        <w:left w:val="none" w:sz="0" w:space="0" w:color="auto"/>
        <w:bottom w:val="none" w:sz="0" w:space="0" w:color="auto"/>
        <w:right w:val="none" w:sz="0" w:space="0" w:color="auto"/>
      </w:divBdr>
    </w:div>
    <w:div w:id="1644238016">
      <w:bodyDiv w:val="1"/>
      <w:marLeft w:val="0"/>
      <w:marRight w:val="0"/>
      <w:marTop w:val="0"/>
      <w:marBottom w:val="0"/>
      <w:divBdr>
        <w:top w:val="none" w:sz="0" w:space="0" w:color="auto"/>
        <w:left w:val="none" w:sz="0" w:space="0" w:color="auto"/>
        <w:bottom w:val="none" w:sz="0" w:space="0" w:color="auto"/>
        <w:right w:val="none" w:sz="0" w:space="0" w:color="auto"/>
      </w:divBdr>
    </w:div>
    <w:div w:id="1753626856">
      <w:bodyDiv w:val="1"/>
      <w:marLeft w:val="0"/>
      <w:marRight w:val="0"/>
      <w:marTop w:val="0"/>
      <w:marBottom w:val="0"/>
      <w:divBdr>
        <w:top w:val="none" w:sz="0" w:space="0" w:color="auto"/>
        <w:left w:val="none" w:sz="0" w:space="0" w:color="auto"/>
        <w:bottom w:val="none" w:sz="0" w:space="0" w:color="auto"/>
        <w:right w:val="none" w:sz="0" w:space="0" w:color="auto"/>
      </w:divBdr>
    </w:div>
    <w:div w:id="1774546516">
      <w:bodyDiv w:val="1"/>
      <w:marLeft w:val="0"/>
      <w:marRight w:val="0"/>
      <w:marTop w:val="0"/>
      <w:marBottom w:val="0"/>
      <w:divBdr>
        <w:top w:val="none" w:sz="0" w:space="0" w:color="auto"/>
        <w:left w:val="none" w:sz="0" w:space="0" w:color="auto"/>
        <w:bottom w:val="none" w:sz="0" w:space="0" w:color="auto"/>
        <w:right w:val="none" w:sz="0" w:space="0" w:color="auto"/>
      </w:divBdr>
    </w:div>
    <w:div w:id="1783265112">
      <w:bodyDiv w:val="1"/>
      <w:marLeft w:val="0"/>
      <w:marRight w:val="0"/>
      <w:marTop w:val="0"/>
      <w:marBottom w:val="0"/>
      <w:divBdr>
        <w:top w:val="none" w:sz="0" w:space="0" w:color="auto"/>
        <w:left w:val="none" w:sz="0" w:space="0" w:color="auto"/>
        <w:bottom w:val="none" w:sz="0" w:space="0" w:color="auto"/>
        <w:right w:val="none" w:sz="0" w:space="0" w:color="auto"/>
      </w:divBdr>
    </w:div>
    <w:div w:id="1792017549">
      <w:bodyDiv w:val="1"/>
      <w:marLeft w:val="0"/>
      <w:marRight w:val="0"/>
      <w:marTop w:val="0"/>
      <w:marBottom w:val="0"/>
      <w:divBdr>
        <w:top w:val="none" w:sz="0" w:space="0" w:color="auto"/>
        <w:left w:val="none" w:sz="0" w:space="0" w:color="auto"/>
        <w:bottom w:val="none" w:sz="0" w:space="0" w:color="auto"/>
        <w:right w:val="none" w:sz="0" w:space="0" w:color="auto"/>
      </w:divBdr>
    </w:div>
    <w:div w:id="1859613138">
      <w:bodyDiv w:val="1"/>
      <w:marLeft w:val="0"/>
      <w:marRight w:val="0"/>
      <w:marTop w:val="0"/>
      <w:marBottom w:val="0"/>
      <w:divBdr>
        <w:top w:val="none" w:sz="0" w:space="0" w:color="auto"/>
        <w:left w:val="none" w:sz="0" w:space="0" w:color="auto"/>
        <w:bottom w:val="none" w:sz="0" w:space="0" w:color="auto"/>
        <w:right w:val="none" w:sz="0" w:space="0" w:color="auto"/>
      </w:divBdr>
    </w:div>
    <w:div w:id="1968974017">
      <w:bodyDiv w:val="1"/>
      <w:marLeft w:val="0"/>
      <w:marRight w:val="0"/>
      <w:marTop w:val="0"/>
      <w:marBottom w:val="0"/>
      <w:divBdr>
        <w:top w:val="none" w:sz="0" w:space="0" w:color="auto"/>
        <w:left w:val="none" w:sz="0" w:space="0" w:color="auto"/>
        <w:bottom w:val="none" w:sz="0" w:space="0" w:color="auto"/>
        <w:right w:val="none" w:sz="0" w:space="0" w:color="auto"/>
      </w:divBdr>
    </w:div>
    <w:div w:id="2024889904">
      <w:bodyDiv w:val="1"/>
      <w:marLeft w:val="0"/>
      <w:marRight w:val="0"/>
      <w:marTop w:val="0"/>
      <w:marBottom w:val="0"/>
      <w:divBdr>
        <w:top w:val="none" w:sz="0" w:space="0" w:color="auto"/>
        <w:left w:val="none" w:sz="0" w:space="0" w:color="auto"/>
        <w:bottom w:val="none" w:sz="0" w:space="0" w:color="auto"/>
        <w:right w:val="none" w:sz="0" w:space="0" w:color="auto"/>
      </w:divBdr>
    </w:div>
    <w:div w:id="2039430070">
      <w:bodyDiv w:val="1"/>
      <w:marLeft w:val="0"/>
      <w:marRight w:val="0"/>
      <w:marTop w:val="0"/>
      <w:marBottom w:val="0"/>
      <w:divBdr>
        <w:top w:val="none" w:sz="0" w:space="0" w:color="auto"/>
        <w:left w:val="none" w:sz="0" w:space="0" w:color="auto"/>
        <w:bottom w:val="none" w:sz="0" w:space="0" w:color="auto"/>
        <w:right w:val="none" w:sz="0" w:space="0" w:color="auto"/>
      </w:divBdr>
    </w:div>
    <w:div w:id="2094279753">
      <w:bodyDiv w:val="1"/>
      <w:marLeft w:val="0"/>
      <w:marRight w:val="0"/>
      <w:marTop w:val="0"/>
      <w:marBottom w:val="0"/>
      <w:divBdr>
        <w:top w:val="none" w:sz="0" w:space="0" w:color="auto"/>
        <w:left w:val="none" w:sz="0" w:space="0" w:color="auto"/>
        <w:bottom w:val="none" w:sz="0" w:space="0" w:color="auto"/>
        <w:right w:val="none" w:sz="0" w:space="0" w:color="auto"/>
      </w:divBdr>
    </w:div>
    <w:div w:id="21024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5.emf"/><Relationship Id="rId21" Type="http://schemas.openxmlformats.org/officeDocument/2006/relationships/image" Target="media/image10.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1.e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footer" Target="footer1.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 Type="http://schemas.openxmlformats.org/officeDocument/2006/relationships/customXml" Target="../customXml/item5.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chart" Target="charts/chart1.xml"/><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37.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20" Type="http://schemas.openxmlformats.org/officeDocument/2006/relationships/image" Target="media/image9.emf"/><Relationship Id="rId41" Type="http://schemas.openxmlformats.org/officeDocument/2006/relationships/image" Target="media/image27.emf"/><Relationship Id="rId54"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chart" Target="charts/chart2.xml"/><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s>
</file>

<file path=word/charts/_rels/chart1.xml.rels><?xml version="1.0" encoding="UTF-8" standalone="yes"?>
<Relationships xmlns="http://schemas.openxmlformats.org/package/2006/relationships"><Relationship Id="rId3" Type="http://schemas.openxmlformats.org/officeDocument/2006/relationships/oleObject" Target="https://vucba-my.sharepoint.com/personal/renata_pipasova_region-bsk_sk/Documents/DANE+RF+&#218;VERY/DANE%20%20+%20RF%20+%20&#218;VERY.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vucba-my.sharepoint.com/personal/renata_pipasova_region-bsk_sk/Documents/DANE+RF+&#218;VERY/DANE%20%20+%20RF%20+%20&#218;VER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k-SK" b="1"/>
              <a:t>DzPFO - Plán vs Skutočnosť</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1"/>
          <c:order val="0"/>
          <c:tx>
            <c:strRef>
              <c:f>dane!$D$101</c:f>
              <c:strCache>
                <c:ptCount val="1"/>
                <c:pt idx="0">
                  <c:v>Plán</c:v>
                </c:pt>
              </c:strCache>
            </c:strRef>
          </c:tx>
          <c:spPr>
            <a:solidFill>
              <a:schemeClr val="accent2">
                <a:lumMod val="60000"/>
                <a:lumOff val="40000"/>
              </a:schemeClr>
            </a:solidFill>
            <a:ln>
              <a:noFill/>
            </a:ln>
            <a:effectLst/>
          </c:spPr>
          <c:invertIfNegative val="0"/>
          <c:cat>
            <c:numRef>
              <c:f>dane!$B$102:$B$109</c:f>
              <c:numCache>
                <c:formatCode>General</c:formatCode>
                <c:ptCount val="8"/>
                <c:pt idx="0">
                  <c:v>2017</c:v>
                </c:pt>
                <c:pt idx="1">
                  <c:v>2018</c:v>
                </c:pt>
                <c:pt idx="2">
                  <c:v>2019</c:v>
                </c:pt>
                <c:pt idx="3">
                  <c:v>2020</c:v>
                </c:pt>
                <c:pt idx="4">
                  <c:v>2021</c:v>
                </c:pt>
                <c:pt idx="5">
                  <c:v>2022</c:v>
                </c:pt>
                <c:pt idx="6">
                  <c:v>2023</c:v>
                </c:pt>
                <c:pt idx="7">
                  <c:v>2024</c:v>
                </c:pt>
              </c:numCache>
            </c:numRef>
          </c:cat>
          <c:val>
            <c:numRef>
              <c:f>dane!$D$102:$D$109</c:f>
              <c:numCache>
                <c:formatCode>#,##0</c:formatCode>
                <c:ptCount val="8"/>
                <c:pt idx="0">
                  <c:v>83213893</c:v>
                </c:pt>
                <c:pt idx="1">
                  <c:v>90246985</c:v>
                </c:pt>
                <c:pt idx="2">
                  <c:v>101628963.94</c:v>
                </c:pt>
                <c:pt idx="3">
                  <c:v>100500000</c:v>
                </c:pt>
                <c:pt idx="4">
                  <c:v>103700000</c:v>
                </c:pt>
                <c:pt idx="5">
                  <c:v>120100000</c:v>
                </c:pt>
                <c:pt idx="6">
                  <c:v>126700000</c:v>
                </c:pt>
                <c:pt idx="7">
                  <c:v>133510310</c:v>
                </c:pt>
              </c:numCache>
            </c:numRef>
          </c:val>
          <c:extLst>
            <c:ext xmlns:c16="http://schemas.microsoft.com/office/drawing/2014/chart" uri="{C3380CC4-5D6E-409C-BE32-E72D297353CC}">
              <c16:uniqueId val="{00000000-DCB1-44EA-A7AD-736142AFBA86}"/>
            </c:ext>
          </c:extLst>
        </c:ser>
        <c:ser>
          <c:idx val="0"/>
          <c:order val="1"/>
          <c:tx>
            <c:strRef>
              <c:f>dane!$C$101</c:f>
              <c:strCache>
                <c:ptCount val="1"/>
                <c:pt idx="0">
                  <c:v>Skutočnosť</c:v>
                </c:pt>
              </c:strCache>
            </c:strRef>
          </c:tx>
          <c:spPr>
            <a:solidFill>
              <a:schemeClr val="accent1"/>
            </a:solidFill>
            <a:ln>
              <a:noFill/>
            </a:ln>
            <a:effectLst/>
          </c:spPr>
          <c:invertIfNegative val="0"/>
          <c:cat>
            <c:numRef>
              <c:f>dane!$B$102:$B$109</c:f>
              <c:numCache>
                <c:formatCode>General</c:formatCode>
                <c:ptCount val="8"/>
                <c:pt idx="0">
                  <c:v>2017</c:v>
                </c:pt>
                <c:pt idx="1">
                  <c:v>2018</c:v>
                </c:pt>
                <c:pt idx="2">
                  <c:v>2019</c:v>
                </c:pt>
                <c:pt idx="3">
                  <c:v>2020</c:v>
                </c:pt>
                <c:pt idx="4">
                  <c:v>2021</c:v>
                </c:pt>
                <c:pt idx="5">
                  <c:v>2022</c:v>
                </c:pt>
                <c:pt idx="6">
                  <c:v>2023</c:v>
                </c:pt>
                <c:pt idx="7">
                  <c:v>2024</c:v>
                </c:pt>
              </c:numCache>
            </c:numRef>
          </c:cat>
          <c:val>
            <c:numRef>
              <c:f>dane!$C$102:$C$109</c:f>
              <c:numCache>
                <c:formatCode>#,##0</c:formatCode>
                <c:ptCount val="8"/>
                <c:pt idx="0">
                  <c:v>85293396.980000004</c:v>
                </c:pt>
                <c:pt idx="1">
                  <c:v>91967090.769999996</c:v>
                </c:pt>
                <c:pt idx="2">
                  <c:v>102496846.03</c:v>
                </c:pt>
                <c:pt idx="3">
                  <c:v>102856871.86</c:v>
                </c:pt>
                <c:pt idx="4">
                  <c:v>108125051.75999999</c:v>
                </c:pt>
                <c:pt idx="5">
                  <c:v>120000505.09999999</c:v>
                </c:pt>
                <c:pt idx="6">
                  <c:v>135722483.06999999</c:v>
                </c:pt>
                <c:pt idx="7">
                  <c:v>112569974.14</c:v>
                </c:pt>
              </c:numCache>
            </c:numRef>
          </c:val>
          <c:extLst>
            <c:ext xmlns:c16="http://schemas.microsoft.com/office/drawing/2014/chart" uri="{C3380CC4-5D6E-409C-BE32-E72D297353CC}">
              <c16:uniqueId val="{00000001-DCB1-44EA-A7AD-736142AFBA86}"/>
            </c:ext>
          </c:extLst>
        </c:ser>
        <c:dLbls>
          <c:showLegendKey val="0"/>
          <c:showVal val="0"/>
          <c:showCatName val="0"/>
          <c:showSerName val="0"/>
          <c:showPercent val="0"/>
          <c:showBubbleSize val="0"/>
        </c:dLbls>
        <c:gapWidth val="55"/>
        <c:overlap val="53"/>
        <c:axId val="511496623"/>
        <c:axId val="511489903"/>
      </c:barChart>
      <c:catAx>
        <c:axId val="51149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11489903"/>
        <c:crosses val="autoZero"/>
        <c:auto val="1"/>
        <c:lblAlgn val="ctr"/>
        <c:lblOffset val="100"/>
        <c:noMultiLvlLbl val="0"/>
      </c:catAx>
      <c:valAx>
        <c:axId val="5114899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5114966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sk-SK"/>
          </a:p>
        </c:txPr>
      </c:dTable>
      <c:spPr>
        <a:noFill/>
        <a:ln>
          <a:noFill/>
        </a:ln>
        <a:effectLst/>
      </c:spPr>
    </c:plotArea>
    <c:legend>
      <c:legendPos val="b"/>
      <c:layout>
        <c:manualLayout>
          <c:xMode val="edge"/>
          <c:yMode val="edge"/>
          <c:x val="0.38245127084436331"/>
          <c:y val="0.89833280839895013"/>
          <c:w val="0.20648500482504065"/>
          <c:h val="7.500052493438320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k-SK"/>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'vývoj zadlženia'!$D$21</c:f>
              <c:strCache>
                <c:ptCount val="1"/>
                <c:pt idx="0">
                  <c:v>zostatok dlhu</c:v>
                </c:pt>
              </c:strCache>
            </c:strRef>
          </c:tx>
          <c:spPr>
            <a:solidFill>
              <a:schemeClr val="accent1"/>
            </a:solidFill>
            <a:ln>
              <a:noFill/>
            </a:ln>
            <a:effectLst/>
          </c:spPr>
          <c:invertIfNegative val="0"/>
          <c:dLbls>
            <c:numFmt formatCode="#,##0" sourceLinked="0"/>
            <c:spPr>
              <a:solidFill>
                <a:schemeClr val="tx2">
                  <a:lumMod val="20000"/>
                  <a:lumOff val="80000"/>
                </a:schemeClr>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'vývoj zadlženia'!$C$28:$C$33</c:f>
              <c:numCache>
                <c:formatCode>General</c:formatCode>
                <c:ptCount val="6"/>
                <c:pt idx="0">
                  <c:v>2022</c:v>
                </c:pt>
                <c:pt idx="1">
                  <c:v>2023</c:v>
                </c:pt>
                <c:pt idx="2">
                  <c:v>2024</c:v>
                </c:pt>
                <c:pt idx="3">
                  <c:v>2025</c:v>
                </c:pt>
                <c:pt idx="4">
                  <c:v>2026</c:v>
                </c:pt>
                <c:pt idx="5">
                  <c:v>2027</c:v>
                </c:pt>
              </c:numCache>
              <c:extLst/>
            </c:numRef>
          </c:cat>
          <c:val>
            <c:numRef>
              <c:f>'vývoj zadlženia'!$D$28:$D$33</c:f>
              <c:numCache>
                <c:formatCode>#,##0</c:formatCode>
                <c:ptCount val="6"/>
                <c:pt idx="0">
                  <c:v>82563669.969999999</c:v>
                </c:pt>
                <c:pt idx="1">
                  <c:v>86424159.510000005</c:v>
                </c:pt>
                <c:pt idx="2">
                  <c:v>76138570</c:v>
                </c:pt>
                <c:pt idx="3">
                  <c:v>86307239</c:v>
                </c:pt>
                <c:pt idx="4">
                  <c:v>95106786</c:v>
                </c:pt>
                <c:pt idx="5">
                  <c:v>118356764</c:v>
                </c:pt>
              </c:numCache>
              <c:extLst/>
            </c:numRef>
          </c:val>
          <c:extLst>
            <c:ext xmlns:c16="http://schemas.microsoft.com/office/drawing/2014/chart" uri="{C3380CC4-5D6E-409C-BE32-E72D297353CC}">
              <c16:uniqueId val="{00000000-CB3B-4606-82FD-7179A80C570A}"/>
            </c:ext>
          </c:extLst>
        </c:ser>
        <c:ser>
          <c:idx val="1"/>
          <c:order val="1"/>
          <c:tx>
            <c:strRef>
              <c:f>'vývoj zadlženia'!$E$21</c:f>
              <c:strCache>
                <c:ptCount val="1"/>
                <c:pt idx="0">
                  <c:v>Rezerva do výšky 50% BP predch. roka</c:v>
                </c:pt>
              </c:strCache>
            </c:strRef>
          </c:tx>
          <c:spPr>
            <a:solidFill>
              <a:schemeClr val="accent2"/>
            </a:solidFill>
            <a:ln>
              <a:noFill/>
            </a:ln>
            <a:effectLst/>
          </c:spPr>
          <c:invertIfNegative val="0"/>
          <c:dLbls>
            <c:spPr>
              <a:solidFill>
                <a:srgbClr val="C0504D">
                  <a:lumMod val="20000"/>
                  <a:lumOff val="80000"/>
                </a:srgbClr>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'vývoj zadlženia'!$C$28:$C$33</c:f>
              <c:numCache>
                <c:formatCode>General</c:formatCode>
                <c:ptCount val="6"/>
                <c:pt idx="0">
                  <c:v>2022</c:v>
                </c:pt>
                <c:pt idx="1">
                  <c:v>2023</c:v>
                </c:pt>
                <c:pt idx="2">
                  <c:v>2024</c:v>
                </c:pt>
                <c:pt idx="3">
                  <c:v>2025</c:v>
                </c:pt>
                <c:pt idx="4">
                  <c:v>2026</c:v>
                </c:pt>
                <c:pt idx="5">
                  <c:v>2027</c:v>
                </c:pt>
              </c:numCache>
              <c:extLst/>
            </c:numRef>
          </c:cat>
          <c:val>
            <c:numRef>
              <c:f>'vývoj zadlženia'!$E$28:$E$33</c:f>
              <c:numCache>
                <c:formatCode>#,##0</c:formatCode>
                <c:ptCount val="6"/>
                <c:pt idx="0">
                  <c:v>21537040.495000005</c:v>
                </c:pt>
                <c:pt idx="1">
                  <c:v>34960047.094999999</c:v>
                </c:pt>
                <c:pt idx="2">
                  <c:v>46502775.5</c:v>
                </c:pt>
                <c:pt idx="3">
                  <c:v>39412673</c:v>
                </c:pt>
                <c:pt idx="4">
                  <c:v>41008800.5</c:v>
                </c:pt>
                <c:pt idx="5">
                  <c:v>21964107</c:v>
                </c:pt>
              </c:numCache>
              <c:extLst/>
            </c:numRef>
          </c:val>
          <c:extLst>
            <c:ext xmlns:c16="http://schemas.microsoft.com/office/drawing/2014/chart" uri="{C3380CC4-5D6E-409C-BE32-E72D297353CC}">
              <c16:uniqueId val="{00000001-CB3B-4606-82FD-7179A80C570A}"/>
            </c:ext>
          </c:extLst>
        </c:ser>
        <c:dLbls>
          <c:showLegendKey val="0"/>
          <c:showVal val="0"/>
          <c:showCatName val="0"/>
          <c:showSerName val="0"/>
          <c:showPercent val="0"/>
          <c:showBubbleSize val="0"/>
        </c:dLbls>
        <c:gapWidth val="77"/>
        <c:overlap val="100"/>
        <c:axId val="746911168"/>
        <c:axId val="746899936"/>
      </c:barChart>
      <c:lineChart>
        <c:grouping val="standard"/>
        <c:varyColors val="0"/>
        <c:ser>
          <c:idx val="2"/>
          <c:order val="2"/>
          <c:tx>
            <c:strRef>
              <c:f>'vývoj zadlženia'!$F$21</c:f>
              <c:strCache>
                <c:ptCount val="1"/>
                <c:pt idx="0">
                  <c:v>výška dlhu v %</c:v>
                </c:pt>
              </c:strCache>
            </c:strRef>
          </c:tx>
          <c:spPr>
            <a:ln w="28575" cap="rnd">
              <a:solidFill>
                <a:schemeClr val="accent3"/>
              </a:solidFill>
              <a:round/>
            </a:ln>
            <a:effectLst/>
          </c:spPr>
          <c:marker>
            <c:symbol val="none"/>
          </c:marker>
          <c:dLbls>
            <c:dLbl>
              <c:idx val="1"/>
              <c:dLblPos val="b"/>
              <c:showLegendKey val="0"/>
              <c:showVal val="1"/>
              <c:showCatName val="0"/>
              <c:showSerName val="0"/>
              <c:showPercent val="0"/>
              <c:showBubbleSize val="0"/>
              <c:extLst>
                <c:ext xmlns:c15="http://schemas.microsoft.com/office/drawing/2012/chart" uri="{CE6537A1-D6FC-4f65-9D91-7224C49458BB}">
                  <c15:layout>
                    <c:manualLayout>
                      <c:w val="4.4161758932076953E-2"/>
                      <c:h val="5.3520678309885723E-2"/>
                    </c:manualLayout>
                  </c15:layout>
                </c:ext>
                <c:ext xmlns:c16="http://schemas.microsoft.com/office/drawing/2014/chart" uri="{C3380CC4-5D6E-409C-BE32-E72D297353CC}">
                  <c16:uniqueId val="{00000002-CB3B-4606-82FD-7179A80C570A}"/>
                </c:ext>
              </c:extLst>
            </c:dLbl>
            <c:dLbl>
              <c:idx val="2"/>
              <c:layout>
                <c:manualLayout>
                  <c:x val="-3.1170252411259751E-2"/>
                  <c:y val="8.38026443154360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3B-4606-82FD-7179A80C570A}"/>
                </c:ext>
              </c:extLst>
            </c:dLbl>
            <c:spPr>
              <a:solidFill>
                <a:schemeClr val="accent3">
                  <a:lumMod val="40000"/>
                  <a:lumOff val="60000"/>
                </a:schemeClr>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k-SK"/>
              </a:p>
            </c:txPr>
            <c:dLblPos val="b"/>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'vývoj zadlženia'!$C$28:$C$33</c:f>
              <c:numCache>
                <c:formatCode>General</c:formatCode>
                <c:ptCount val="6"/>
                <c:pt idx="0">
                  <c:v>2022</c:v>
                </c:pt>
                <c:pt idx="1">
                  <c:v>2023</c:v>
                </c:pt>
                <c:pt idx="2">
                  <c:v>2024</c:v>
                </c:pt>
                <c:pt idx="3">
                  <c:v>2025</c:v>
                </c:pt>
                <c:pt idx="4">
                  <c:v>2026</c:v>
                </c:pt>
                <c:pt idx="5">
                  <c:v>2027</c:v>
                </c:pt>
              </c:numCache>
              <c:extLst/>
            </c:numRef>
          </c:cat>
          <c:val>
            <c:numRef>
              <c:f>'vývoj zadlženia'!$F$28:$F$33</c:f>
              <c:numCache>
                <c:formatCode>0.00%</c:formatCode>
                <c:ptCount val="6"/>
                <c:pt idx="0">
                  <c:v>0.43763399807662096</c:v>
                </c:pt>
                <c:pt idx="1">
                  <c:v>0.41509879771212954</c:v>
                </c:pt>
                <c:pt idx="2">
                  <c:v>0.31362634452011046</c:v>
                </c:pt>
                <c:pt idx="3">
                  <c:v>0.35186844472445877</c:v>
                </c:pt>
                <c:pt idx="4">
                  <c:v>0.37824869778782538</c:v>
                </c:pt>
                <c:pt idx="5">
                  <c:v>0.43476565411559243</c:v>
                </c:pt>
              </c:numCache>
              <c:extLst/>
            </c:numRef>
          </c:val>
          <c:smooth val="0"/>
          <c:extLst>
            <c:ext xmlns:c16="http://schemas.microsoft.com/office/drawing/2014/chart" uri="{C3380CC4-5D6E-409C-BE32-E72D297353CC}">
              <c16:uniqueId val="{00000004-CB3B-4606-82FD-7179A80C570A}"/>
            </c:ext>
          </c:extLst>
        </c:ser>
        <c:dLbls>
          <c:showLegendKey val="0"/>
          <c:showVal val="0"/>
          <c:showCatName val="0"/>
          <c:showSerName val="0"/>
          <c:showPercent val="0"/>
          <c:showBubbleSize val="0"/>
        </c:dLbls>
        <c:marker val="1"/>
        <c:smooth val="0"/>
        <c:axId val="1359184976"/>
        <c:axId val="1359187856"/>
      </c:lineChart>
      <c:catAx>
        <c:axId val="7469111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46899936"/>
        <c:crosses val="autoZero"/>
        <c:auto val="1"/>
        <c:lblAlgn val="ctr"/>
        <c:lblOffset val="100"/>
        <c:noMultiLvlLbl val="0"/>
      </c:catAx>
      <c:valAx>
        <c:axId val="746899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746911168"/>
        <c:crosses val="autoZero"/>
        <c:crossBetween val="between"/>
      </c:valAx>
      <c:valAx>
        <c:axId val="1359187856"/>
        <c:scaling>
          <c:orientation val="minMax"/>
          <c:max val="0.5"/>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1359184976"/>
        <c:crosses val="max"/>
        <c:crossBetween val="between"/>
      </c:valAx>
      <c:catAx>
        <c:axId val="1359184976"/>
        <c:scaling>
          <c:orientation val="minMax"/>
        </c:scaling>
        <c:delete val="1"/>
        <c:axPos val="b"/>
        <c:numFmt formatCode="General" sourceLinked="1"/>
        <c:majorTickMark val="out"/>
        <c:minorTickMark val="none"/>
        <c:tickLblPos val="nextTo"/>
        <c:crossAx val="13591878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0.86266</cdr:x>
      <cdr:y>0.11629</cdr:y>
    </cdr:from>
    <cdr:to>
      <cdr:x>0.98452</cdr:x>
      <cdr:y>0.20365</cdr:y>
    </cdr:to>
    <cdr:sp macro="" textlink="">
      <cdr:nvSpPr>
        <cdr:cNvPr id="2" name="Obdĺžnik 1">
          <a:extLst xmlns:a="http://schemas.openxmlformats.org/drawingml/2006/main">
            <a:ext uri="{FF2B5EF4-FFF2-40B4-BE49-F238E27FC236}">
              <a16:creationId xmlns:a16="http://schemas.microsoft.com/office/drawing/2014/main" id="{B60ED207-74C8-65A1-529D-145119743106}"/>
            </a:ext>
          </a:extLst>
        </cdr:cNvPr>
        <cdr:cNvSpPr/>
      </cdr:nvSpPr>
      <cdr:spPr>
        <a:xfrm xmlns:a="http://schemas.openxmlformats.org/drawingml/2006/main">
          <a:off x="5743576" y="332299"/>
          <a:ext cx="811334" cy="249631"/>
        </a:xfrm>
        <a:prstGeom xmlns:a="http://schemas.openxmlformats.org/drawingml/2006/main" prst="rect">
          <a:avLst/>
        </a:prstGeom>
        <a:ln xmlns:a="http://schemas.openxmlformats.org/drawingml/2006/main">
          <a:solidFill>
            <a:schemeClr val="accent1">
              <a:lumMod val="75000"/>
            </a:schemeClr>
          </a:solidFill>
        </a:ln>
        <a:effectLst xmlns:a="http://schemas.openxmlformats.org/drawingml/2006/main">
          <a:outerShdw blurRad="76200" dir="13500000" sy="23000" kx="1200000" algn="br" rotWithShape="0">
            <a:prstClr val="black">
              <a:alpha val="20000"/>
            </a:prstClr>
          </a:outerShdw>
        </a:effectLst>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sk-SK" sz="1000">
              <a:ln>
                <a:solidFill>
                  <a:sysClr val="windowText" lastClr="000000"/>
                </a:solidFill>
              </a:ln>
              <a:solidFill>
                <a:sysClr val="windowText" lastClr="000000"/>
              </a:solidFill>
            </a:rPr>
            <a:t>do</a:t>
          </a:r>
          <a:r>
            <a:rPr lang="sk-SK" sz="1000" baseline="0">
              <a:ln>
                <a:solidFill>
                  <a:sysClr val="windowText" lastClr="000000"/>
                </a:solidFill>
              </a:ln>
              <a:solidFill>
                <a:sysClr val="windowText" lastClr="000000"/>
              </a:solidFill>
            </a:rPr>
            <a:t> 10/2024</a:t>
          </a:r>
          <a:r>
            <a:rPr lang="sk-SK" sz="1000">
              <a:ln>
                <a:solidFill>
                  <a:sysClr val="windowText" lastClr="000000"/>
                </a:solidFill>
              </a:ln>
              <a:solidFill>
                <a:sysClr val="windowText" lastClr="000000"/>
              </a:solidFill>
            </a:rPr>
            <a:t> </a:t>
          </a:r>
          <a:endParaRPr lang="sk-SK" sz="1000">
            <a:ln>
              <a:noFill/>
            </a:ln>
            <a:solidFill>
              <a:sysClr val="windowText" lastClr="000000"/>
            </a:solidFill>
          </a:endParaRPr>
        </a:p>
      </cdr:txBody>
    </cdr:sp>
  </cdr:relSizeAnchor>
</c:userShape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9B07F339C5394392C5CD1380A0BC24" ma:contentTypeVersion="18" ma:contentTypeDescription="Umožňuje vytvoriť nový dokument." ma:contentTypeScope="" ma:versionID="38b5151708b02dd728fdfa00edc524c8">
  <xsd:schema xmlns:xsd="http://www.w3.org/2001/XMLSchema" xmlns:xs="http://www.w3.org/2001/XMLSchema" xmlns:p="http://schemas.microsoft.com/office/2006/metadata/properties" xmlns:ns2="0014d50b-6f30-4926-8a1c-6def29c85054" xmlns:ns3="dd290671-5180-453c-bc36-8de30f316ab7" targetNamespace="http://schemas.microsoft.com/office/2006/metadata/properties" ma:root="true" ma:fieldsID="d08d3abc9c386a663584e20198ca02dc" ns2:_="" ns3:_="">
    <xsd:import namespace="0014d50b-6f30-4926-8a1c-6def29c85054"/>
    <xsd:import namespace="dd290671-5180-453c-bc36-8de30f316ab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4d50b-6f30-4926-8a1c-6def29c85054"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element name="TaxCatchAll" ma:index="26" nillable="true" ma:displayName="Taxonomy Catch All Column" ma:hidden="true" ma:list="{ba2b9068-8a4c-41c9-a803-fe9d4f4d7f1d}" ma:internalName="TaxCatchAll" ma:showField="CatchAllData" ma:web="0014d50b-6f30-4926-8a1c-6def29c850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290671-5180-453c-bc36-8de30f316a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Značky obrázka" ma:readOnly="false" ma:fieldId="{5cf76f15-5ced-4ddc-b409-7134ff3c332f}" ma:taxonomyMulti="true" ma:sspId="fa3fe500-68a8-47ef-972a-8144c92373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014d50b-6f30-4926-8a1c-6def29c85054">XMSUKZJ42ZE7-1960654116-42770</_dlc_DocId>
    <_dlc_DocIdUrl xmlns="0014d50b-6f30-4926-8a1c-6def29c85054">
      <Url>https://vucba.sharepoint.com/sites/Dokumenty/ofin/oroz/_layouts/15/DocIdRedir.aspx?ID=XMSUKZJ42ZE7-1960654116-42770</Url>
      <Description>XMSUKZJ42ZE7-1960654116-42770</Description>
    </_dlc_DocIdUrl>
    <TaxCatchAll xmlns="0014d50b-6f30-4926-8a1c-6def29c85054" xsi:nil="true"/>
    <lcf76f155ced4ddcb4097134ff3c332f xmlns="dd290671-5180-453c-bc36-8de30f316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C7D0B2-9F45-4CBC-86F9-416BADF13D62}">
  <ds:schemaRefs>
    <ds:schemaRef ds:uri="http://schemas.microsoft.com/sharepoint/v3/contenttype/forms"/>
  </ds:schemaRefs>
</ds:datastoreItem>
</file>

<file path=customXml/itemProps2.xml><?xml version="1.0" encoding="utf-8"?>
<ds:datastoreItem xmlns:ds="http://schemas.openxmlformats.org/officeDocument/2006/customXml" ds:itemID="{7CBED157-46B4-4EA1-89D1-B15E4DDC1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4d50b-6f30-4926-8a1c-6def29c85054"/>
    <ds:schemaRef ds:uri="dd290671-5180-453c-bc36-8de30f316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9D828-7E2C-41CF-8049-A4B6BE9CAE4D}">
  <ds:schemaRefs>
    <ds:schemaRef ds:uri="http://schemas.microsoft.com/sharepoint/events"/>
  </ds:schemaRefs>
</ds:datastoreItem>
</file>

<file path=customXml/itemProps4.xml><?xml version="1.0" encoding="utf-8"?>
<ds:datastoreItem xmlns:ds="http://schemas.openxmlformats.org/officeDocument/2006/customXml" ds:itemID="{EC3F44E6-466C-48A4-AE54-87591A1C61A2}">
  <ds:schemaRefs>
    <ds:schemaRef ds:uri="http://schemas.openxmlformats.org/officeDocument/2006/bibliography"/>
  </ds:schemaRefs>
</ds:datastoreItem>
</file>

<file path=customXml/itemProps5.xml><?xml version="1.0" encoding="utf-8"?>
<ds:datastoreItem xmlns:ds="http://schemas.openxmlformats.org/officeDocument/2006/customXml" ds:itemID="{88E0CEF6-05CA-4F3F-9A28-D8194DABC564}">
  <ds:schemaRefs>
    <ds:schemaRef ds:uri="http://schemas.microsoft.com/office/2006/metadata/properties"/>
    <ds:schemaRef ds:uri="http://schemas.microsoft.com/office/infopath/2007/PartnerControls"/>
    <ds:schemaRef ds:uri="0014d50b-6f30-4926-8a1c-6def29c85054"/>
    <ds:schemaRef ds:uri="dd290671-5180-453c-bc36-8de30f316ab7"/>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129</Pages>
  <Words>41379</Words>
  <Characters>235863</Characters>
  <Application>Microsoft Office Word</Application>
  <DocSecurity>0</DocSecurity>
  <Lines>1965</Lines>
  <Paragraphs>553</Paragraphs>
  <ScaleCrop>false</ScaleCrop>
  <HeadingPairs>
    <vt:vector size="2" baseType="variant">
      <vt:variant>
        <vt:lpstr>Názov</vt:lpstr>
      </vt:variant>
      <vt:variant>
        <vt:i4>1</vt:i4>
      </vt:variant>
    </vt:vector>
  </HeadingPairs>
  <TitlesOfParts>
    <vt:vector size="1" baseType="lpstr">
      <vt:lpstr>Rozpočet Bratislavského samosprávneho kraja na roky 2023 - 2025</vt:lpstr>
    </vt:vector>
  </TitlesOfParts>
  <Company/>
  <LinksUpToDate>false</LinksUpToDate>
  <CharactersWithSpaces>276689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Rozpočet Bratislavského samosprávneho kraja na roky 2023 - 2025</dc:title>
  <dc:subject/>
  <dc:creator>Renáta Pipašová</dc:creator>
  <cp:keywords/>
  <dc:description/>
  <cp:lastModifiedBy>Renáta Pipašová</cp:lastModifiedBy>
  <cp:revision>152</cp:revision>
  <cp:lastPrinted>2024-11-19T15:31:00Z</cp:lastPrinted>
  <dcterms:created xsi:type="dcterms:W3CDTF">2024-11-16T18:48:00Z</dcterms:created>
  <dcterms:modified xsi:type="dcterms:W3CDTF">2024-11-22T09:17:00Z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0x010100DD9B07F339C5394392C5CD1380A0BC24</vt:lpwstr>
  </property>
  <property fmtid="{D5CDD505-2E9C-101B-9397-08002B2CF9AE}" pid="3" name="MediaServiceImageTags">
    <vt:lpwstr/>
  </property>
  <property fmtid="{D5CDD505-2E9C-101B-9397-08002B2CF9AE}" pid="4" name="_dlc_DocIdItemGuid">
    <vt:lpwstr>75a2ba1a-c98b-48e0-ba02-31556a2a7729</vt:lpwstr>
  </property>
</Properties>
</file>